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OFFICIAL TITLE </w:t>
      </w:r>
      <w:r>
        <w:rPr>
          <w:spacing w:val="-2"/>
        </w:rPr>
        <w:t>REPORT</w:t>
      </w:r>
    </w:p>
    <w:p>
      <w:pPr>
        <w:pStyle w:val="BodyText"/>
        <w:rPr>
          <w:b/>
          <w:sz w:val="20"/>
        </w:rPr>
      </w:pPr>
    </w:p>
    <w:p>
      <w:pPr>
        <w:pStyle w:val="BodyText"/>
        <w:rPr>
          <w:b/>
          <w:sz w:val="20"/>
        </w:rPr>
      </w:pPr>
    </w:p>
    <w:p>
      <w:pPr>
        <w:pStyle w:val="BodyText"/>
        <w:spacing w:before="216"/>
        <w:rPr>
          <w:b/>
          <w:sz w:val="20"/>
        </w:rPr>
      </w:pPr>
    </w:p>
    <w:p>
      <w:pPr>
        <w:tabs>
          <w:tab w:pos="3380" w:val="left" w:leader="none"/>
        </w:tabs>
        <w:spacing w:before="1"/>
        <w:ind w:left="262" w:right="0" w:firstLine="0"/>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900000</wp:posOffset>
                </wp:positionH>
                <wp:positionV relativeFrom="paragraph">
                  <wp:posOffset>-279460</wp:posOffset>
                </wp:positionV>
                <wp:extent cx="5760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0085" cy="1270"/>
                        </a:xfrm>
                        <a:custGeom>
                          <a:avLst/>
                          <a:gdLst/>
                          <a:ahLst/>
                          <a:cxnLst/>
                          <a:rect l="l" t="t" r="r" b="b"/>
                          <a:pathLst>
                            <a:path w="5760085" h="0">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70.866142pt,-22.00473pt" to="524.409442pt,-22.00473pt" stroked="true" strokeweight="1pt" strokecolor="#000000">
                <v:stroke dashstyle="solid"/>
                <w10:wrap type="none"/>
              </v:line>
            </w:pict>
          </mc:Fallback>
        </mc:AlternateContent>
      </w:r>
      <w:r>
        <w:rPr>
          <w:rFonts w:ascii="Arial"/>
          <w:b/>
          <w:sz w:val="20"/>
        </w:rPr>
        <w:t>Title </w:t>
      </w:r>
      <w:r>
        <w:rPr>
          <w:rFonts w:ascii="Arial"/>
          <w:b/>
          <w:spacing w:val="-2"/>
          <w:sz w:val="20"/>
        </w:rPr>
        <w:t>Number:</w:t>
      </w:r>
      <w:r>
        <w:rPr>
          <w:rFonts w:ascii="Arial"/>
          <w:b/>
          <w:sz w:val="20"/>
        </w:rPr>
        <w:tab/>
      </w:r>
      <w:r>
        <w:rPr>
          <w:spacing w:val="-2"/>
          <w:sz w:val="20"/>
        </w:rPr>
        <w:t>LN782451</w:t>
      </w:r>
    </w:p>
    <w:p>
      <w:pPr>
        <w:tabs>
          <w:tab w:pos="3380" w:val="left" w:leader="none"/>
        </w:tabs>
        <w:spacing w:before="209"/>
        <w:ind w:left="262" w:right="0" w:firstLine="0"/>
        <w:jc w:val="left"/>
        <w:rPr>
          <w:sz w:val="20"/>
        </w:rPr>
      </w:pPr>
      <w:r>
        <w:rPr>
          <w:rFonts w:ascii="Arial"/>
          <w:b/>
          <w:sz w:val="20"/>
        </w:rPr>
        <w:t>Edition </w:t>
      </w:r>
      <w:r>
        <w:rPr>
          <w:rFonts w:ascii="Arial"/>
          <w:b/>
          <w:spacing w:val="-2"/>
          <w:sz w:val="20"/>
        </w:rPr>
        <w:t>Date:</w:t>
      </w:r>
      <w:r>
        <w:rPr>
          <w:rFonts w:ascii="Arial"/>
          <w:b/>
          <w:sz w:val="20"/>
        </w:rPr>
        <w:tab/>
      </w:r>
      <w:r>
        <w:rPr>
          <w:sz w:val="20"/>
        </w:rPr>
        <w:t>22</w:t>
      </w:r>
      <w:r>
        <w:rPr>
          <w:spacing w:val="-2"/>
          <w:sz w:val="20"/>
        </w:rPr>
        <w:t> </w:t>
      </w:r>
      <w:r>
        <w:rPr>
          <w:sz w:val="20"/>
        </w:rPr>
        <w:t>November </w:t>
      </w:r>
      <w:r>
        <w:rPr>
          <w:spacing w:val="-4"/>
          <w:sz w:val="20"/>
        </w:rPr>
        <w:t>2023</w:t>
      </w:r>
    </w:p>
    <w:p>
      <w:pPr>
        <w:tabs>
          <w:tab w:pos="3380" w:val="left" w:leader="none"/>
        </w:tabs>
        <w:spacing w:before="209"/>
        <w:ind w:left="262" w:right="0" w:firstLine="0"/>
        <w:jc w:val="left"/>
        <w:rPr>
          <w:sz w:val="20"/>
        </w:rPr>
      </w:pPr>
      <w:r>
        <w:rPr>
          <w:rFonts w:ascii="Arial"/>
          <w:b/>
          <w:sz w:val="20"/>
        </w:rPr>
        <w:t>Title </w:t>
      </w:r>
      <w:r>
        <w:rPr>
          <w:rFonts w:ascii="Arial"/>
          <w:b/>
          <w:spacing w:val="-2"/>
          <w:sz w:val="20"/>
        </w:rPr>
        <w:t>Type:</w:t>
      </w:r>
      <w:r>
        <w:rPr>
          <w:rFonts w:ascii="Arial"/>
          <w:b/>
          <w:sz w:val="20"/>
        </w:rPr>
        <w:tab/>
      </w:r>
      <w:r>
        <w:rPr>
          <w:sz w:val="20"/>
        </w:rPr>
        <w:t>Absolute </w:t>
      </w:r>
      <w:r>
        <w:rPr>
          <w:spacing w:val="-2"/>
          <w:sz w:val="20"/>
        </w:rPr>
        <w:t>Freehold</w:t>
      </w:r>
    </w:p>
    <w:p>
      <w:pPr>
        <w:pStyle w:val="BodyText"/>
        <w:rPr>
          <w:sz w:val="20"/>
        </w:rPr>
      </w:pPr>
    </w:p>
    <w:p>
      <w:pPr>
        <w:pStyle w:val="BodyText"/>
        <w:rPr>
          <w:sz w:val="20"/>
        </w:rPr>
      </w:pPr>
    </w:p>
    <w:p>
      <w:pPr>
        <w:pStyle w:val="BodyText"/>
        <w:spacing w:before="164"/>
        <w:rPr>
          <w:sz w:val="20"/>
        </w:rPr>
      </w:pPr>
    </w:p>
    <w:p>
      <w:pPr>
        <w:pStyle w:val="Heading2"/>
      </w:pPr>
      <w:r>
        <w:rPr/>
        <w:t>Property </w:t>
      </w:r>
      <w:r>
        <w:rPr>
          <w:spacing w:val="-2"/>
        </w:rPr>
        <w:t>Description</w:t>
      </w:r>
    </w:p>
    <w:p>
      <w:pPr>
        <w:pStyle w:val="BodyText"/>
        <w:spacing w:line="266" w:lineRule="auto" w:before="195"/>
        <w:ind w:left="360" w:right="119"/>
        <w:jc w:val="both"/>
      </w:pPr>
      <w:r>
        <w:rPr/>
        <w:t>The land and buildings known as Lot 7, Victoria Park Estate, 42-48 Victoria Park Road, </w:t>
      </w:r>
      <w:r>
        <w:rPr/>
        <w:t>London E9 7HD, as shown edged with red on the title plan filed at the Land Registry.</w:t>
      </w:r>
    </w:p>
    <w:p>
      <w:pPr>
        <w:pStyle w:val="BodyText"/>
        <w:spacing w:line="266" w:lineRule="auto" w:before="119"/>
        <w:ind w:left="360" w:right="119"/>
        <w:jc w:val="both"/>
      </w:pPr>
      <w:r>
        <w:rPr/>
        <w:t>The property comprises a freehold parcel of land with an approximate area of 0.34 hectares (0.84 acres). The site is roughly rectangular in shape and is bounded to the north by Victoria Park Road,</w:t>
      </w:r>
      <w:r>
        <w:rPr>
          <w:spacing w:val="-3"/>
        </w:rPr>
        <w:t> </w:t>
      </w:r>
      <w:r>
        <w:rPr/>
        <w:t>to</w:t>
      </w:r>
      <w:r>
        <w:rPr>
          <w:spacing w:val="-3"/>
        </w:rPr>
        <w:t> </w:t>
      </w:r>
      <w:r>
        <w:rPr/>
        <w:t>the</w:t>
      </w:r>
      <w:r>
        <w:rPr>
          <w:spacing w:val="-3"/>
        </w:rPr>
        <w:t> </w:t>
      </w:r>
      <w:r>
        <w:rPr/>
        <w:t>east</w:t>
      </w:r>
      <w:r>
        <w:rPr>
          <w:spacing w:val="-3"/>
        </w:rPr>
        <w:t> </w:t>
      </w:r>
      <w:r>
        <w:rPr/>
        <w:t>by</w:t>
      </w:r>
      <w:r>
        <w:rPr>
          <w:spacing w:val="-3"/>
        </w:rPr>
        <w:t> </w:t>
      </w:r>
      <w:r>
        <w:rPr/>
        <w:t>residential</w:t>
      </w:r>
      <w:r>
        <w:rPr>
          <w:spacing w:val="-3"/>
        </w:rPr>
        <w:t> </w:t>
      </w:r>
      <w:r>
        <w:rPr/>
        <w:t>properties</w:t>
      </w:r>
      <w:r>
        <w:rPr>
          <w:spacing w:val="-3"/>
        </w:rPr>
        <w:t> </w:t>
      </w:r>
      <w:r>
        <w:rPr/>
        <w:t>on</w:t>
      </w:r>
      <w:r>
        <w:rPr>
          <w:spacing w:val="-3"/>
        </w:rPr>
        <w:t> </w:t>
      </w:r>
      <w:r>
        <w:rPr/>
        <w:t>Cadogan</w:t>
      </w:r>
      <w:r>
        <w:rPr>
          <w:spacing w:val="-3"/>
        </w:rPr>
        <w:t> </w:t>
      </w:r>
      <w:r>
        <w:rPr/>
        <w:t>Terrace,</w:t>
      </w:r>
      <w:r>
        <w:rPr>
          <w:spacing w:val="-3"/>
        </w:rPr>
        <w:t> </w:t>
      </w:r>
      <w:r>
        <w:rPr/>
        <w:t>to</w:t>
      </w:r>
      <w:r>
        <w:rPr>
          <w:spacing w:val="-3"/>
        </w:rPr>
        <w:t> </w:t>
      </w:r>
      <w:r>
        <w:rPr/>
        <w:t>the</w:t>
      </w:r>
      <w:r>
        <w:rPr>
          <w:spacing w:val="-3"/>
        </w:rPr>
        <w:t> </w:t>
      </w:r>
      <w:r>
        <w:rPr/>
        <w:t>south</w:t>
      </w:r>
      <w:r>
        <w:rPr>
          <w:spacing w:val="-3"/>
        </w:rPr>
        <w:t> </w:t>
      </w:r>
      <w:r>
        <w:rPr/>
        <w:t>by</w:t>
      </w:r>
      <w:r>
        <w:rPr>
          <w:spacing w:val="-3"/>
        </w:rPr>
        <w:t> </w:t>
      </w:r>
      <w:r>
        <w:rPr/>
        <w:t>the</w:t>
      </w:r>
      <w:r>
        <w:rPr>
          <w:spacing w:val="-3"/>
        </w:rPr>
        <w:t> </w:t>
      </w:r>
      <w:r>
        <w:rPr/>
        <w:t>rear</w:t>
      </w:r>
      <w:r>
        <w:rPr>
          <w:spacing w:val="-3"/>
        </w:rPr>
        <w:t> </w:t>
      </w:r>
      <w:r>
        <w:rPr/>
        <w:t>gardens</w:t>
      </w:r>
      <w:r>
        <w:rPr>
          <w:spacing w:val="-3"/>
        </w:rPr>
        <w:t> </w:t>
      </w:r>
      <w:r>
        <w:rPr/>
        <w:t>of properties on Wick Road, and to the west by an access road serving the Victoria Park Estate.</w:t>
      </w:r>
    </w:p>
    <w:p>
      <w:pPr>
        <w:pStyle w:val="BodyText"/>
        <w:spacing w:line="266" w:lineRule="auto" w:before="117"/>
        <w:ind w:left="360" w:right="119"/>
        <w:jc w:val="both"/>
      </w:pPr>
      <w:r>
        <w:rPr/>
        <w:t>The property currently contains a two-storey detached commercial building of approximately 1,200 square metres gross internal area, together with associated hardstanding and </w:t>
      </w:r>
      <w:r>
        <w:rPr/>
        <w:t>landscaped </w:t>
      </w:r>
      <w:r>
        <w:rPr>
          <w:spacing w:val="-2"/>
        </w:rPr>
        <w:t>areas.</w:t>
      </w:r>
    </w:p>
    <w:p>
      <w:pPr>
        <w:pStyle w:val="BodyText"/>
        <w:spacing w:before="107"/>
      </w:pPr>
    </w:p>
    <w:p>
      <w:pPr>
        <w:pStyle w:val="Heading2"/>
      </w:pPr>
      <w:r>
        <w:rPr/>
        <w:t>Registered </w:t>
      </w:r>
      <w:r>
        <w:rPr>
          <w:spacing w:val="-2"/>
        </w:rPr>
        <w:t>Owner</w:t>
      </w:r>
    </w:p>
    <w:p>
      <w:pPr>
        <w:spacing w:line="266" w:lineRule="auto" w:before="195"/>
        <w:ind w:left="360" w:right="2399" w:firstLine="0"/>
        <w:jc w:val="left"/>
        <w:rPr>
          <w:sz w:val="22"/>
        </w:rPr>
      </w:pPr>
      <w:r>
        <w:rPr>
          <w:b/>
          <w:sz w:val="22"/>
        </w:rPr>
        <w:t>Victoria</w:t>
      </w:r>
      <w:r>
        <w:rPr>
          <w:b/>
          <w:spacing w:val="-6"/>
          <w:sz w:val="22"/>
        </w:rPr>
        <w:t> </w:t>
      </w:r>
      <w:r>
        <w:rPr>
          <w:b/>
          <w:sz w:val="22"/>
        </w:rPr>
        <w:t>Park</w:t>
      </w:r>
      <w:r>
        <w:rPr>
          <w:b/>
          <w:spacing w:val="-6"/>
          <w:sz w:val="22"/>
        </w:rPr>
        <w:t> </w:t>
      </w:r>
      <w:r>
        <w:rPr>
          <w:b/>
          <w:sz w:val="22"/>
        </w:rPr>
        <w:t>Developments</w:t>
      </w:r>
      <w:r>
        <w:rPr>
          <w:b/>
          <w:spacing w:val="-6"/>
          <w:sz w:val="22"/>
        </w:rPr>
        <w:t> </w:t>
      </w:r>
      <w:r>
        <w:rPr>
          <w:b/>
          <w:sz w:val="22"/>
        </w:rPr>
        <w:t>Ltd</w:t>
      </w:r>
      <w:r>
        <w:rPr>
          <w:b/>
          <w:spacing w:val="-6"/>
          <w:sz w:val="22"/>
        </w:rPr>
        <w:t> </w:t>
      </w:r>
      <w:r>
        <w:rPr>
          <w:sz w:val="22"/>
        </w:rPr>
        <w:t>(Company</w:t>
      </w:r>
      <w:r>
        <w:rPr>
          <w:spacing w:val="-6"/>
          <w:sz w:val="22"/>
        </w:rPr>
        <w:t> </w:t>
      </w:r>
      <w:r>
        <w:rPr>
          <w:sz w:val="22"/>
        </w:rPr>
        <w:t>No.</w:t>
      </w:r>
      <w:r>
        <w:rPr>
          <w:spacing w:val="-6"/>
          <w:sz w:val="22"/>
        </w:rPr>
        <w:t> </w:t>
      </w:r>
      <w:r>
        <w:rPr>
          <w:sz w:val="22"/>
        </w:rPr>
        <w:t>08234571) Registered office: 17 Hackney Road, London E2 7NX</w:t>
      </w:r>
    </w:p>
    <w:p>
      <w:pPr>
        <w:spacing w:before="119"/>
        <w:ind w:left="360" w:right="0" w:firstLine="0"/>
        <w:jc w:val="left"/>
        <w:rPr>
          <w:sz w:val="22"/>
        </w:rPr>
      </w:pPr>
      <w:r>
        <w:rPr>
          <w:sz w:val="22"/>
        </w:rPr>
        <w:t>Registered as proprietor on </w:t>
      </w:r>
      <w:r>
        <w:rPr>
          <w:b/>
          <w:sz w:val="22"/>
        </w:rPr>
        <w:t>14 March </w:t>
      </w:r>
      <w:r>
        <w:rPr>
          <w:b/>
          <w:spacing w:val="-2"/>
          <w:sz w:val="22"/>
        </w:rPr>
        <w:t>2019</w:t>
      </w:r>
      <w:r>
        <w:rPr>
          <w:spacing w:val="-2"/>
          <w:sz w:val="22"/>
        </w:rPr>
        <w:t>.</w:t>
      </w:r>
    </w:p>
    <w:p>
      <w:pPr>
        <w:pStyle w:val="BodyText"/>
        <w:spacing w:before="136"/>
      </w:pPr>
    </w:p>
    <w:p>
      <w:pPr>
        <w:pStyle w:val="Heading2"/>
      </w:pPr>
      <w:r>
        <w:rPr/>
        <w:t>Price Paid / Value </w:t>
      </w:r>
      <w:r>
        <w:rPr>
          <w:spacing w:val="-2"/>
        </w:rPr>
        <w:t>Stated</w:t>
      </w:r>
    </w:p>
    <w:p>
      <w:pPr>
        <w:pStyle w:val="BodyText"/>
        <w:spacing w:line="266" w:lineRule="auto" w:before="196"/>
        <w:ind w:left="360"/>
      </w:pPr>
      <w:r>
        <w:rPr/>
        <w:t>The</w:t>
      </w:r>
      <w:r>
        <w:rPr>
          <w:spacing w:val="40"/>
        </w:rPr>
        <w:t> </w:t>
      </w:r>
      <w:r>
        <w:rPr/>
        <w:t>price</w:t>
      </w:r>
      <w:r>
        <w:rPr>
          <w:spacing w:val="40"/>
        </w:rPr>
        <w:t> </w:t>
      </w:r>
      <w:r>
        <w:rPr/>
        <w:t>stated</w:t>
      </w:r>
      <w:r>
        <w:rPr>
          <w:spacing w:val="40"/>
        </w:rPr>
        <w:t> </w:t>
      </w:r>
      <w:r>
        <w:rPr/>
        <w:t>on</w:t>
      </w:r>
      <w:r>
        <w:rPr>
          <w:spacing w:val="40"/>
        </w:rPr>
        <w:t> </w:t>
      </w:r>
      <w:r>
        <w:rPr/>
        <w:t>the</w:t>
      </w:r>
      <w:r>
        <w:rPr>
          <w:spacing w:val="40"/>
        </w:rPr>
        <w:t> </w:t>
      </w:r>
      <w:r>
        <w:rPr/>
        <w:t>transfer</w:t>
      </w:r>
      <w:r>
        <w:rPr>
          <w:spacing w:val="40"/>
        </w:rPr>
        <w:t> </w:t>
      </w:r>
      <w:r>
        <w:rPr/>
        <w:t>dated</w:t>
      </w:r>
      <w:r>
        <w:rPr>
          <w:spacing w:val="40"/>
        </w:rPr>
        <w:t> </w:t>
      </w:r>
      <w:r>
        <w:rPr/>
        <w:t>14</w:t>
      </w:r>
      <w:r>
        <w:rPr>
          <w:spacing w:val="40"/>
        </w:rPr>
        <w:t> </w:t>
      </w:r>
      <w:r>
        <w:rPr/>
        <w:t>March</w:t>
      </w:r>
      <w:r>
        <w:rPr>
          <w:spacing w:val="40"/>
        </w:rPr>
        <w:t> </w:t>
      </w:r>
      <w:r>
        <w:rPr/>
        <w:t>2019</w:t>
      </w:r>
      <w:r>
        <w:rPr>
          <w:spacing w:val="40"/>
        </w:rPr>
        <w:t> </w:t>
      </w:r>
      <w:r>
        <w:rPr/>
        <w:t>was</w:t>
      </w:r>
      <w:r>
        <w:rPr>
          <w:spacing w:val="40"/>
        </w:rPr>
        <w:t> </w:t>
      </w:r>
      <w:r>
        <w:rPr>
          <w:b/>
        </w:rPr>
        <w:t>£4,250,000</w:t>
      </w:r>
      <w:r>
        <w:rPr>
          <w:b/>
          <w:spacing w:val="40"/>
        </w:rPr>
        <w:t> </w:t>
      </w:r>
      <w:r>
        <w:rPr/>
        <w:t>(Four</w:t>
      </w:r>
      <w:r>
        <w:rPr>
          <w:spacing w:val="40"/>
        </w:rPr>
        <w:t> </w:t>
      </w:r>
      <w:r>
        <w:rPr/>
        <w:t>Million</w:t>
      </w:r>
      <w:r>
        <w:rPr>
          <w:spacing w:val="40"/>
        </w:rPr>
        <w:t> </w:t>
      </w:r>
      <w:r>
        <w:rPr/>
        <w:t>Two Hundred and Fifty Thousand Pounds).</w:t>
      </w:r>
    </w:p>
    <w:p>
      <w:pPr>
        <w:pStyle w:val="BodyText"/>
        <w:spacing w:before="108"/>
      </w:pPr>
    </w:p>
    <w:p>
      <w:pPr>
        <w:pStyle w:val="Heading2"/>
      </w:pPr>
      <w:r>
        <w:rPr/>
        <w:t>Charges </w:t>
      </w:r>
      <w:r>
        <w:rPr>
          <w:spacing w:val="-2"/>
        </w:rPr>
        <w:t>Register</w:t>
      </w:r>
    </w:p>
    <w:p>
      <w:pPr>
        <w:pStyle w:val="BodyText"/>
        <w:spacing w:before="3"/>
        <w:rPr>
          <w:rFonts w:ascii="Arial"/>
          <w:b/>
          <w:sz w:val="15"/>
        </w:rPr>
      </w:pPr>
    </w:p>
    <w:tbl>
      <w:tblPr>
        <w:tblW w:w="0" w:type="auto"/>
        <w:jc w:val="left"/>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850"/>
        <w:gridCol w:w="1700"/>
        <w:gridCol w:w="6235"/>
      </w:tblGrid>
      <w:tr>
        <w:trPr>
          <w:trHeight w:val="450" w:hRule="atLeast"/>
        </w:trPr>
        <w:tc>
          <w:tcPr>
            <w:tcW w:w="850" w:type="dxa"/>
            <w:shd w:val="clear" w:color="auto" w:fill="E8E8E8"/>
          </w:tcPr>
          <w:p>
            <w:pPr>
              <w:pStyle w:val="TableParagraph"/>
              <w:spacing w:before="87"/>
              <w:rPr>
                <w:rFonts w:ascii="Arial"/>
                <w:b/>
                <w:sz w:val="20"/>
              </w:rPr>
            </w:pPr>
            <w:r>
              <w:rPr>
                <w:rFonts w:ascii="Arial"/>
                <w:b/>
                <w:spacing w:val="-2"/>
                <w:sz w:val="20"/>
              </w:rPr>
              <w:t>Entry</w:t>
            </w:r>
          </w:p>
        </w:tc>
        <w:tc>
          <w:tcPr>
            <w:tcW w:w="1700" w:type="dxa"/>
            <w:shd w:val="clear" w:color="auto" w:fill="E8E8E8"/>
          </w:tcPr>
          <w:p>
            <w:pPr>
              <w:pStyle w:val="TableParagraph"/>
              <w:spacing w:before="87"/>
              <w:rPr>
                <w:rFonts w:ascii="Arial"/>
                <w:b/>
                <w:sz w:val="20"/>
              </w:rPr>
            </w:pPr>
            <w:r>
              <w:rPr>
                <w:rFonts w:ascii="Arial"/>
                <w:b/>
                <w:spacing w:val="-4"/>
                <w:sz w:val="20"/>
              </w:rPr>
              <w:t>Date</w:t>
            </w:r>
          </w:p>
        </w:tc>
        <w:tc>
          <w:tcPr>
            <w:tcW w:w="6235" w:type="dxa"/>
            <w:shd w:val="clear" w:color="auto" w:fill="E8E8E8"/>
          </w:tcPr>
          <w:p>
            <w:pPr>
              <w:pStyle w:val="TableParagraph"/>
              <w:spacing w:before="87"/>
              <w:ind w:left="121"/>
              <w:rPr>
                <w:rFonts w:ascii="Arial"/>
                <w:b/>
                <w:sz w:val="20"/>
              </w:rPr>
            </w:pPr>
            <w:r>
              <w:rPr>
                <w:rFonts w:ascii="Arial"/>
                <w:b/>
                <w:spacing w:val="-2"/>
                <w:sz w:val="20"/>
              </w:rPr>
              <w:t>Details</w:t>
            </w:r>
          </w:p>
        </w:tc>
      </w:tr>
      <w:tr>
        <w:trPr>
          <w:trHeight w:val="1230" w:hRule="atLeast"/>
        </w:trPr>
        <w:tc>
          <w:tcPr>
            <w:tcW w:w="850" w:type="dxa"/>
          </w:tcPr>
          <w:p>
            <w:pPr>
              <w:pStyle w:val="TableParagraph"/>
              <w:rPr>
                <w:sz w:val="20"/>
              </w:rPr>
            </w:pPr>
            <w:r>
              <w:rPr>
                <w:spacing w:val="-10"/>
                <w:sz w:val="20"/>
              </w:rPr>
              <w:t>1</w:t>
            </w:r>
          </w:p>
        </w:tc>
        <w:tc>
          <w:tcPr>
            <w:tcW w:w="1700" w:type="dxa"/>
          </w:tcPr>
          <w:p>
            <w:pPr>
              <w:pStyle w:val="TableParagraph"/>
              <w:rPr>
                <w:sz w:val="20"/>
              </w:rPr>
            </w:pPr>
            <w:r>
              <w:rPr>
                <w:sz w:val="20"/>
              </w:rPr>
              <w:t>15 March </w:t>
            </w:r>
            <w:r>
              <w:rPr>
                <w:spacing w:val="-4"/>
                <w:sz w:val="20"/>
              </w:rPr>
              <w:t>2019</w:t>
            </w:r>
          </w:p>
        </w:tc>
        <w:tc>
          <w:tcPr>
            <w:tcW w:w="6235" w:type="dxa"/>
          </w:tcPr>
          <w:p>
            <w:pPr>
              <w:pStyle w:val="TableParagraph"/>
              <w:spacing w:line="271" w:lineRule="auto"/>
              <w:ind w:left="121" w:right="146"/>
              <w:rPr>
                <w:sz w:val="20"/>
              </w:rPr>
            </w:pPr>
            <w:r>
              <w:rPr>
                <w:sz w:val="20"/>
              </w:rPr>
              <w:t>LEGAL CHARGE dated 15 March 2019 in favour of </w:t>
            </w:r>
            <w:r>
              <w:rPr>
                <w:b/>
                <w:sz w:val="20"/>
              </w:rPr>
              <w:t>Barclays Bank PLC </w:t>
            </w:r>
            <w:r>
              <w:rPr>
                <w:sz w:val="20"/>
              </w:rPr>
              <w:t>(Company No. 01026167), registered office at 1 Churchill Place, London</w:t>
            </w:r>
            <w:r>
              <w:rPr>
                <w:spacing w:val="-4"/>
                <w:sz w:val="20"/>
              </w:rPr>
              <w:t> </w:t>
            </w:r>
            <w:r>
              <w:rPr>
                <w:sz w:val="20"/>
              </w:rPr>
              <w:t>E14</w:t>
            </w:r>
            <w:r>
              <w:rPr>
                <w:spacing w:val="-4"/>
                <w:sz w:val="20"/>
              </w:rPr>
              <w:t> </w:t>
            </w:r>
            <w:r>
              <w:rPr>
                <w:sz w:val="20"/>
              </w:rPr>
              <w:t>5HP.</w:t>
            </w:r>
            <w:r>
              <w:rPr>
                <w:spacing w:val="-4"/>
                <w:sz w:val="20"/>
              </w:rPr>
              <w:t> </w:t>
            </w:r>
            <w:r>
              <w:rPr>
                <w:sz w:val="20"/>
              </w:rPr>
              <w:t>The</w:t>
            </w:r>
            <w:r>
              <w:rPr>
                <w:spacing w:val="-4"/>
                <w:sz w:val="20"/>
              </w:rPr>
              <w:t> </w:t>
            </w:r>
            <w:r>
              <w:rPr>
                <w:sz w:val="20"/>
              </w:rPr>
              <w:t>charge</w:t>
            </w:r>
            <w:r>
              <w:rPr>
                <w:spacing w:val="-4"/>
                <w:sz w:val="20"/>
              </w:rPr>
              <w:t> </w:t>
            </w:r>
            <w:r>
              <w:rPr>
                <w:sz w:val="20"/>
              </w:rPr>
              <w:t>secures</w:t>
            </w:r>
            <w:r>
              <w:rPr>
                <w:spacing w:val="-4"/>
                <w:sz w:val="20"/>
              </w:rPr>
              <w:t> </w:t>
            </w:r>
            <w:r>
              <w:rPr>
                <w:sz w:val="20"/>
              </w:rPr>
              <w:t>further</w:t>
            </w:r>
            <w:r>
              <w:rPr>
                <w:spacing w:val="-4"/>
                <w:sz w:val="20"/>
              </w:rPr>
              <w:t> </w:t>
            </w:r>
            <w:r>
              <w:rPr>
                <w:sz w:val="20"/>
              </w:rPr>
              <w:t>advances.</w:t>
            </w:r>
            <w:r>
              <w:rPr>
                <w:spacing w:val="-4"/>
                <w:sz w:val="20"/>
              </w:rPr>
              <w:t> </w:t>
            </w:r>
            <w:r>
              <w:rPr>
                <w:sz w:val="20"/>
              </w:rPr>
              <w:t>NOTE:</w:t>
            </w:r>
            <w:r>
              <w:rPr>
                <w:spacing w:val="-4"/>
                <w:sz w:val="20"/>
              </w:rPr>
              <w:t> </w:t>
            </w:r>
            <w:r>
              <w:rPr>
                <w:sz w:val="20"/>
              </w:rPr>
              <w:t>Copy</w:t>
            </w:r>
            <w:r>
              <w:rPr>
                <w:spacing w:val="-4"/>
                <w:sz w:val="20"/>
              </w:rPr>
              <w:t> </w:t>
            </w:r>
            <w:r>
              <w:rPr>
                <w:sz w:val="20"/>
              </w:rPr>
              <w:t>of charge filed under reference LN782451/1.</w:t>
            </w:r>
          </w:p>
        </w:tc>
      </w:tr>
    </w:tbl>
    <w:p>
      <w:pPr>
        <w:pStyle w:val="TableParagraph"/>
        <w:spacing w:after="0" w:line="271" w:lineRule="auto"/>
        <w:rPr>
          <w:sz w:val="20"/>
        </w:rPr>
        <w:sectPr>
          <w:headerReference w:type="default" r:id="rId5"/>
          <w:footerReference w:type="default" r:id="rId6"/>
          <w:type w:val="continuous"/>
          <w:pgSz w:w="11910" w:h="16840"/>
          <w:pgMar w:header="762" w:footer="745" w:top="1640" w:bottom="940" w:left="1417" w:right="1417"/>
          <w:pgNumType w:start="1"/>
        </w:sectPr>
      </w:pPr>
    </w:p>
    <w:p>
      <w:pPr>
        <w:pStyle w:val="BodyText"/>
        <w:rPr>
          <w:rFonts w:ascii="Arial"/>
          <w:b/>
          <w:sz w:val="5"/>
        </w:rPr>
      </w:pPr>
    </w:p>
    <w:tbl>
      <w:tblPr>
        <w:tblW w:w="0" w:type="auto"/>
        <w:jc w:val="left"/>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850"/>
        <w:gridCol w:w="1700"/>
        <w:gridCol w:w="6235"/>
      </w:tblGrid>
      <w:tr>
        <w:trPr>
          <w:trHeight w:val="970" w:hRule="atLeast"/>
        </w:trPr>
        <w:tc>
          <w:tcPr>
            <w:tcW w:w="850" w:type="dxa"/>
          </w:tcPr>
          <w:p>
            <w:pPr>
              <w:pStyle w:val="TableParagraph"/>
              <w:rPr>
                <w:sz w:val="20"/>
              </w:rPr>
            </w:pPr>
            <w:r>
              <w:rPr>
                <w:spacing w:val="-10"/>
                <w:sz w:val="20"/>
              </w:rPr>
              <w:t>2</w:t>
            </w:r>
          </w:p>
        </w:tc>
        <w:tc>
          <w:tcPr>
            <w:tcW w:w="1700" w:type="dxa"/>
          </w:tcPr>
          <w:p>
            <w:pPr>
              <w:pStyle w:val="TableParagraph"/>
              <w:rPr>
                <w:sz w:val="20"/>
              </w:rPr>
            </w:pPr>
            <w:r>
              <w:rPr>
                <w:sz w:val="20"/>
              </w:rPr>
              <w:t>1 June </w:t>
            </w:r>
            <w:r>
              <w:rPr>
                <w:spacing w:val="-4"/>
                <w:sz w:val="20"/>
              </w:rPr>
              <w:t>1952</w:t>
            </w:r>
          </w:p>
        </w:tc>
        <w:tc>
          <w:tcPr>
            <w:tcW w:w="6235" w:type="dxa"/>
          </w:tcPr>
          <w:p>
            <w:pPr>
              <w:pStyle w:val="TableParagraph"/>
              <w:spacing w:line="271" w:lineRule="auto"/>
              <w:ind w:left="121" w:right="146"/>
              <w:rPr>
                <w:sz w:val="20"/>
              </w:rPr>
            </w:pPr>
            <w:r>
              <w:rPr>
                <w:sz w:val="20"/>
              </w:rPr>
              <w:t>RESTRICTIVE COVENANT dated 1 June 1952 contained in a conveyance of the land in this title by the London County Council to Herbert</w:t>
            </w:r>
            <w:r>
              <w:rPr>
                <w:spacing w:val="-5"/>
                <w:sz w:val="20"/>
              </w:rPr>
              <w:t> </w:t>
            </w:r>
            <w:r>
              <w:rPr>
                <w:sz w:val="20"/>
              </w:rPr>
              <w:t>William</w:t>
            </w:r>
            <w:r>
              <w:rPr>
                <w:spacing w:val="-5"/>
                <w:sz w:val="20"/>
              </w:rPr>
              <w:t> </w:t>
            </w:r>
            <w:r>
              <w:rPr>
                <w:sz w:val="20"/>
              </w:rPr>
              <w:t>Marsh.</w:t>
            </w:r>
            <w:r>
              <w:rPr>
                <w:spacing w:val="-5"/>
                <w:sz w:val="20"/>
              </w:rPr>
              <w:t> </w:t>
            </w:r>
            <w:r>
              <w:rPr>
                <w:sz w:val="20"/>
              </w:rPr>
              <w:t>See</w:t>
            </w:r>
            <w:r>
              <w:rPr>
                <w:spacing w:val="-5"/>
                <w:sz w:val="20"/>
              </w:rPr>
              <w:t> </w:t>
            </w:r>
            <w:r>
              <w:rPr>
                <w:sz w:val="20"/>
              </w:rPr>
              <w:t>details</w:t>
            </w:r>
            <w:r>
              <w:rPr>
                <w:spacing w:val="-5"/>
                <w:sz w:val="20"/>
              </w:rPr>
              <w:t> </w:t>
            </w:r>
            <w:r>
              <w:rPr>
                <w:sz w:val="20"/>
              </w:rPr>
              <w:t>under</w:t>
            </w:r>
            <w:r>
              <w:rPr>
                <w:spacing w:val="-5"/>
                <w:sz w:val="20"/>
              </w:rPr>
              <w:t> </w:t>
            </w:r>
            <w:r>
              <w:rPr>
                <w:sz w:val="20"/>
              </w:rPr>
              <w:t>Restrictive</w:t>
            </w:r>
            <w:r>
              <w:rPr>
                <w:spacing w:val="-5"/>
                <w:sz w:val="20"/>
              </w:rPr>
              <w:t> </w:t>
            </w:r>
            <w:r>
              <w:rPr>
                <w:sz w:val="20"/>
              </w:rPr>
              <w:t>Covenants</w:t>
            </w:r>
            <w:r>
              <w:rPr>
                <w:spacing w:val="-5"/>
                <w:sz w:val="20"/>
              </w:rPr>
              <w:t> </w:t>
            </w:r>
            <w:r>
              <w:rPr>
                <w:sz w:val="20"/>
              </w:rPr>
              <w:t>below.</w:t>
            </w:r>
          </w:p>
        </w:tc>
      </w:tr>
    </w:tbl>
    <w:p>
      <w:pPr>
        <w:pStyle w:val="BodyText"/>
        <w:spacing w:before="51"/>
        <w:rPr>
          <w:rFonts w:ascii="Arial"/>
          <w:b/>
          <w:sz w:val="28"/>
        </w:rPr>
      </w:pPr>
    </w:p>
    <w:p>
      <w:pPr>
        <w:spacing w:before="0"/>
        <w:ind w:left="120" w:right="0" w:firstLine="0"/>
        <w:jc w:val="left"/>
        <w:rPr>
          <w:rFonts w:ascii="Arial"/>
          <w:b/>
          <w:sz w:val="28"/>
        </w:rPr>
      </w:pPr>
      <w:r>
        <w:rPr>
          <w:rFonts w:ascii="Arial"/>
          <w:b/>
          <w:sz w:val="28"/>
        </w:rPr>
        <w:t>Restrictive </w:t>
      </w:r>
      <w:r>
        <w:rPr>
          <w:rFonts w:ascii="Arial"/>
          <w:b/>
          <w:spacing w:val="-2"/>
          <w:sz w:val="28"/>
        </w:rPr>
        <w:t>Covenants</w:t>
      </w:r>
    </w:p>
    <w:p>
      <w:pPr>
        <w:pStyle w:val="BodyText"/>
        <w:spacing w:line="266" w:lineRule="auto" w:before="195"/>
        <w:ind w:left="360" w:right="119"/>
        <w:jc w:val="both"/>
      </w:pPr>
      <w:r>
        <w:rPr/>
        <w:t>The following restrictive covenants are contained in the conveyance dated 1 June 1952 and </w:t>
      </w:r>
      <w:r>
        <w:rPr/>
        <w:t>are binding on the registered proprietor and successors in title:</w:t>
      </w:r>
    </w:p>
    <w:p>
      <w:pPr>
        <w:pStyle w:val="ListParagraph"/>
        <w:numPr>
          <w:ilvl w:val="0"/>
          <w:numId w:val="1"/>
        </w:numPr>
        <w:tabs>
          <w:tab w:pos="873" w:val="left" w:leader="none"/>
        </w:tabs>
        <w:spacing w:line="266" w:lineRule="auto" w:before="119" w:after="0"/>
        <w:ind w:left="600" w:right="118" w:firstLine="0"/>
        <w:jc w:val="both"/>
        <w:rPr>
          <w:sz w:val="22"/>
        </w:rPr>
      </w:pPr>
      <w:r>
        <w:rPr>
          <w:b/>
          <w:sz w:val="22"/>
        </w:rPr>
        <w:t>Covenant not to use for industrial purposes: </w:t>
      </w:r>
      <w:r>
        <w:rPr>
          <w:sz w:val="22"/>
        </w:rPr>
        <w:t>The property shall not at any time be used for any industrial, manufacturing or heavy commercial purpose, nor for any purpose which may be or become a nuisance, annoyance or disturbance to the owners or occupiers of neighbouring properties.</w:t>
      </w:r>
    </w:p>
    <w:p>
      <w:pPr>
        <w:pStyle w:val="ListParagraph"/>
        <w:numPr>
          <w:ilvl w:val="0"/>
          <w:numId w:val="1"/>
        </w:numPr>
        <w:tabs>
          <w:tab w:pos="948" w:val="left" w:leader="none"/>
        </w:tabs>
        <w:spacing w:line="266" w:lineRule="auto" w:before="117" w:after="0"/>
        <w:ind w:left="600" w:right="119" w:firstLine="0"/>
        <w:jc w:val="both"/>
        <w:rPr>
          <w:sz w:val="22"/>
        </w:rPr>
      </w:pPr>
      <w:r>
        <w:rPr>
          <w:b/>
          <w:sz w:val="22"/>
        </w:rPr>
        <w:t>Covenant to maintain boundary fencing: </w:t>
      </w:r>
      <w:r>
        <w:rPr>
          <w:sz w:val="22"/>
        </w:rPr>
        <w:t>The proprietor shall at all times maintain </w:t>
      </w:r>
      <w:r>
        <w:rPr>
          <w:sz w:val="22"/>
        </w:rPr>
        <w:t>in good repair boundary fencing to a minimum height of 1.8 metres (6 feet) along all boundaries of the property which adjoin residential properties.</w:t>
      </w:r>
    </w:p>
    <w:p>
      <w:pPr>
        <w:pStyle w:val="ListParagraph"/>
        <w:numPr>
          <w:ilvl w:val="0"/>
          <w:numId w:val="1"/>
        </w:numPr>
        <w:tabs>
          <w:tab w:pos="994" w:val="left" w:leader="none"/>
        </w:tabs>
        <w:spacing w:line="266" w:lineRule="auto" w:before="117" w:after="0"/>
        <w:ind w:left="600" w:right="118" w:firstLine="0"/>
        <w:jc w:val="both"/>
        <w:rPr>
          <w:sz w:val="22"/>
        </w:rPr>
      </w:pPr>
      <w:r>
        <w:rPr>
          <w:b/>
          <w:sz w:val="22"/>
        </w:rPr>
        <w:t>Covenant not to build above 4 storeys: </w:t>
      </w:r>
      <w:r>
        <w:rPr>
          <w:sz w:val="22"/>
        </w:rPr>
        <w:t>No building or structure shall be erected on </w:t>
      </w:r>
      <w:r>
        <w:rPr>
          <w:sz w:val="22"/>
        </w:rPr>
        <w:t>the property which exceeds four (4) storeys in height, measured from the existing ground level at the date of the conveyance.</w:t>
      </w:r>
    </w:p>
    <w:p>
      <w:pPr>
        <w:pStyle w:val="BodyText"/>
        <w:spacing w:before="107"/>
      </w:pPr>
    </w:p>
    <w:p>
      <w:pPr>
        <w:pStyle w:val="Heading2"/>
      </w:pPr>
      <w:r>
        <w:rPr>
          <w:spacing w:val="-2"/>
        </w:rPr>
        <w:t>Easements</w:t>
      </w:r>
    </w:p>
    <w:p>
      <w:pPr>
        <w:pStyle w:val="ListParagraph"/>
        <w:numPr>
          <w:ilvl w:val="1"/>
          <w:numId w:val="1"/>
        </w:numPr>
        <w:tabs>
          <w:tab w:pos="938" w:val="left" w:leader="none"/>
        </w:tabs>
        <w:spacing w:line="266" w:lineRule="auto" w:before="196" w:after="0"/>
        <w:ind w:left="600" w:right="119" w:firstLine="0"/>
        <w:jc w:val="both"/>
        <w:rPr>
          <w:sz w:val="22"/>
        </w:rPr>
      </w:pPr>
      <w:r>
        <w:rPr>
          <w:b/>
          <w:sz w:val="22"/>
        </w:rPr>
        <w:t>Right of way: </w:t>
      </w:r>
      <w:r>
        <w:rPr>
          <w:sz w:val="22"/>
        </w:rPr>
        <w:t>The property has the benefit of a right of way at all times and for </w:t>
      </w:r>
      <w:r>
        <w:rPr>
          <w:sz w:val="22"/>
        </w:rPr>
        <w:t>all purposes with or without vehicles over the access road to the north of the property (coloured brown on the title plan) leading to Victoria Park Road.</w:t>
      </w:r>
    </w:p>
    <w:p>
      <w:pPr>
        <w:pStyle w:val="ListParagraph"/>
        <w:numPr>
          <w:ilvl w:val="1"/>
          <w:numId w:val="1"/>
        </w:numPr>
        <w:tabs>
          <w:tab w:pos="941" w:val="left" w:leader="none"/>
        </w:tabs>
        <w:spacing w:line="266" w:lineRule="auto" w:before="117" w:after="0"/>
        <w:ind w:left="600" w:right="119" w:firstLine="0"/>
        <w:jc w:val="both"/>
        <w:rPr>
          <w:sz w:val="22"/>
        </w:rPr>
      </w:pPr>
      <w:r>
        <w:rPr>
          <w:b/>
          <w:sz w:val="22"/>
        </w:rPr>
        <w:t>Drainage easement: </w:t>
      </w:r>
      <w:r>
        <w:rPr>
          <w:sz w:val="22"/>
        </w:rPr>
        <w:t>There exists a drainage easement for a shared sewer running in a north-easterly to south-westerly direction across the property (shown by a broken blue line </w:t>
      </w:r>
      <w:r>
        <w:rPr>
          <w:sz w:val="22"/>
        </w:rPr>
        <w:t>on the title plan). The registered proprietor is obliged to permit access for maintenance and repair of the sewer by the relevant statutory undertaker and by the owners of adjoining properties having the benefit of the easement.</w:t>
      </w:r>
    </w:p>
    <w:p>
      <w:pPr>
        <w:pStyle w:val="BodyText"/>
        <w:spacing w:before="106"/>
      </w:pPr>
    </w:p>
    <w:p>
      <w:pPr>
        <w:pStyle w:val="Heading2"/>
      </w:pPr>
      <w:r>
        <w:rPr/>
        <w:t>Noted </w:t>
      </w:r>
      <w:r>
        <w:rPr>
          <w:spacing w:val="-2"/>
        </w:rPr>
        <w:t>Entries</w:t>
      </w:r>
    </w:p>
    <w:p>
      <w:pPr>
        <w:pStyle w:val="ListParagraph"/>
        <w:numPr>
          <w:ilvl w:val="0"/>
          <w:numId w:val="2"/>
        </w:numPr>
        <w:tabs>
          <w:tab w:pos="953" w:val="left" w:leader="none"/>
        </w:tabs>
        <w:spacing w:line="266" w:lineRule="auto" w:before="195" w:after="0"/>
        <w:ind w:left="600" w:right="118" w:firstLine="0"/>
        <w:jc w:val="both"/>
        <w:rPr>
          <w:sz w:val="22"/>
        </w:rPr>
      </w:pPr>
      <w:r>
        <w:rPr>
          <w:b/>
          <w:sz w:val="22"/>
        </w:rPr>
        <w:t>Planning permission B/2023/4521: </w:t>
      </w:r>
      <w:r>
        <w:rPr>
          <w:sz w:val="22"/>
        </w:rPr>
        <w:t>Planning permission was granted by the </w:t>
      </w:r>
      <w:r>
        <w:rPr>
          <w:sz w:val="22"/>
        </w:rPr>
        <w:t>London Borough of Hackney on 8 September 2023 for the demolition of the existing commercial building</w:t>
      </w:r>
      <w:r>
        <w:rPr>
          <w:spacing w:val="21"/>
          <w:sz w:val="22"/>
        </w:rPr>
        <w:t> </w:t>
      </w:r>
      <w:r>
        <w:rPr>
          <w:sz w:val="22"/>
        </w:rPr>
        <w:t>and</w:t>
      </w:r>
      <w:r>
        <w:rPr>
          <w:spacing w:val="21"/>
          <w:sz w:val="22"/>
        </w:rPr>
        <w:t> </w:t>
      </w:r>
      <w:r>
        <w:rPr>
          <w:sz w:val="22"/>
        </w:rPr>
        <w:t>the</w:t>
      </w:r>
      <w:r>
        <w:rPr>
          <w:spacing w:val="21"/>
          <w:sz w:val="22"/>
        </w:rPr>
        <w:t> </w:t>
      </w:r>
      <w:r>
        <w:rPr>
          <w:sz w:val="22"/>
        </w:rPr>
        <w:t>erection</w:t>
      </w:r>
      <w:r>
        <w:rPr>
          <w:spacing w:val="21"/>
          <w:sz w:val="22"/>
        </w:rPr>
        <w:t> </w:t>
      </w:r>
      <w:r>
        <w:rPr>
          <w:sz w:val="22"/>
        </w:rPr>
        <w:t>of</w:t>
      </w:r>
      <w:r>
        <w:rPr>
          <w:spacing w:val="21"/>
          <w:sz w:val="22"/>
        </w:rPr>
        <w:t> </w:t>
      </w:r>
      <w:r>
        <w:rPr>
          <w:sz w:val="22"/>
        </w:rPr>
        <w:t>a</w:t>
      </w:r>
      <w:r>
        <w:rPr>
          <w:spacing w:val="21"/>
          <w:sz w:val="22"/>
        </w:rPr>
        <w:t> </w:t>
      </w:r>
      <w:r>
        <w:rPr>
          <w:sz w:val="22"/>
        </w:rPr>
        <w:t>residential</w:t>
      </w:r>
      <w:r>
        <w:rPr>
          <w:spacing w:val="21"/>
          <w:sz w:val="22"/>
        </w:rPr>
        <w:t> </w:t>
      </w:r>
      <w:r>
        <w:rPr>
          <w:sz w:val="22"/>
        </w:rPr>
        <w:t>development</w:t>
      </w:r>
      <w:r>
        <w:rPr>
          <w:spacing w:val="21"/>
          <w:sz w:val="22"/>
        </w:rPr>
        <w:t> </w:t>
      </w:r>
      <w:r>
        <w:rPr>
          <w:sz w:val="22"/>
        </w:rPr>
        <w:t>comprising</w:t>
      </w:r>
      <w:r>
        <w:rPr>
          <w:spacing w:val="21"/>
          <w:sz w:val="22"/>
        </w:rPr>
        <w:t> </w:t>
      </w:r>
      <w:r>
        <w:rPr>
          <w:sz w:val="22"/>
        </w:rPr>
        <w:t>48</w:t>
      </w:r>
      <w:r>
        <w:rPr>
          <w:spacing w:val="21"/>
          <w:sz w:val="22"/>
        </w:rPr>
        <w:t> </w:t>
      </w:r>
      <w:r>
        <w:rPr>
          <w:sz w:val="22"/>
        </w:rPr>
        <w:t>residential</w:t>
      </w:r>
      <w:r>
        <w:rPr>
          <w:spacing w:val="21"/>
          <w:sz w:val="22"/>
        </w:rPr>
        <w:t> </w:t>
      </w:r>
      <w:r>
        <w:rPr>
          <w:sz w:val="22"/>
        </w:rPr>
        <w:t>units</w:t>
      </w:r>
      <w:r>
        <w:rPr>
          <w:spacing w:val="21"/>
          <w:sz w:val="22"/>
        </w:rPr>
        <w:t> </w:t>
      </w:r>
      <w:r>
        <w:rPr>
          <w:sz w:val="22"/>
        </w:rPr>
        <w:t>(12</w:t>
      </w:r>
      <w:r>
        <w:rPr>
          <w:spacing w:val="21"/>
          <w:sz w:val="22"/>
        </w:rPr>
        <w:t> </w:t>
      </w:r>
      <w:r>
        <w:rPr>
          <w:sz w:val="22"/>
        </w:rPr>
        <w:t>x 1-bed, 24 x 2-bed, 12 x 3-bed) in two blocks of 3 and 4 storeys respectively, together with associated landscaping, car parking (24 spaces) and cycle storage.</w:t>
      </w:r>
    </w:p>
    <w:p>
      <w:pPr>
        <w:pStyle w:val="ListParagraph"/>
        <w:numPr>
          <w:ilvl w:val="0"/>
          <w:numId w:val="2"/>
        </w:numPr>
        <w:tabs>
          <w:tab w:pos="949" w:val="left" w:leader="none"/>
        </w:tabs>
        <w:spacing w:line="266" w:lineRule="auto" w:before="116" w:after="0"/>
        <w:ind w:left="600" w:right="118" w:firstLine="0"/>
        <w:jc w:val="both"/>
        <w:rPr>
          <w:sz w:val="22"/>
        </w:rPr>
      </w:pPr>
      <w:r>
        <w:rPr>
          <w:b/>
          <w:sz w:val="22"/>
        </w:rPr>
        <w:t>Section 106 Agreement: </w:t>
      </w:r>
      <w:r>
        <w:rPr>
          <w:sz w:val="22"/>
        </w:rPr>
        <w:t>A Section 106 Agreement (Town and Country Planning </w:t>
      </w:r>
      <w:r>
        <w:rPr>
          <w:sz w:val="22"/>
        </w:rPr>
        <w:t>Act 1990) dated 12 October 2023 between the London Borough of Hackney (1), Victoria Park Developments Ltd (2), and Barclays Bank PLC (3) has been registered against the title. Key obligations include: provision of 35% affordable housing (17 units), contribution of £185,000 towards local highway improvements, contribution of £75,000 towards public open space, and a commitment to enter into a local employment agreement during the construction phase.</w:t>
      </w:r>
    </w:p>
    <w:p>
      <w:pPr>
        <w:pStyle w:val="ListParagraph"/>
        <w:spacing w:after="0" w:line="266" w:lineRule="auto"/>
        <w:jc w:val="both"/>
        <w:rPr>
          <w:sz w:val="22"/>
        </w:rPr>
        <w:sectPr>
          <w:pgSz w:w="11910" w:h="16840"/>
          <w:pgMar w:header="762" w:footer="745" w:top="1640" w:bottom="940" w:left="1417" w:right="1417"/>
        </w:sectPr>
      </w:pPr>
    </w:p>
    <w:p>
      <w:pPr>
        <w:pStyle w:val="Heading2"/>
        <w:spacing w:before="81"/>
      </w:pPr>
      <w:r>
        <w:rPr/>
        <w:t>Cautions and </w:t>
      </w:r>
      <w:r>
        <w:rPr>
          <w:spacing w:val="-2"/>
        </w:rPr>
        <w:t>Restrictions</w:t>
      </w:r>
    </w:p>
    <w:p>
      <w:pPr>
        <w:pStyle w:val="BodyText"/>
        <w:spacing w:before="195"/>
        <w:ind w:left="360"/>
      </w:pPr>
      <w:r>
        <w:rPr/>
        <w:t>There are no cautions, restrictions on disposition, or inhibitions registered against this </w:t>
      </w:r>
      <w:r>
        <w:rPr>
          <w:spacing w:val="-2"/>
        </w:rPr>
        <w:t>title.</w:t>
      </w:r>
    </w:p>
    <w:p>
      <w:pPr>
        <w:pStyle w:val="BodyText"/>
      </w:pPr>
    </w:p>
    <w:p>
      <w:pPr>
        <w:pStyle w:val="BodyText"/>
      </w:pPr>
    </w:p>
    <w:p>
      <w:pPr>
        <w:pStyle w:val="BodyText"/>
        <w:spacing w:before="250"/>
      </w:pPr>
    </w:p>
    <w:p>
      <w:pPr>
        <w:pStyle w:val="BodyText"/>
        <w:spacing w:line="266" w:lineRule="auto"/>
        <w:ind w:left="360" w:right="119"/>
        <w:jc w:val="both"/>
      </w:pPr>
      <w:r>
        <w:rPr/>
        <mc:AlternateContent>
          <mc:Choice Requires="wps">
            <w:drawing>
              <wp:anchor distT="0" distB="0" distL="0" distR="0" allowOverlap="1" layoutInCell="1" locked="0" behindDoc="0" simplePos="0" relativeHeight="15729152">
                <wp:simplePos x="0" y="0"/>
                <wp:positionH relativeFrom="page">
                  <wp:posOffset>900000</wp:posOffset>
                </wp:positionH>
                <wp:positionV relativeFrom="paragraph">
                  <wp:posOffset>-196520</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0.866142pt,-15.47403pt" to="524.409442pt,-15.47403pt" stroked="true" strokeweight="1pt" strokecolor="#000000">
                <v:stroke dashstyle="solid"/>
                <w10:wrap type="none"/>
              </v:line>
            </w:pict>
          </mc:Fallback>
        </mc:AlternateContent>
      </w:r>
      <w:r>
        <w:rPr/>
        <w:t>This</w:t>
      </w:r>
      <w:r>
        <w:rPr>
          <w:spacing w:val="-5"/>
        </w:rPr>
        <w:t> </w:t>
      </w:r>
      <w:r>
        <w:rPr/>
        <w:t>report</w:t>
      </w:r>
      <w:r>
        <w:rPr>
          <w:spacing w:val="-5"/>
        </w:rPr>
        <w:t> </w:t>
      </w:r>
      <w:r>
        <w:rPr/>
        <w:t>reflects</w:t>
      </w:r>
      <w:r>
        <w:rPr>
          <w:spacing w:val="-5"/>
        </w:rPr>
        <w:t> </w:t>
      </w:r>
      <w:r>
        <w:rPr/>
        <w:t>the</w:t>
      </w:r>
      <w:r>
        <w:rPr>
          <w:spacing w:val="-5"/>
        </w:rPr>
        <w:t> </w:t>
      </w:r>
      <w:r>
        <w:rPr/>
        <w:t>entries</w:t>
      </w:r>
      <w:r>
        <w:rPr>
          <w:spacing w:val="-5"/>
        </w:rPr>
        <w:t> </w:t>
      </w:r>
      <w:r>
        <w:rPr/>
        <w:t>on</w:t>
      </w:r>
      <w:r>
        <w:rPr>
          <w:spacing w:val="-5"/>
        </w:rPr>
        <w:t> </w:t>
      </w:r>
      <w:r>
        <w:rPr/>
        <w:t>the</w:t>
      </w:r>
      <w:r>
        <w:rPr>
          <w:spacing w:val="-5"/>
        </w:rPr>
        <w:t> </w:t>
      </w:r>
      <w:r>
        <w:rPr/>
        <w:t>register</w:t>
      </w:r>
      <w:r>
        <w:rPr>
          <w:spacing w:val="-5"/>
        </w:rPr>
        <w:t> </w:t>
      </w:r>
      <w:r>
        <w:rPr/>
        <w:t>as</w:t>
      </w:r>
      <w:r>
        <w:rPr>
          <w:spacing w:val="-5"/>
        </w:rPr>
        <w:t> </w:t>
      </w:r>
      <w:r>
        <w:rPr/>
        <w:t>at</w:t>
      </w:r>
      <w:r>
        <w:rPr>
          <w:spacing w:val="-5"/>
        </w:rPr>
        <w:t> </w:t>
      </w:r>
      <w:r>
        <w:rPr/>
        <w:t>12:00</w:t>
      </w:r>
      <w:r>
        <w:rPr>
          <w:spacing w:val="-5"/>
        </w:rPr>
        <w:t> </w:t>
      </w:r>
      <w:r>
        <w:rPr/>
        <w:t>on</w:t>
      </w:r>
      <w:r>
        <w:rPr>
          <w:spacing w:val="-5"/>
        </w:rPr>
        <w:t> </w:t>
      </w:r>
      <w:r>
        <w:rPr/>
        <w:t>22</w:t>
      </w:r>
      <w:r>
        <w:rPr>
          <w:spacing w:val="-5"/>
        </w:rPr>
        <w:t> </w:t>
      </w:r>
      <w:r>
        <w:rPr/>
        <w:t>November</w:t>
      </w:r>
      <w:r>
        <w:rPr>
          <w:spacing w:val="-5"/>
        </w:rPr>
        <w:t> </w:t>
      </w:r>
      <w:r>
        <w:rPr/>
        <w:t>2023.</w:t>
      </w:r>
      <w:r>
        <w:rPr>
          <w:spacing w:val="-5"/>
        </w:rPr>
        <w:t> </w:t>
      </w:r>
      <w:r>
        <w:rPr/>
        <w:t>It</w:t>
      </w:r>
      <w:r>
        <w:rPr>
          <w:spacing w:val="-5"/>
        </w:rPr>
        <w:t> </w:t>
      </w:r>
      <w:r>
        <w:rPr/>
        <w:t>is</w:t>
      </w:r>
      <w:r>
        <w:rPr>
          <w:spacing w:val="-5"/>
        </w:rPr>
        <w:t> </w:t>
      </w:r>
      <w:r>
        <w:rPr/>
        <w:t>not</w:t>
      </w:r>
      <w:r>
        <w:rPr>
          <w:spacing w:val="-5"/>
        </w:rPr>
        <w:t> </w:t>
      </w:r>
      <w:r>
        <w:rPr/>
        <w:t>a</w:t>
      </w:r>
      <w:r>
        <w:rPr>
          <w:spacing w:val="-5"/>
        </w:rPr>
        <w:t> </w:t>
      </w:r>
      <w:r>
        <w:rPr/>
        <w:t>copy</w:t>
      </w:r>
      <w:r>
        <w:rPr>
          <w:spacing w:val="-5"/>
        </w:rPr>
        <w:t> </w:t>
      </w:r>
      <w:r>
        <w:rPr/>
        <w:t>of the register and may not be relied upon for the purposes of Section 67 of the Land Registration Act 2002.</w:t>
      </w:r>
    </w:p>
    <w:p>
      <w:pPr>
        <w:pStyle w:val="BodyText"/>
        <w:spacing w:before="245"/>
      </w:pPr>
    </w:p>
    <w:p>
      <w:pPr>
        <w:spacing w:before="0"/>
        <w:ind w:left="360" w:right="0" w:firstLine="0"/>
        <w:jc w:val="both"/>
        <w:rPr>
          <w:b/>
          <w:sz w:val="22"/>
        </w:rPr>
      </w:pPr>
      <w:r>
        <w:rPr>
          <w:sz w:val="22"/>
        </w:rPr>
        <w:t>Issued by: </w:t>
      </w:r>
      <w:r>
        <w:rPr>
          <w:b/>
          <w:sz w:val="22"/>
        </w:rPr>
        <w:t>HM Land </w:t>
      </w:r>
      <w:r>
        <w:rPr>
          <w:b/>
          <w:spacing w:val="-2"/>
          <w:sz w:val="22"/>
        </w:rPr>
        <w:t>Registry</w:t>
      </w:r>
    </w:p>
    <w:p>
      <w:pPr>
        <w:pStyle w:val="BodyText"/>
        <w:spacing w:before="27"/>
        <w:ind w:left="360"/>
        <w:jc w:val="both"/>
      </w:pPr>
      <w:r>
        <w:rPr/>
        <w:t>Trafalgar House, 1 Bedford Park, Croydon CR0 </w:t>
      </w:r>
      <w:r>
        <w:rPr>
          <w:spacing w:val="-5"/>
        </w:rPr>
        <w:t>2AQ</w:t>
      </w:r>
    </w:p>
    <w:sectPr>
      <w:pgSz w:w="11910" w:h="16840"/>
      <w:pgMar w:header="762" w:footer="745" w:top="1640" w:bottom="9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3328">
              <wp:simplePos x="0" y="0"/>
              <wp:positionH relativeFrom="page">
                <wp:posOffset>719999</wp:posOffset>
              </wp:positionH>
              <wp:positionV relativeFrom="page">
                <wp:posOffset>10044000</wp:posOffset>
              </wp:positionV>
              <wp:extent cx="61201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3152" from="56.692909pt,790.86615pt" to="538.582699pt,790.86615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523840">
              <wp:simplePos x="0" y="0"/>
              <wp:positionH relativeFrom="page">
                <wp:posOffset>3606314</wp:posOffset>
              </wp:positionH>
              <wp:positionV relativeFrom="page">
                <wp:posOffset>10155324</wp:posOffset>
              </wp:positionV>
              <wp:extent cx="38608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6080" cy="139065"/>
                      </a:xfrm>
                      <a:prstGeom prst="rect">
                        <a:avLst/>
                      </a:prstGeom>
                    </wps:spPr>
                    <wps:txbx>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wps:txbx>
                    <wps:bodyPr wrap="square" lIns="0" tIns="0" rIns="0" bIns="0" rtlCol="0">
                      <a:noAutofit/>
                    </wps:bodyPr>
                  </wps:wsp>
                </a:graphicData>
              </a:graphic>
            </wp:anchor>
          </w:drawing>
        </mc:Choice>
        <mc:Fallback>
          <w:pict>
            <v:shape style="position:absolute;margin-left:283.961792pt;margin-top:799.631836pt;width:30.4pt;height:10.95pt;mso-position-horizontal-relative:page;mso-position-vertical-relative:page;z-index:-15792640" type="#_x0000_t202" id="docshape2" filled="false" stroked="false">
              <v:textbox inset="0,0,0,0">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2304">
              <wp:simplePos x="0" y="0"/>
              <wp:positionH relativeFrom="page">
                <wp:posOffset>719999</wp:posOffset>
              </wp:positionH>
              <wp:positionV relativeFrom="page">
                <wp:posOffset>648000</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4176" from="56.692909pt,51.02367pt" to="538.582699pt,51.02367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522816">
              <wp:simplePos x="0" y="0"/>
              <wp:positionH relativeFrom="page">
                <wp:posOffset>707299</wp:posOffset>
              </wp:positionH>
              <wp:positionV relativeFrom="page">
                <wp:posOffset>471324</wp:posOffset>
              </wp:positionV>
              <wp:extent cx="151638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16380" cy="139065"/>
                      </a:xfrm>
                      <a:prstGeom prst="rect">
                        <a:avLst/>
                      </a:prstGeom>
                    </wps:spPr>
                    <wps:txbx>
                      <w:txbxContent>
                        <w:p>
                          <w:pPr>
                            <w:spacing w:before="14"/>
                            <w:ind w:left="20" w:right="0" w:firstLine="0"/>
                            <w:jc w:val="left"/>
                            <w:rPr>
                              <w:rFonts w:ascii="Arial" w:hAnsi="Arial"/>
                              <w:sz w:val="16"/>
                            </w:rPr>
                          </w:pPr>
                          <w:r>
                            <w:rPr>
                              <w:rFonts w:ascii="Arial" w:hAnsi="Arial"/>
                              <w:color w:val="666666"/>
                              <w:sz w:val="16"/>
                            </w:rPr>
                            <w:t>Official Title Report — </w:t>
                          </w:r>
                          <w:r>
                            <w:rPr>
                              <w:rFonts w:ascii="Arial" w:hAnsi="Arial"/>
                              <w:color w:val="666666"/>
                              <w:spacing w:val="-2"/>
                              <w:sz w:val="16"/>
                            </w:rPr>
                            <w:t>LN782451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37.112183pt;width:119.4pt;height:10.95pt;mso-position-horizontal-relative:page;mso-position-vertical-relative:page;z-index:-15793664" type="#_x0000_t202" id="docshape1" filled="false" stroked="false">
              <v:textbox inset="0,0,0,0">
                <w:txbxContent>
                  <w:p>
                    <w:pPr>
                      <w:spacing w:before="14"/>
                      <w:ind w:left="20" w:right="0" w:firstLine="0"/>
                      <w:jc w:val="left"/>
                      <w:rPr>
                        <w:rFonts w:ascii="Arial" w:hAnsi="Arial"/>
                        <w:sz w:val="16"/>
                      </w:rPr>
                    </w:pPr>
                    <w:r>
                      <w:rPr>
                        <w:rFonts w:ascii="Arial" w:hAnsi="Arial"/>
                        <w:color w:val="666666"/>
                        <w:sz w:val="16"/>
                      </w:rPr>
                      <w:t>Official Title Report — </w:t>
                    </w:r>
                    <w:r>
                      <w:rPr>
                        <w:rFonts w:ascii="Arial" w:hAnsi="Arial"/>
                        <w:color w:val="666666"/>
                        <w:spacing w:val="-2"/>
                        <w:sz w:val="16"/>
                      </w:rPr>
                      <w:t>LN782451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600" w:hanging="35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7" w:hanging="354"/>
      </w:pPr>
      <w:rPr>
        <w:rFonts w:hint="default"/>
        <w:lang w:val="en-US" w:eastAsia="en-US" w:bidi="ar-SA"/>
      </w:rPr>
    </w:lvl>
    <w:lvl w:ilvl="2">
      <w:start w:val="0"/>
      <w:numFmt w:val="bullet"/>
      <w:lvlText w:val="•"/>
      <w:lvlJc w:val="left"/>
      <w:pPr>
        <w:ind w:left="2294" w:hanging="354"/>
      </w:pPr>
      <w:rPr>
        <w:rFonts w:hint="default"/>
        <w:lang w:val="en-US" w:eastAsia="en-US" w:bidi="ar-SA"/>
      </w:rPr>
    </w:lvl>
    <w:lvl w:ilvl="3">
      <w:start w:val="0"/>
      <w:numFmt w:val="bullet"/>
      <w:lvlText w:val="•"/>
      <w:lvlJc w:val="left"/>
      <w:pPr>
        <w:ind w:left="3141" w:hanging="354"/>
      </w:pPr>
      <w:rPr>
        <w:rFonts w:hint="default"/>
        <w:lang w:val="en-US" w:eastAsia="en-US" w:bidi="ar-SA"/>
      </w:rPr>
    </w:lvl>
    <w:lvl w:ilvl="4">
      <w:start w:val="0"/>
      <w:numFmt w:val="bullet"/>
      <w:lvlText w:val="•"/>
      <w:lvlJc w:val="left"/>
      <w:pPr>
        <w:ind w:left="3988" w:hanging="354"/>
      </w:pPr>
      <w:rPr>
        <w:rFonts w:hint="default"/>
        <w:lang w:val="en-US" w:eastAsia="en-US" w:bidi="ar-SA"/>
      </w:rPr>
    </w:lvl>
    <w:lvl w:ilvl="5">
      <w:start w:val="0"/>
      <w:numFmt w:val="bullet"/>
      <w:lvlText w:val="•"/>
      <w:lvlJc w:val="left"/>
      <w:pPr>
        <w:ind w:left="4835" w:hanging="354"/>
      </w:pPr>
      <w:rPr>
        <w:rFonts w:hint="default"/>
        <w:lang w:val="en-US" w:eastAsia="en-US" w:bidi="ar-SA"/>
      </w:rPr>
    </w:lvl>
    <w:lvl w:ilvl="6">
      <w:start w:val="0"/>
      <w:numFmt w:val="bullet"/>
      <w:lvlText w:val="•"/>
      <w:lvlJc w:val="left"/>
      <w:pPr>
        <w:ind w:left="5682" w:hanging="354"/>
      </w:pPr>
      <w:rPr>
        <w:rFonts w:hint="default"/>
        <w:lang w:val="en-US" w:eastAsia="en-US" w:bidi="ar-SA"/>
      </w:rPr>
    </w:lvl>
    <w:lvl w:ilvl="7">
      <w:start w:val="0"/>
      <w:numFmt w:val="bullet"/>
      <w:lvlText w:val="•"/>
      <w:lvlJc w:val="left"/>
      <w:pPr>
        <w:ind w:left="6530" w:hanging="354"/>
      </w:pPr>
      <w:rPr>
        <w:rFonts w:hint="default"/>
        <w:lang w:val="en-US" w:eastAsia="en-US" w:bidi="ar-SA"/>
      </w:rPr>
    </w:lvl>
    <w:lvl w:ilvl="8">
      <w:start w:val="0"/>
      <w:numFmt w:val="bullet"/>
      <w:lvlText w:val="•"/>
      <w:lvlJc w:val="left"/>
      <w:pPr>
        <w:ind w:left="7377" w:hanging="354"/>
      </w:pPr>
      <w:rPr>
        <w:rFonts w:hint="default"/>
        <w:lang w:val="en-US" w:eastAsia="en-US" w:bidi="ar-SA"/>
      </w:rPr>
    </w:lvl>
  </w:abstractNum>
  <w:abstractNum w:abstractNumId="0">
    <w:multiLevelType w:val="hybridMultilevel"/>
    <w:lvl w:ilvl="0">
      <w:start w:val="1"/>
      <w:numFmt w:val="lowerRoman"/>
      <w:lvlText w:val="(%1)"/>
      <w:lvlJc w:val="left"/>
      <w:pPr>
        <w:ind w:left="600" w:hanging="27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600" w:hanging="33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294" w:hanging="339"/>
      </w:pPr>
      <w:rPr>
        <w:rFonts w:hint="default"/>
        <w:lang w:val="en-US" w:eastAsia="en-US" w:bidi="ar-SA"/>
      </w:rPr>
    </w:lvl>
    <w:lvl w:ilvl="3">
      <w:start w:val="0"/>
      <w:numFmt w:val="bullet"/>
      <w:lvlText w:val="•"/>
      <w:lvlJc w:val="left"/>
      <w:pPr>
        <w:ind w:left="3141" w:hanging="339"/>
      </w:pPr>
      <w:rPr>
        <w:rFonts w:hint="default"/>
        <w:lang w:val="en-US" w:eastAsia="en-US" w:bidi="ar-SA"/>
      </w:rPr>
    </w:lvl>
    <w:lvl w:ilvl="4">
      <w:start w:val="0"/>
      <w:numFmt w:val="bullet"/>
      <w:lvlText w:val="•"/>
      <w:lvlJc w:val="left"/>
      <w:pPr>
        <w:ind w:left="3988" w:hanging="339"/>
      </w:pPr>
      <w:rPr>
        <w:rFonts w:hint="default"/>
        <w:lang w:val="en-US" w:eastAsia="en-US" w:bidi="ar-SA"/>
      </w:rPr>
    </w:lvl>
    <w:lvl w:ilvl="5">
      <w:start w:val="0"/>
      <w:numFmt w:val="bullet"/>
      <w:lvlText w:val="•"/>
      <w:lvlJc w:val="left"/>
      <w:pPr>
        <w:ind w:left="4835" w:hanging="339"/>
      </w:pPr>
      <w:rPr>
        <w:rFonts w:hint="default"/>
        <w:lang w:val="en-US" w:eastAsia="en-US" w:bidi="ar-SA"/>
      </w:rPr>
    </w:lvl>
    <w:lvl w:ilvl="6">
      <w:start w:val="0"/>
      <w:numFmt w:val="bullet"/>
      <w:lvlText w:val="•"/>
      <w:lvlJc w:val="left"/>
      <w:pPr>
        <w:ind w:left="5682" w:hanging="339"/>
      </w:pPr>
      <w:rPr>
        <w:rFonts w:hint="default"/>
        <w:lang w:val="en-US" w:eastAsia="en-US" w:bidi="ar-SA"/>
      </w:rPr>
    </w:lvl>
    <w:lvl w:ilvl="7">
      <w:start w:val="0"/>
      <w:numFmt w:val="bullet"/>
      <w:lvlText w:val="•"/>
      <w:lvlJc w:val="left"/>
      <w:pPr>
        <w:ind w:left="6530" w:hanging="339"/>
      </w:pPr>
      <w:rPr>
        <w:rFonts w:hint="default"/>
        <w:lang w:val="en-US" w:eastAsia="en-US" w:bidi="ar-SA"/>
      </w:rPr>
    </w:lvl>
    <w:lvl w:ilvl="8">
      <w:start w:val="0"/>
      <w:numFmt w:val="bullet"/>
      <w:lvlText w:val="•"/>
      <w:lvlJc w:val="left"/>
      <w:pPr>
        <w:ind w:left="7377" w:hanging="33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554"/>
      <w:ind w:left="1004"/>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ind w:left="120"/>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117"/>
      <w:ind w:left="600" w:right="1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8"/>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2026-05-08T21:09:47Z</dcterms:created>
  <dcterms:modified xsi:type="dcterms:W3CDTF">2026-05-08T21:09:47Z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(unspecified)</vt:lpwstr>
  </property>
  <property fmtid="{D5CDD505-2E9C-101B-9397-08002B2CF9AE}" pid="4" name="LastSaved">
    <vt:filetime>2026-05-08T00:00:00Z</vt:filetime>
  </property>
  <property fmtid="{D5CDD505-2E9C-101B-9397-08002B2CF9AE}" pid="5" name="Producer">
    <vt:lpwstr>ReportLab PDF Library - (opensource)</vt:lpwstr>
  </property>
</Properties>
</file>