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Explication concise du clustering</w:t>
      </w:r>
    </w:p>
    <w:p>
      <w:r>
        <w:t>Objectif : regrouper les articles proches par contenu pour éviter de compter plusieurs fois le même événement.</w:t>
      </w:r>
    </w:p>
    <w:p>
      <w:pPr>
        <w:pStyle w:val="Heading1"/>
      </w:pPr>
      <w:r>
        <w:t>1. Tokenisation</w:t>
      </w:r>
    </w:p>
    <w:p>
      <w:r>
        <w:t>Chaque article est découpé en mots, en minuscules, avec les stop words retirés. La fonction tokenize() applique une expression régulière sur le titre + résumé, puis élimine les mots inutiles comme “les”, “pour”, “the”, etc.</w:t>
      </w:r>
    </w:p>
    <w:p>
      <w:pPr>
        <w:pStyle w:val="Heading1"/>
      </w:pPr>
      <w:r>
        <w:t>2. Score TF-IDF</w:t>
      </w:r>
    </w:p>
    <w:p>
      <w:r>
        <w:t>Pour chaque mot t dans un article d :</w:t>
      </w:r>
    </w:p>
    <w:p>
      <w:r>
        <w:t>w(t, d) = (1 + log(count(t, d))) × (1 + log(N / (1 + df(t))))</w:t>
      </w:r>
    </w:p>
    <w:p>
      <w:r>
        <w:t>N = nombre total d'articles, df(t) = nombre de documents qui contiennent t.</w:t>
      </w:r>
    </w:p>
    <w:p>
      <w:r>
        <w:t>Ensuite, chaque vecteur est normalisé pour obtenir un vecteur unitaire.</w:t>
      </w:r>
    </w:p>
    <w:p>
      <w:pPr>
        <w:pStyle w:val="Heading1"/>
      </w:pPr>
      <w:r>
        <w:t>3. Similarité cosinus</w:t>
      </w:r>
    </w:p>
    <w:p>
      <w:r>
        <w:t>La similarité entre deux articles est calculée par :</w:t>
      </w:r>
    </w:p>
    <w:p>
      <w:r>
        <w:t>sim(d1, d2) = Σt v1(t) × v2(t)</w:t>
      </w:r>
    </w:p>
    <w:p>
      <w:r>
        <w:t>Si la similarité est supérieure ou égale à 0,28, les deux articles sont placés dans le même cluster.</w:t>
      </w:r>
    </w:p>
    <w:p>
      <w:pPr>
        <w:pStyle w:val="Heading1"/>
      </w:pPr>
      <w:r>
        <w:t>4. Regroupement et cluster_id</w:t>
      </w:r>
    </w:p>
    <w:p>
      <w:r>
        <w:t>Le code utilise une logique union-find (disjoint set) : on relie les articles similaires, puis on leur attribue un cluster_id partagé. Les articles d'un même cluster ont donc un identifiant commun et la même cluster_size.</w:t>
      </w:r>
    </w:p>
    <w:p>
      <w:pPr>
        <w:pStyle w:val="Heading1"/>
      </w:pPr>
      <w:r>
        <w:t>5. Poids d'un cluster</w:t>
      </w:r>
    </w:p>
    <w:p>
      <w:r>
        <w:t>Le poids d'un cluster dépend du nombre d'articles qu'il contient :</w:t>
      </w:r>
    </w:p>
    <w:p>
      <w:r>
        <w:t>w_cluster = min(2,0 ; 1,0 + 0,2 × (n - 1))</w:t>
      </w:r>
    </w:p>
    <w:p>
      <w:r>
        <w:t>n = nombre d'articles dans le cluster. Cela donne plus d'importance aux gros clusters de couverture médiatique.</w:t>
      </w:r>
    </w:p>
    <w:p>
      <w:pPr>
        <w:pStyle w:val="Heading1"/>
      </w:pPr>
      <w:r>
        <w:t>6. Score agrégé du jour</w:t>
      </w:r>
    </w:p>
    <w:p>
      <w:r>
        <w:t>Pour un jour donné, le score est calculé comme une moyenne pondérée :</w:t>
      </w:r>
    </w:p>
    <w:p>
      <w:r>
        <w:t>score_jour = Σ(score_cluster × w_cluster) / Σ(w_cluster)</w:t>
      </w:r>
    </w:p>
    <w:p>
      <w:r>
        <w:t>Ensuite, la valeur est convertie en indice Fear &amp; Greed :</w:t>
      </w:r>
    </w:p>
    <w:p>
      <w:r>
        <w:t>FGI = (score + 1) × 50</w:t>
      </w:r>
    </w:p>
    <w:p/>
    <w:p>
      <w:r>
        <w:t>Cette logique est appliquée dans cluster_articles.py et utilisée dans fear_greed_index.py pour produire les courbes du tableau de bord.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