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7E3" w:rsidRDefault="00276B75" w:rsidP="00D84755">
      <w:pPr>
        <w:rPr>
          <w:sz w:val="24"/>
          <w:szCs w:val="24"/>
        </w:rPr>
      </w:pPr>
      <w:r>
        <w:rPr>
          <w:noProof/>
        </w:rPr>
        <w:drawing>
          <wp:inline distT="0" distB="0" distL="0" distR="0" wp14:anchorId="539D2AA7" wp14:editId="1EF47F96">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453878B1" wp14:editId="5CA68A06">
            <wp:extent cx="4571999" cy="2743200"/>
            <wp:effectExtent l="0" t="0" r="63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76B75" w:rsidRDefault="00276B75" w:rsidP="00D84755">
      <w:pPr>
        <w:rPr>
          <w:sz w:val="24"/>
          <w:szCs w:val="24"/>
        </w:rPr>
      </w:pPr>
      <w:r>
        <w:rPr>
          <w:noProof/>
        </w:rPr>
        <w:drawing>
          <wp:inline distT="0" distB="0" distL="0" distR="0" wp14:anchorId="1399CB87" wp14:editId="3EEAA364">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76B75" w:rsidRDefault="00276B75" w:rsidP="00276B75">
      <w:pPr>
        <w:pStyle w:val="ListParagraph"/>
        <w:numPr>
          <w:ilvl w:val="0"/>
          <w:numId w:val="1"/>
        </w:numPr>
        <w:rPr>
          <w:sz w:val="24"/>
          <w:szCs w:val="24"/>
        </w:rPr>
      </w:pPr>
      <w:r>
        <w:rPr>
          <w:sz w:val="24"/>
          <w:szCs w:val="24"/>
        </w:rPr>
        <w:lastRenderedPageBreak/>
        <w:t xml:space="preserve">Given the following data, we can conclude that theater is a popular Kickstarter campaign category with a greater number of successful campaigns compared to the other categories, but not necessarily greater percentage of success. We can also conclude </w:t>
      </w:r>
      <w:r w:rsidR="006A7E14">
        <w:rPr>
          <w:sz w:val="24"/>
          <w:szCs w:val="24"/>
        </w:rPr>
        <w:t xml:space="preserve">the United States has the bulk of campaigns, and thus a greater number of successes. We can also </w:t>
      </w:r>
      <w:r w:rsidR="00FD2175">
        <w:rPr>
          <w:sz w:val="24"/>
          <w:szCs w:val="24"/>
        </w:rPr>
        <w:t>say</w:t>
      </w:r>
      <w:r w:rsidR="006A7E14">
        <w:rPr>
          <w:sz w:val="24"/>
          <w:szCs w:val="24"/>
        </w:rPr>
        <w:t xml:space="preserve"> there is a greater number of successes in May and less successes in December over the years.</w:t>
      </w:r>
    </w:p>
    <w:p w:rsidR="00FD2175" w:rsidRDefault="006A7E14" w:rsidP="00FD2175">
      <w:pPr>
        <w:pStyle w:val="ListParagraph"/>
        <w:numPr>
          <w:ilvl w:val="0"/>
          <w:numId w:val="1"/>
        </w:numPr>
        <w:rPr>
          <w:sz w:val="24"/>
          <w:szCs w:val="24"/>
        </w:rPr>
      </w:pPr>
      <w:r>
        <w:rPr>
          <w:sz w:val="24"/>
          <w:szCs w:val="24"/>
        </w:rPr>
        <w:t>The dataset doesn’t take into account</w:t>
      </w:r>
      <w:r w:rsidR="00FD2175">
        <w:rPr>
          <w:sz w:val="24"/>
          <w:szCs w:val="24"/>
        </w:rPr>
        <w:t xml:space="preserve"> if a campaign’s goal amount falls into a “low”, “middle” or “high” amount. The lower the goal amount, the more likely the pledged amount would reach the goal, and therefore the more likely of the campaign being successful. The </w:t>
      </w:r>
      <w:proofErr w:type="spellStart"/>
      <w:r w:rsidR="00FD2175">
        <w:rPr>
          <w:sz w:val="24"/>
          <w:szCs w:val="24"/>
        </w:rPr>
        <w:t>dateset</w:t>
      </w:r>
      <w:proofErr w:type="spellEnd"/>
      <w:r w:rsidR="00FD2175">
        <w:rPr>
          <w:sz w:val="24"/>
          <w:szCs w:val="24"/>
        </w:rPr>
        <w:t xml:space="preserve"> is also limited because it doesn’t take into account the demographics or background of the people leading the campaign, or how prominent or advertised the campaign is on social media. It’s possible someone might not support a campaign due to the ethnicity of the campaign’s leader, or someone might support a campaign more if they’</w:t>
      </w:r>
      <w:r w:rsidR="005A737D">
        <w:rPr>
          <w:sz w:val="24"/>
          <w:szCs w:val="24"/>
        </w:rPr>
        <w:t xml:space="preserve">ve been exposed to it </w:t>
      </w:r>
      <w:bookmarkStart w:id="0" w:name="_GoBack"/>
      <w:bookmarkEnd w:id="0"/>
      <w:r w:rsidR="00FD2175">
        <w:rPr>
          <w:sz w:val="24"/>
          <w:szCs w:val="24"/>
        </w:rPr>
        <w:t xml:space="preserve">frequently via </w:t>
      </w:r>
      <w:proofErr w:type="spellStart"/>
      <w:r w:rsidR="00FD2175">
        <w:rPr>
          <w:sz w:val="24"/>
          <w:szCs w:val="24"/>
        </w:rPr>
        <w:t>facebook</w:t>
      </w:r>
      <w:proofErr w:type="spellEnd"/>
      <w:r w:rsidR="00FD2175">
        <w:rPr>
          <w:sz w:val="24"/>
          <w:szCs w:val="24"/>
        </w:rPr>
        <w:t xml:space="preserve"> or twitter.</w:t>
      </w:r>
    </w:p>
    <w:p w:rsidR="00FD2175" w:rsidRPr="00FD2175" w:rsidRDefault="00FD2175" w:rsidP="00FD2175">
      <w:pPr>
        <w:pStyle w:val="ListParagraph"/>
        <w:numPr>
          <w:ilvl w:val="0"/>
          <w:numId w:val="1"/>
        </w:numPr>
        <w:rPr>
          <w:sz w:val="24"/>
          <w:szCs w:val="24"/>
        </w:rPr>
      </w:pPr>
      <w:r>
        <w:rPr>
          <w:sz w:val="24"/>
          <w:szCs w:val="24"/>
        </w:rPr>
        <w:t xml:space="preserve">We could create a </w:t>
      </w:r>
      <w:r w:rsidR="005A737D">
        <w:rPr>
          <w:sz w:val="24"/>
          <w:szCs w:val="24"/>
        </w:rPr>
        <w:t xml:space="preserve">Count of Outcome by Number of Backers or Count of Outcome by Length of </w:t>
      </w:r>
      <w:proofErr w:type="spellStart"/>
      <w:r w:rsidR="005A737D">
        <w:rPr>
          <w:sz w:val="24"/>
          <w:szCs w:val="24"/>
        </w:rPr>
        <w:t>Compaign</w:t>
      </w:r>
      <w:proofErr w:type="spellEnd"/>
      <w:r w:rsidR="005A737D">
        <w:rPr>
          <w:sz w:val="24"/>
          <w:szCs w:val="24"/>
        </w:rPr>
        <w:t xml:space="preserve"> Time (time between </w:t>
      </w:r>
      <w:proofErr w:type="spellStart"/>
      <w:r w:rsidR="005A737D">
        <w:rPr>
          <w:sz w:val="24"/>
          <w:szCs w:val="24"/>
        </w:rPr>
        <w:t>launched_at</w:t>
      </w:r>
      <w:proofErr w:type="spellEnd"/>
      <w:r w:rsidR="005A737D">
        <w:rPr>
          <w:sz w:val="24"/>
          <w:szCs w:val="24"/>
        </w:rPr>
        <w:t xml:space="preserve"> and deadline).</w:t>
      </w:r>
    </w:p>
    <w:sectPr w:rsidR="00FD2175" w:rsidRPr="00FD217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GillSan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BA6DFB"/>
    <w:multiLevelType w:val="hybridMultilevel"/>
    <w:tmpl w:val="A684B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B75"/>
    <w:rsid w:val="00276B75"/>
    <w:rsid w:val="005A737D"/>
    <w:rsid w:val="006A7E14"/>
    <w:rsid w:val="00C337E3"/>
    <w:rsid w:val="00D12597"/>
    <w:rsid w:val="00D84755"/>
    <w:rsid w:val="00E745B7"/>
    <w:rsid w:val="00F3511E"/>
    <w:rsid w:val="00F9475D"/>
    <w:rsid w:val="00FD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6EF35"/>
  <w15:chartTrackingRefBased/>
  <w15:docId w15:val="{BE082474-CD44-4236-9562-FA918832B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755"/>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Date">
    <w:name w:val="TrDate"/>
    <w:basedOn w:val="Normal"/>
    <w:next w:val="TrPage"/>
    <w:pPr>
      <w:spacing w:after="120"/>
    </w:pPr>
    <w:rPr>
      <w:rFonts w:ascii="Helvetica" w:hAnsi="Helvetica"/>
      <w:i/>
      <w:u w:val="single"/>
    </w:rPr>
  </w:style>
  <w:style w:type="paragraph" w:customStyle="1" w:styleId="TrPage">
    <w:name w:val="TrPage"/>
    <w:basedOn w:val="Normal"/>
    <w:pPr>
      <w:spacing w:after="120"/>
    </w:pPr>
    <w:rPr>
      <w:rFonts w:ascii="Helvetica" w:hAnsi="Helvetica"/>
      <w:i/>
      <w:u w:val="single"/>
    </w:rPr>
  </w:style>
  <w:style w:type="paragraph" w:customStyle="1" w:styleId="TrCompany">
    <w:name w:val="TrCompany"/>
    <w:basedOn w:val="Normal"/>
    <w:rPr>
      <w:rFonts w:ascii="GillSans" w:hAnsi="GillSans"/>
      <w:b/>
    </w:rPr>
  </w:style>
  <w:style w:type="paragraph" w:customStyle="1" w:styleId="TrBusiness">
    <w:name w:val="TrBusiness"/>
    <w:basedOn w:val="Normal"/>
    <w:next w:val="TrText"/>
    <w:rPr>
      <w:rFonts w:ascii="GillSans" w:hAnsi="GillSans"/>
    </w:rPr>
  </w:style>
  <w:style w:type="paragraph" w:customStyle="1" w:styleId="TrText">
    <w:name w:val="TrText"/>
    <w:basedOn w:val="Normal"/>
    <w:pPr>
      <w:spacing w:after="120"/>
    </w:pPr>
    <w:rPr>
      <w:rFonts w:ascii="Tahoma" w:hAnsi="Tahoma"/>
    </w:rPr>
  </w:style>
  <w:style w:type="paragraph" w:customStyle="1" w:styleId="OffrBody">
    <w:name w:val="Offr Body"/>
    <w:basedOn w:val="Offr"/>
    <w:pPr>
      <w:ind w:firstLine="288"/>
    </w:pPr>
    <w:rPr>
      <w:sz w:val="22"/>
    </w:rPr>
  </w:style>
  <w:style w:type="paragraph" w:customStyle="1" w:styleId="Offr">
    <w:name w:val="Offr"/>
    <w:basedOn w:val="BrefClinAnalBody"/>
    <w:pPr>
      <w:ind w:firstLine="0"/>
    </w:pPr>
    <w:rPr>
      <w:color w:val="auto"/>
    </w:rPr>
  </w:style>
  <w:style w:type="paragraph" w:customStyle="1" w:styleId="BrefClinAnal">
    <w:name w:val="Bref/Clin/Anal"/>
    <w:basedOn w:val="BrefClinAnalBody"/>
    <w:pPr>
      <w:ind w:firstLine="0"/>
    </w:pPr>
  </w:style>
  <w:style w:type="paragraph" w:customStyle="1" w:styleId="BrefClinAnalBody">
    <w:name w:val="Bref/Clin/Anal Body"/>
    <w:autoRedefine/>
    <w:pPr>
      <w:spacing w:line="220" w:lineRule="atLeast"/>
      <w:ind w:firstLine="288"/>
      <w:jc w:val="both"/>
    </w:pPr>
    <w:rPr>
      <w:rFonts w:ascii="GillSans" w:hAnsi="GillSans"/>
      <w:snapToGrid w:val="0"/>
      <w:color w:val="000000"/>
      <w:spacing w:val="15"/>
    </w:rPr>
  </w:style>
  <w:style w:type="paragraph" w:customStyle="1" w:styleId="BriefOfferSubHed">
    <w:name w:val="Brief Offer SubHed"/>
    <w:autoRedefine/>
    <w:pPr>
      <w:spacing w:before="120" w:after="108" w:line="220" w:lineRule="atLeast"/>
      <w:jc w:val="center"/>
    </w:pPr>
    <w:rPr>
      <w:rFonts w:ascii="Helvetica" w:hAnsi="Helvetica"/>
      <w:b/>
      <w:snapToGrid w:val="0"/>
      <w:sz w:val="22"/>
    </w:rPr>
  </w:style>
  <w:style w:type="paragraph" w:customStyle="1" w:styleId="BLKBARHED">
    <w:name w:val="BLK BAR HED"/>
    <w:pPr>
      <w:spacing w:before="100" w:after="120" w:line="440" w:lineRule="atLeast"/>
      <w:jc w:val="center"/>
    </w:pPr>
    <w:rPr>
      <w:rFonts w:ascii="Helvetica" w:hAnsi="Helvetica"/>
      <w:b/>
      <w:snapToGrid w:val="0"/>
      <w:color w:val="FFFFFF"/>
      <w:sz w:val="22"/>
    </w:rPr>
  </w:style>
  <w:style w:type="paragraph" w:customStyle="1" w:styleId="00Text">
    <w:name w:val="00/Text"/>
    <w:pPr>
      <w:spacing w:line="220" w:lineRule="atLeast"/>
      <w:ind w:firstLine="288"/>
      <w:jc w:val="both"/>
    </w:pPr>
    <w:rPr>
      <w:rFonts w:ascii="GillSans" w:hAnsi="GillSans"/>
      <w:snapToGrid w:val="0"/>
      <w:color w:val="000000"/>
      <w:spacing w:val="15"/>
    </w:rPr>
  </w:style>
  <w:style w:type="paragraph" w:customStyle="1" w:styleId="00Text9pointnoindent">
    <w:name w:val="00/Text/9point/no indent"/>
    <w:basedOn w:val="Normal"/>
    <w:next w:val="Normal"/>
    <w:pPr>
      <w:spacing w:line="220" w:lineRule="atLeast"/>
      <w:jc w:val="both"/>
    </w:pPr>
    <w:rPr>
      <w:rFonts w:ascii="GillSans" w:hAnsi="GillSans"/>
      <w:snapToGrid w:val="0"/>
      <w:spacing w:val="15"/>
    </w:rPr>
  </w:style>
  <w:style w:type="paragraph" w:styleId="ListParagraph">
    <w:name w:val="List Paragraph"/>
    <w:basedOn w:val="Normal"/>
    <w:uiPriority w:val="34"/>
    <w:qFormat/>
    <w:rsid w:val="00276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vchou\Desktop\Bootcamp\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chou\Desktop\Bootcamp\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chou\Desktop\Bootcamp\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 of Outcom</a:t>
            </a:r>
            <a:r>
              <a:rPr lang="en-US" baseline="0"/>
              <a:t>e by 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s>
    <c:plotArea>
      <c:layout/>
      <c:barChart>
        <c:barDir val="col"/>
        <c:grouping val="stacked"/>
        <c:varyColors val="0"/>
        <c:ser>
          <c:idx val="0"/>
          <c:order val="0"/>
          <c:tx>
            <c:strRef>
              <c:f>Sheet2!$B$4:$B$5</c:f>
              <c:strCache>
                <c:ptCount val="1"/>
                <c:pt idx="0">
                  <c:v>canceled</c:v>
                </c:pt>
              </c:strCache>
            </c:strRef>
          </c:tx>
          <c:spPr>
            <a:solidFill>
              <a:schemeClr val="accent1"/>
            </a:solidFill>
            <a:ln>
              <a:noFill/>
            </a:ln>
            <a:effectLst/>
          </c:spPr>
          <c:invertIfNegative val="0"/>
          <c:cat>
            <c:strRef>
              <c:f>Sheet2!$A$6:$A$15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Sheet2!$B$6:$B$15</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5DE1-4AF9-8A9B-0F7F0F551A78}"/>
            </c:ext>
          </c:extLst>
        </c:ser>
        <c:ser>
          <c:idx val="1"/>
          <c:order val="1"/>
          <c:tx>
            <c:strRef>
              <c:f>Sheet2!$C$4:$C$5</c:f>
              <c:strCache>
                <c:ptCount val="1"/>
                <c:pt idx="0">
                  <c:v>failed</c:v>
                </c:pt>
              </c:strCache>
            </c:strRef>
          </c:tx>
          <c:spPr>
            <a:solidFill>
              <a:schemeClr val="accent2"/>
            </a:solidFill>
            <a:ln>
              <a:noFill/>
            </a:ln>
            <a:effectLst/>
          </c:spPr>
          <c:invertIfNegative val="0"/>
          <c:cat>
            <c:strRef>
              <c:f>Sheet2!$A$6:$A$15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Sheet2!$C$6:$C$15</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7-5DE1-4AF9-8A9B-0F7F0F551A78}"/>
            </c:ext>
          </c:extLst>
        </c:ser>
        <c:ser>
          <c:idx val="2"/>
          <c:order val="2"/>
          <c:tx>
            <c:strRef>
              <c:f>Sheet2!$D$4:$D$5</c:f>
              <c:strCache>
                <c:ptCount val="1"/>
                <c:pt idx="0">
                  <c:v>live</c:v>
                </c:pt>
              </c:strCache>
            </c:strRef>
          </c:tx>
          <c:spPr>
            <a:solidFill>
              <a:schemeClr val="accent3"/>
            </a:solidFill>
            <a:ln>
              <a:noFill/>
            </a:ln>
            <a:effectLst/>
          </c:spPr>
          <c:invertIfNegative val="0"/>
          <c:cat>
            <c:strRef>
              <c:f>Sheet2!$A$6:$A$15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Sheet2!$D$6:$D$15</c:f>
              <c:numCache>
                <c:formatCode>General</c:formatCode>
                <c:ptCount val="9"/>
                <c:pt idx="1">
                  <c:v>6</c:v>
                </c:pt>
                <c:pt idx="4">
                  <c:v>20</c:v>
                </c:pt>
                <c:pt idx="8">
                  <c:v>24</c:v>
                </c:pt>
              </c:numCache>
            </c:numRef>
          </c:val>
          <c:extLst>
            <c:ext xmlns:c16="http://schemas.microsoft.com/office/drawing/2014/chart" uri="{C3380CC4-5D6E-409C-BE32-E72D297353CC}">
              <c16:uniqueId val="{00000008-5DE1-4AF9-8A9B-0F7F0F551A78}"/>
            </c:ext>
          </c:extLst>
        </c:ser>
        <c:ser>
          <c:idx val="3"/>
          <c:order val="3"/>
          <c:tx>
            <c:strRef>
              <c:f>Sheet2!$E$4:$E$5</c:f>
              <c:strCache>
                <c:ptCount val="1"/>
                <c:pt idx="0">
                  <c:v>successful</c:v>
                </c:pt>
              </c:strCache>
            </c:strRef>
          </c:tx>
          <c:spPr>
            <a:solidFill>
              <a:schemeClr val="accent4"/>
            </a:solidFill>
            <a:ln>
              <a:noFill/>
            </a:ln>
            <a:effectLst/>
          </c:spPr>
          <c:invertIfNegative val="0"/>
          <c:cat>
            <c:strRef>
              <c:f>Sheet2!$A$6:$A$15</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Sheet2!$E$6:$E$15</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9-5DE1-4AF9-8A9B-0F7F0F551A78}"/>
            </c:ext>
          </c:extLst>
        </c:ser>
        <c:dLbls>
          <c:showLegendKey val="0"/>
          <c:showVal val="0"/>
          <c:showCatName val="0"/>
          <c:showSerName val="0"/>
          <c:showPercent val="0"/>
          <c:showBubbleSize val="0"/>
        </c:dLbls>
        <c:gapWidth val="150"/>
        <c:overlap val="100"/>
        <c:axId val="483750360"/>
        <c:axId val="483745440"/>
      </c:barChart>
      <c:catAx>
        <c:axId val="483750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745440"/>
        <c:crosses val="autoZero"/>
        <c:auto val="1"/>
        <c:lblAlgn val="ctr"/>
        <c:lblOffset val="100"/>
        <c:noMultiLvlLbl val="0"/>
      </c:catAx>
      <c:valAx>
        <c:axId val="483745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750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[StarterBook.xlsx]Sheet3!PivotTable2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 of Outcome by</a:t>
            </a:r>
            <a:r>
              <a:rPr lang="en-US" baseline="0"/>
              <a:t> Sub-Category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Sheet3!$B$4:$B$5</c:f>
              <c:strCache>
                <c:ptCount val="1"/>
                <c:pt idx="0">
                  <c:v>canceled</c:v>
                </c:pt>
              </c:strCache>
            </c:strRef>
          </c:tx>
          <c:spPr>
            <a:solidFill>
              <a:schemeClr val="accent1"/>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5558-41E8-B252-258E7A3E13B8}"/>
            </c:ext>
          </c:extLst>
        </c:ser>
        <c:ser>
          <c:idx val="1"/>
          <c:order val="1"/>
          <c:tx>
            <c:strRef>
              <c:f>Sheet3!$C$4:$C$5</c:f>
              <c:strCache>
                <c:ptCount val="1"/>
                <c:pt idx="0">
                  <c:v>failed</c:v>
                </c:pt>
              </c:strCache>
            </c:strRef>
          </c:tx>
          <c:spPr>
            <a:solidFill>
              <a:schemeClr val="accent2"/>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5558-41E8-B252-258E7A3E13B8}"/>
            </c:ext>
          </c:extLst>
        </c:ser>
        <c:ser>
          <c:idx val="2"/>
          <c:order val="2"/>
          <c:tx>
            <c:strRef>
              <c:f>Sheet3!$D$4:$D$5</c:f>
              <c:strCache>
                <c:ptCount val="1"/>
                <c:pt idx="0">
                  <c:v>live</c:v>
                </c:pt>
              </c:strCache>
            </c:strRef>
          </c:tx>
          <c:spPr>
            <a:solidFill>
              <a:schemeClr val="accent3"/>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4-5558-41E8-B252-258E7A3E13B8}"/>
            </c:ext>
          </c:extLst>
        </c:ser>
        <c:ser>
          <c:idx val="3"/>
          <c:order val="3"/>
          <c:tx>
            <c:strRef>
              <c:f>Sheet3!$E$4:$E$5</c:f>
              <c:strCache>
                <c:ptCount val="1"/>
                <c:pt idx="0">
                  <c:v>successful</c:v>
                </c:pt>
              </c:strCache>
            </c:strRef>
          </c:tx>
          <c:spPr>
            <a:solidFill>
              <a:schemeClr val="accent4"/>
            </a:solidFill>
            <a:ln>
              <a:noFill/>
            </a:ln>
            <a:effectLst/>
          </c:spPr>
          <c:invertIfNegative val="0"/>
          <c:cat>
            <c:strRef>
              <c:f>Sheet3!$A$6:$A$47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Sheet3!$E$6:$E$47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5-5558-41E8-B252-258E7A3E13B8}"/>
            </c:ext>
          </c:extLst>
        </c:ser>
        <c:dLbls>
          <c:showLegendKey val="0"/>
          <c:showVal val="0"/>
          <c:showCatName val="0"/>
          <c:showSerName val="0"/>
          <c:showPercent val="0"/>
          <c:showBubbleSize val="0"/>
        </c:dLbls>
        <c:gapWidth val="150"/>
        <c:overlap val="100"/>
        <c:axId val="487382536"/>
        <c:axId val="487377616"/>
      </c:barChart>
      <c:catAx>
        <c:axId val="487382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377616"/>
        <c:crosses val="autoZero"/>
        <c:auto val="1"/>
        <c:lblAlgn val="ctr"/>
        <c:lblOffset val="100"/>
        <c:noMultiLvlLbl val="0"/>
      </c:catAx>
      <c:valAx>
        <c:axId val="487377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3825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[StarterBook.xlsx]Sheet4!PivotTable3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 of Outcome by</a:t>
            </a:r>
            <a:r>
              <a:rPr lang="en-US" baseline="0"/>
              <a:t>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3"/>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8"/>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9"/>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s>
    <c:plotArea>
      <c:layout/>
      <c:lineChart>
        <c:grouping val="standard"/>
        <c:varyColors val="0"/>
        <c:ser>
          <c:idx val="0"/>
          <c:order val="0"/>
          <c:tx>
            <c:strRef>
              <c:f>Sheet4!$B$4:$B$5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Sheet4!$B$6:$B$18</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0-213B-4ED1-B0D6-AA7C92F8757E}"/>
            </c:ext>
          </c:extLst>
        </c:ser>
        <c:ser>
          <c:idx val="1"/>
          <c:order val="1"/>
          <c:tx>
            <c:strRef>
              <c:f>Sheet4!$C$4:$C$5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Sheet4!$C$6:$C$18</c:f>
              <c:numCache>
                <c:formatCode>General</c:formatCode>
                <c:ptCount val="12"/>
                <c:pt idx="0">
                  <c:v>149</c:v>
                </c:pt>
                <c:pt idx="1">
                  <c:v>105</c:v>
                </c:pt>
                <c:pt idx="2">
                  <c:v>108</c:v>
                </c:pt>
                <c:pt idx="3">
                  <c:v>103</c:v>
                </c:pt>
                <c:pt idx="4">
                  <c:v>126</c:v>
                </c:pt>
                <c:pt idx="5">
                  <c:v>148</c:v>
                </c:pt>
                <c:pt idx="6">
                  <c:v>148</c:v>
                </c:pt>
                <c:pt idx="7">
                  <c:v>134</c:v>
                </c:pt>
                <c:pt idx="8">
                  <c:v>127</c:v>
                </c:pt>
                <c:pt idx="9">
                  <c:v>150</c:v>
                </c:pt>
                <c:pt idx="10">
                  <c:v>113</c:v>
                </c:pt>
                <c:pt idx="11">
                  <c:v>119</c:v>
                </c:pt>
              </c:numCache>
            </c:numRef>
          </c:val>
          <c:smooth val="0"/>
          <c:extLst>
            <c:ext xmlns:c16="http://schemas.microsoft.com/office/drawing/2014/chart" uri="{C3380CC4-5D6E-409C-BE32-E72D297353CC}">
              <c16:uniqueId val="{00000001-213B-4ED1-B0D6-AA7C92F8757E}"/>
            </c:ext>
          </c:extLst>
        </c:ser>
        <c:ser>
          <c:idx val="2"/>
          <c:order val="2"/>
          <c:tx>
            <c:strRef>
              <c:f>Sheet4!$D$4:$D$5</c:f>
              <c:strCache>
                <c:ptCount val="1"/>
                <c:pt idx="0">
                  <c:v>successful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Sheet4!$D$6:$D$18</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2-213B-4ED1-B0D6-AA7C92F8757E}"/>
            </c:ext>
          </c:extLst>
        </c:ser>
        <c:dLbls>
          <c:showLegendKey val="0"/>
          <c:showVal val="0"/>
          <c:showCatName val="0"/>
          <c:showSerName val="0"/>
          <c:showPercent val="0"/>
          <c:showBubbleSize val="0"/>
        </c:dLbls>
        <c:marker val="1"/>
        <c:smooth val="0"/>
        <c:axId val="480793224"/>
        <c:axId val="480790600"/>
      </c:lineChart>
      <c:catAx>
        <c:axId val="480793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790600"/>
        <c:crosses val="autoZero"/>
        <c:auto val="1"/>
        <c:lblAlgn val="ctr"/>
        <c:lblOffset val="100"/>
        <c:noMultiLvlLbl val="0"/>
      </c:catAx>
      <c:valAx>
        <c:axId val="480790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7932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Chou</dc:creator>
  <cp:keywords/>
  <dc:description/>
  <cp:lastModifiedBy>Victoria Chou</cp:lastModifiedBy>
  <cp:revision>3</cp:revision>
  <dcterms:created xsi:type="dcterms:W3CDTF">2018-06-11T22:20:00Z</dcterms:created>
  <dcterms:modified xsi:type="dcterms:W3CDTF">2018-06-12T01:38:00Z</dcterms:modified>
</cp:coreProperties>
</file>