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5FA3"/>
          <w:sz w:val="40"/>
          <w:szCs w:val="40"/>
        </w:rPr>
        <w:t xml:space="preserve">Training Data vs. Model Architecture</w:t>
      </w:r>
    </w:p>
    <w:p>
      <w:pPr>
        <w:spacing w:after="40"/>
      </w:pPr>
      <w:r>
        <w:rPr>
          <w:rFonts w:ascii="Arial" w:cs="Arial" w:eastAsia="Arial" w:hAnsi="Arial"/>
          <w:color w:val="444444"/>
          <w:sz w:val="26"/>
          <w:szCs w:val="26"/>
        </w:rPr>
        <w:t xml:space="preserve">A Compiled Reference List of Empirical Research</w:t>
      </w:r>
    </w:p>
    <w:p>
      <w:pPr>
        <w:pBdr>
          <w:bottom w:val="single" w:color="2E5FA3" w:sz="6" w:space="1"/>
        </w:pBdr>
        <w:spacing w:after="320"/>
      </w:pPr>
      <w:r>
        <w:rPr>
          <w:rFonts w:ascii="Arial" w:cs="Arial" w:eastAsia="Arial" w:hAnsi="Arial"/>
          <w:color w:val="888888"/>
          <w:sz w:val="20"/>
          <w:szCs w:val="20"/>
        </w:rPr>
        <w:t xml:space="preserve">April 2026</w:t>
      </w:r>
    </w:p>
    <w:p>
      <w:pPr>
        <w:pStyle w:val="Heading1"/>
      </w:pPr>
      <w:r>
        <w:rPr>
          <w:rFonts w:ascii="Arial" w:cs="Arial" w:eastAsia="Arial" w:hAnsi="Arial"/>
          <w:b/>
          <w:bCs/>
          <w:color w:val="2E5FA3"/>
          <w:sz w:val="28"/>
          <w:szCs w:val="28"/>
        </w:rPr>
        <w:t xml:space="preserve">Overview</w:t>
      </w:r>
    </w:p>
    <w:p>
      <w:pPr>
        <w:spacing w:after="120"/>
      </w:pPr>
      <w:r>
        <w:rPr>
          <w:rFonts w:ascii="Arial" w:cs="Arial" w:eastAsia="Arial" w:hAnsi="Arial"/>
          <w:sz w:val="22"/>
          <w:szCs w:val="22"/>
        </w:rPr>
        <w:t xml:space="preserve">This document compiles research papers supporting the claim that training data composition matters more than model architecture for discrete, domain-specific tasks. Papers are organized into four groups: (1) the core biomedical NLP evidence; (2) cross-domain replications; (3) general/theoretical foundations; and (4) an important caveat from the large-model era.</w:t>
      </w:r>
    </w:p>
    <w:p>
      <w:pPr>
        <w:spacing w:after="120"/>
      </w:pPr>
      <w:r>
        <w:rPr>
          <w:rFonts w:ascii="Arial" w:cs="Arial" w:eastAsia="Arial" w:hAnsi="Arial"/>
          <w:sz w:val="22"/>
          <w:szCs w:val="22"/>
        </w:rPr>
        <w:t xml:space="preserve">The argument is strongest in a bounded form: given fixed architecture and fixed compute, domain-matched training data is the primary lever for performance on specialized tasks. The Code Llama result (7B model with right data beats 70B model with wrong data) is the most dramatic quantitative illustration of this.</w:t>
      </w:r>
    </w:p>
    <w:p>
      <w:pPr>
        <w:spacing w:after="200"/>
      </w:pPr>
    </w:p>
    <w:p>
      <w:pPr>
        <w:pStyle w:val="Heading1"/>
      </w:pPr>
      <w:r>
        <w:rPr>
          <w:rFonts w:ascii="Arial" w:cs="Arial" w:eastAsia="Arial" w:hAnsi="Arial"/>
          <w:b/>
          <w:bCs/>
          <w:color w:val="2E5FA3"/>
          <w:sz w:val="28"/>
          <w:szCs w:val="28"/>
        </w:rPr>
        <w:t xml:space="preserve">1. Core Evidence: Biomedical NLP (Canonical Controlled Experiments)</w:t>
      </w:r>
    </w:p>
    <w:p>
      <w:pPr>
        <w:spacing w:after="120"/>
      </w:pPr>
      <w:r>
        <w:rPr>
          <w:rFonts w:ascii="Arial" w:cs="Arial" w:eastAsia="Arial" w:hAnsi="Arial"/>
          <w:sz w:val="22"/>
          <w:szCs w:val="22"/>
        </w:rPr>
        <w:t xml:space="preserve">These papers hold architecture constant and vary only the training corpus. They are the cleanest controlled comparisons available in the literature.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2400"/>
        <w:gridCol w:w="2560"/>
      </w:tblGrid>
      <w:tr>
        <w:trPr>
          <w:tblHeader/>
        </w:trPr>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Paper / Authors</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Venue / Year</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Key Finding</w:t>
            </w:r>
          </w:p>
        </w:tc>
        <w:tc>
          <w:tcPr>
            <w:tcW w:type="dxa" w:w="2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Why It Matters for the Argument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 et al. (2021) — PubMedBERT: Domain-Specific Language Model Pretraining for Biomedical NLP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ACM TCSS / arXiv:2007.15779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Biomedical NLP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Training BERT from scratch on PubMed abstracts only (BLURB score 81.16) substantially outperforms all models using mixed or general-domain pretraining, including RoBERTa (which uses the largest corpus but scores worst on biomedical tasks). Adding out-of-domain text hurts performance.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cleanest controlled experiment: same architecture (BERT-base), different training data. More data from the wrong domain actively harms performance.</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Luo et al. (2022) — BioGPT: Generative Pre-trained Transformer for Biomedical Text Generation and Mining</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Briefings in Bioinformatics / arXiv:2210.10341</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Biomedical NLP</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GPT-2-architecture model pretrained on 15M PubMed articles achieves 78.2% on PubMedQA (new SOTA) and outperforms general GPT-2 by wide margins on relation extraction and QA tasks.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Replicates the PubMedBERT finding on the generative side: same GPT architecture, domain-specific data wins.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Lee et al. (2020) — BioBERT: A Pre-trained Biomedical Language Representation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Bioinformatics / arXiv:1901.08746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Biomedical NLP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BERT fine-tuned on biomedical corpora (PubMed + PMC) significantly outperforms general BERT on NER, RE, and QA. Establishes that domain text matters even when starting from a general model.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Earlier, less pure version of the same hypothesis — domain text helps even without vocabulary adaptation. Useful as a stepping stone to PubMedBERT.</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Gururangan et al. (2020) — Don't Stop Pretraining: Adapt Language Models to Domains and Tasks</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ACL 2020 / arXiv:2004.10964</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Multi-domain (bio, CS, news, reviews)</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Domain-adaptive pretraining (DAPT) of RoBERTa consistently improves performance across 4 domains and 8 tasks, under both high- and low-resource conditions. Task-adaptive pretraining on top of DAPT improves further. Data distribution aligned with the task can outweigh larger data volumes.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The broadest empirical sweep: shows the pattern holds across domains, not just biomedical. The ACL 2020 venue gives it high credibility.</w:t>
            </w:r>
          </w:p>
        </w:tc>
      </w:tr>
    </w:tbl>
    <w:p>
      <w:pPr>
        <w:spacing w:after="280"/>
      </w:pPr>
    </w:p>
    <w:p>
      <w:pPr>
        <w:pStyle w:val="Heading1"/>
      </w:pPr>
      <w:r>
        <w:rPr>
          <w:rFonts w:ascii="Arial" w:cs="Arial" w:eastAsia="Arial" w:hAnsi="Arial"/>
          <w:b/>
          <w:bCs/>
          <w:color w:val="2E5FA3"/>
          <w:sz w:val="28"/>
          <w:szCs w:val="28"/>
        </w:rPr>
        <w:t xml:space="preserve">2. Cross-Domain Replications: Finance, Law, and Code</w:t>
      </w:r>
    </w:p>
    <w:p>
      <w:pPr>
        <w:spacing w:after="120"/>
      </w:pPr>
      <w:r>
        <w:rPr>
          <w:rFonts w:ascii="Arial" w:cs="Arial" w:eastAsia="Arial" w:hAnsi="Arial"/>
          <w:sz w:val="22"/>
          <w:szCs w:val="22"/>
        </w:rPr>
        <w:t xml:space="preserve">The same pattern has been reproduced outside biomedical NLP, across finance, legal, and programming domains. These papers extend the claim beyond a single field.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2400"/>
        <w:gridCol w:w="2560"/>
      </w:tblGrid>
      <w:tr>
        <w:trPr>
          <w:tblHeader/>
        </w:trPr>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Paper / Authors</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Venue / Year</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Key Finding</w:t>
            </w:r>
          </w:p>
        </w:tc>
        <w:tc>
          <w:tcPr>
            <w:tcW w:type="dxa" w:w="2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Why It Matters for the Argument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Wu et al. (2023) — BloombergGPT: A Large Language Model for Finance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arXiv:2303.17564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50B-parameter LLM trained on 363B tokens of Bloomberg financial data outperforms same-size general models on financial benchmarks by significant margins, without sacrificing general capability. Bloomberg's head of ML: 'The quality of ML models comes down to the data you put into them.'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finance parallel to BioGPT — domain-specific training corpus drives performance on discrete financial tasks.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Polo et al. / Colombo et al. (2025) — The Interplay Between Domain Specialization and Model Size</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arXiv:2501.02068</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Legal, Medical, Accounting</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Across model sizes 1.5B–14B, specialized models (legal-only filtered data) consistently outperform general models at equal compute. Larger specialized models achieve their best perplexity with fewer training steps than general models. Code Llama 7B (500B code tokens) matched Llama 2 70B (2T general tokens).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Demonstrates a power-law: the data-vs-architecture advantage grows with model scale, across multiple domains.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Feng et al. (2020) — CodeBERT: A Pre-Trained Model for Programming and Natural Languages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EMNLP Findings / arXiv:2002.08155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Code / Software Engineering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BERT-architecture model pretrained on NL-PL pairs (6 programming languages) achieves SOTA on code search and documentation generation. Outperforms RoBERTa trained on code alone, showing that data composition (paired NL+PL) matters as much as data domain.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Extends the claim to programming language tasks: the right data mixture, not a new architecture, drives gains.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Roziere et al. (2023) — Code Llama: Open Foundation Models for Code</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Meta AI / arXiv:2308.12950</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Code Generation</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Code Llama (Llama 2 + code-specific training on 500B tokens) outperforms Llama 2 70B on HumanEval/MBPP despite being 10x smaller. Python-specialized variant further improves performance. Architecture is held constant; code-domain data drives the gain.</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Dramatic size-vs-data tradeoff: 7B model with right data beats 70B model with wrong data.</w:t>
            </w:r>
          </w:p>
        </w:tc>
      </w:tr>
    </w:tbl>
    <w:p>
      <w:pPr>
        <w:spacing w:after="280"/>
      </w:pPr>
    </w:p>
    <w:p>
      <w:pPr>
        <w:pStyle w:val="Heading1"/>
      </w:pPr>
      <w:r>
        <w:rPr>
          <w:rFonts w:ascii="Arial" w:cs="Arial" w:eastAsia="Arial" w:hAnsi="Arial"/>
          <w:b/>
          <w:bCs/>
          <w:color w:val="2E5FA3"/>
          <w:sz w:val="28"/>
          <w:szCs w:val="28"/>
        </w:rPr>
        <w:t xml:space="preserve">3. General and Theoretical Foundations</w:t>
      </w:r>
    </w:p>
    <w:p>
      <w:pPr>
        <w:spacing w:after="120"/>
      </w:pPr>
      <w:r>
        <w:rPr>
          <w:rFonts w:ascii="Arial" w:cs="Arial" w:eastAsia="Arial" w:hAnsi="Arial"/>
          <w:sz w:val="22"/>
          <w:szCs w:val="22"/>
        </w:rPr>
        <w:t xml:space="preserve">These papers establish the broader theoretical and empirical grounding: that data is the primary scaling lever in language models, and that data quality dominates architecture in production ML systems.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2400"/>
        <w:gridCol w:w="2560"/>
      </w:tblGrid>
      <w:tr>
        <w:trPr>
          <w:tblHeader/>
        </w:trPr>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Paper / Authors</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Venue / Year</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Key Finding</w:t>
            </w:r>
          </w:p>
        </w:tc>
        <w:tc>
          <w:tcPr>
            <w:tcW w:type="dxa" w:w="2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Why It Matters for the Argument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Kaplan et al. (2020) — Scaling Laws for Neural Language Models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OpenAI / arXiv:2001.08361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General LLMs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Performance follows power laws with model size, dataset size, and compute. Critically: for a fixed compute budget, it is often better to train a smaller model on more data than a larger model on less. Architecture details matter far less than scale and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theoretical foundation for 'data &gt; architecture' — shows architecture is not the primary lever in the scaling regime.</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Hoffmann et al. (2022) — Training Compute-Optimal Large Language Models (Chinchilla)</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DeepMind / arXiv:2203.15556</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General LLMs</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Most large LLMs are significantly undertrained relative to model size. Chinchilla (70B, 1.4T tokens) outperforms Gopher (280B) by training on 4x more data with 4x fewer parameters. Optimal scaling requires equal scaling of model size and training tokens.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Establishes that the field systematically over-invests in architecture and under-invests in data. Data is the underutilized lever.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Gunasekar et al. (2023) — Textbooks Are All You Need (phi-1)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Microsoft / arXiv:2306.11644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Code / General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1.3B-parameter model trained on ~6B tokens of 'textbook quality' code data matches or exceeds much larger models (30B+) on coding benchmarks. Demonstrates that data quality and curriculum design matter more than model size.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strongest version of the data-quality argument: curated, high-quality data at small scale beats large-scale noisy data with larger models.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Sambasivan et al. (2021) — Everyone Wants to Do the Model Work, Not the Data Work (Google)</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ACM CHI 2021</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Production ML (multi-domain)</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92% of 53 AI practitioners across healthcare, agriculture, finance, and public safety experienced 'data cascades' — compounding failures caused by data quality issues. Data problems were the primary driver of production failures, not model architecture.</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The practitioner-facing evidence: real-world ML failures are overwhelmingly data problems, not architecture problems.</w:t>
            </w:r>
          </w:p>
        </w:tc>
      </w:tr>
    </w:tbl>
    <w:p>
      <w:pPr>
        <w:spacing w:after="280"/>
      </w:pPr>
    </w:p>
    <w:p>
      <w:pPr>
        <w:pStyle w:val="Heading1"/>
      </w:pPr>
      <w:r>
        <w:rPr>
          <w:rFonts w:ascii="Arial" w:cs="Arial" w:eastAsia="Arial" w:hAnsi="Arial"/>
          <w:b/>
          <w:bCs/>
          <w:color w:val="2E5FA3"/>
          <w:sz w:val="28"/>
          <w:szCs w:val="28"/>
        </w:rPr>
        <w:t xml:space="preserve">4. Important Caveat: When Scale Overcomes Data</w:t>
      </w:r>
    </w:p>
    <w:p>
      <w:pPr>
        <w:spacing w:after="120"/>
      </w:pPr>
      <w:r>
        <w:rPr>
          <w:rFonts w:ascii="Arial" w:cs="Arial" w:eastAsia="Arial" w:hAnsi="Arial"/>
          <w:sz w:val="22"/>
          <w:szCs w:val="22"/>
        </w:rPr>
        <w:t xml:space="preserve">The argument weakens when comparing domain-specific small models against massive general models. This paper is worth citing proactively when presenting to a skeptical audience, and frames the argument's appropriate scope.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2400"/>
        <w:gridCol w:w="2560"/>
      </w:tblGrid>
      <w:tr>
        <w:trPr>
          <w:tblHeader/>
        </w:trPr>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Paper / Authors</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Venue / Year</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Key Finding</w:t>
            </w:r>
          </w:p>
        </w:tc>
        <w:tc>
          <w:tcPr>
            <w:tcW w:type="dxa" w:w="2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Why It Matters for the Argument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Nori et al. (2023) — Can Generalist Foundation Models Outcompete Special-Purpose Tuning? (Medprompt)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Microsoft / arXiv:2311.16452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Medical QA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GPT-4 with prompt engineering (Medprompt) outperforms domain-specific models including Med-PaLM 2 on all 9 MultiMedQA benchmarks. 27% error reduction vs. best specialist models. Suggests that at sufficient scale, general models can overcome domain data gaps.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important caveat: the claim weakens at very large scale. Useful to acknowledge if presenting to a skeptical audience.</w:t>
            </w:r>
          </w:p>
        </w:tc>
      </w:tr>
    </w:tbl>
    <w:p>
      <w:pPr>
        <w:spacing w:after="280"/>
      </w:pPr>
    </w:p>
    <w:p>
      <w:pPr>
        <w:pStyle w:val="Heading1"/>
      </w:pPr>
      <w:r>
        <w:rPr>
          <w:rFonts w:ascii="Arial" w:cs="Arial" w:eastAsia="Arial" w:hAnsi="Arial"/>
          <w:b/>
          <w:bCs/>
          <w:color w:val="2E5FA3"/>
          <w:sz w:val="28"/>
          <w:szCs w:val="28"/>
        </w:rPr>
        <w:t xml:space="preserve">Summary: The Argument's Strongest Form</w:t>
      </w:r>
    </w:p>
    <w:p>
      <w:pPr>
        <w:spacing w:after="120"/>
      </w:pPr>
      <w:r>
        <w:rPr>
          <w:rFonts w:ascii="Arial" w:cs="Arial" w:eastAsia="Arial" w:hAnsi="Arial"/>
          <w:sz w:val="22"/>
          <w:szCs w:val="22"/>
        </w:rPr>
        <w:t xml:space="preserve">The most defensible version of the claim, supported across the papers above:</w:t>
      </w:r>
    </w:p>
    <w:p>
      <w:pPr>
        <w:pStyle w:val="ListParagraph"/>
        <w:numPr>
          <w:ilvl w:val="0"/>
          <w:numId w:val="2"/>
        </w:numPr>
        <w:spacing w:after="80"/>
      </w:pPr>
      <w:r>
        <w:rPr>
          <w:rFonts w:ascii="Arial" w:cs="Arial" w:eastAsia="Arial" w:hAnsi="Arial"/>
          <w:sz w:val="22"/>
          <w:szCs w:val="22"/>
        </w:rPr>
        <w:t xml:space="preserve">For discrete, domain-specific tasks with available in-domain text: improvements to training data composition reliably outperform equivalent effort spent on architecture search.</w:t>
      </w:r>
    </w:p>
    <w:p>
      <w:pPr>
        <w:pStyle w:val="ListParagraph"/>
        <w:numPr>
          <w:ilvl w:val="0"/>
          <w:numId w:val="2"/>
        </w:numPr>
        <w:spacing w:after="80"/>
      </w:pPr>
      <w:r>
        <w:rPr>
          <w:rFonts w:ascii="Arial" w:cs="Arial" w:eastAsia="Arial" w:hAnsi="Arial"/>
          <w:sz w:val="22"/>
          <w:szCs w:val="22"/>
        </w:rPr>
        <w:t xml:space="preserve">The right data at small scale beats wrong data at large scale (Code Llama 7B vs. Llama 2 70B; phi-1 1.3B vs. 30B+ models).</w:t>
      </w:r>
    </w:p>
    <w:p>
      <w:pPr>
        <w:pStyle w:val="ListParagraph"/>
        <w:numPr>
          <w:ilvl w:val="0"/>
          <w:numId w:val="2"/>
        </w:numPr>
        <w:spacing w:after="80"/>
      </w:pPr>
      <w:r>
        <w:rPr>
          <w:rFonts w:ascii="Arial" w:cs="Arial" w:eastAsia="Arial" w:hAnsi="Arial"/>
          <w:sz w:val="22"/>
          <w:szCs w:val="22"/>
        </w:rPr>
        <w:t xml:space="preserve">More out-of-domain data actively hurts: adding clinical notes to a biomedical corpus or web text to a finance corpus degrades performance (PubMedBERT, BloombergGPT).</w:t>
      </w:r>
    </w:p>
    <w:p>
      <w:pPr>
        <w:pStyle w:val="ListParagraph"/>
        <w:numPr>
          <w:ilvl w:val="0"/>
          <w:numId w:val="2"/>
        </w:numPr>
        <w:spacing w:after="80"/>
      </w:pPr>
      <w:r>
        <w:rPr>
          <w:rFonts w:ascii="Arial" w:cs="Arial" w:eastAsia="Arial" w:hAnsi="Arial"/>
          <w:sz w:val="22"/>
          <w:szCs w:val="22"/>
        </w:rPr>
        <w:t xml:space="preserve">The caveat: at very large scale (GPT-4 class), general models with prompt engineering can overcome domain gaps — but this is the exception, not the rule for most applied settings.</w:t>
      </w:r>
    </w:p>
    <w:p>
      <w:pPr>
        <w:spacing w:after="200"/>
      </w:pP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A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2026-04-16T22:47:13.811Z</dcterms:created>
  <dcterms:modified xsi:type="dcterms:W3CDTF">2026-04-16T22:47:13.813Z</dcterms:modified>
</cp:coreProperties>
</file>

<file path=docProps/custom.xml><?xml version="1.0" encoding="utf-8"?>
<Properties xmlns="http://schemas.openxmlformats.org/officeDocument/2006/custom-properties" xmlns:vt="http://schemas.openxmlformats.org/officeDocument/2006/docPropsVTypes"/>
</file>