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val="1"/>
      </w:pPr>
      <w:r>
        <w:t xml:space="preserve">Stable</w:t>
      </w:r>
      <w:r>
        <w:t xml:space="preserve"> </w:t>
      </w:r>
      <w:r>
        <w:t xml:space="preserve">Capability</w:t>
      </w:r>
      <w:r>
        <w:t xml:space="preserve"> </w:t>
      </w:r>
      <w:r>
        <w:t xml:space="preserve">Fields</w:t>
      </w:r>
    </w:p>
    <w:p>
      <w:pPr>
        <w:pStyle w:val="Subtitle"/>
        <w:widowControl w:val="1"/>
        <w:pBdr>
          <w:bottom w:val="single" w:sz="10" w:space="18" w:color="355C78"/>
        </w:pBdr>
      </w:pPr>
      <w:r>
        <w:t xml:space="preserve">A</w:t>
      </w:r>
      <w:r>
        <w:t xml:space="preserve"> </w:t>
      </w:r>
      <w:r>
        <w:t xml:space="preserve">Governed</w:t>
      </w:r>
      <w:r>
        <w:t xml:space="preserve"> </w:t>
      </w:r>
      <w:r>
        <w:t xml:space="preserve">Substrate</w:t>
      </w:r>
      <w:r>
        <w:t xml:space="preserve"> </w:t>
      </w:r>
      <w:r>
        <w:t xml:space="preserve">for</w:t>
      </w:r>
      <w:r>
        <w:t xml:space="preserve"> </w:t>
      </w:r>
      <w:r>
        <w:t xml:space="preserve">Recursive</w:t>
      </w:r>
      <w:r>
        <w:t xml:space="preserve"> </w:t>
      </w:r>
      <w:r>
        <w:t xml:space="preserve">AI</w:t>
      </w:r>
      <w:r>
        <w:t xml:space="preserve"> </w:t>
      </w:r>
      <w:r>
        <w:t xml:space="preserve">Self-Improvement</w:t>
      </w:r>
    </w:p>
    <w:p>
      <w:pPr>
        <w:pStyle w:val="Author"/>
        <w:widowControl w:val="1"/>
      </w:pPr>
      <w:r>
        <w:t xml:space="preserve">Corben</w:t>
      </w:r>
      <w:r>
        <w:t xml:space="preserve"> </w:t>
      </w:r>
      <w:r>
        <w:t xml:space="preserve">Sorenson</w:t>
      </w:r>
    </w:p>
    <w:p>
      <w:pPr>
        <w:pStyle w:val="Date"/>
        <w:widowControl w:val="1"/>
      </w:pPr>
      <w:r>
        <w:t xml:space="preserve">Working</w:t>
      </w:r>
      <w:r>
        <w:t xml:space="preserve"> </w:t>
      </w:r>
      <w:r>
        <w:t xml:space="preserve">Paper</w:t>
      </w:r>
      <w:r>
        <w:t xml:space="preserve"> </w:t>
      </w:r>
      <w:r>
        <w:t xml:space="preserve">-</w:t>
      </w:r>
      <w:r>
        <w:t xml:space="preserve"> </w:t>
      </w:r>
      <w:r>
        <w:t xml:space="preserve">June</w:t>
      </w:r>
      <w:r>
        <w:t xml:space="preserve"> </w:t>
      </w:r>
      <w:r>
        <w:t xml:space="preserve">2026</w:t>
      </w:r>
    </w:p>
    <w:p>
      <w:pPr>
        <w:widowControl w:val="1"/>
      </w:pPr>
      <w:r>
        <w:rPr>
          <w:rFonts w:ascii="Noto Serif" w:hAnsi="Noto Serif" w:eastAsia="Noto Serif"/>
          <w:color w:val="1D2833"/>
          <w:sz w:val="20"/>
        </w:rPr>
        <w:br w:type="page"/>
      </w:r>
    </w:p>
    <w:bookmarkStart w:id="20" w:name="contents"/>
    <w:p>
      <w:pPr>
        <w:pStyle w:val="Heading1"/>
        <w:pageBreakBefore w:val="0"/>
        <w:widowControl w:val="1"/>
        <w:pBdr>
          <w:bottom w:val="single" w:sz="7" w:space="4" w:color="E8EEF3"/>
        </w:pBdr>
        <w:spacing w:before="440" w:after="220"/>
      </w:pPr>
      <w:r>
        <w:t xml:space="preserve">Contents</w:t>
      </w:r>
    </w:p>
    <w:p>
      <w:pPr>
        <w:pStyle w:val="ContentsDivider"/>
        <w:widowControl w:val="1"/>
      </w:pPr>
      <w:r>
        <w:t xml:space="preserve">Abstract and scope</w:t>
      </w:r>
    </w:p>
    <w:p>
      <w:pPr>
        <w:pStyle w:val="ContentsEntry"/>
        <w:numPr>
          <w:ilvl w:val="0"/>
          <w:numId w:val="1001"/>
        </w:numPr>
        <w:widowControl w:val="1"/>
      </w:pPr>
      <w:r>
        <w:t xml:space="preserve">Introduction</w:t>
      </w:r>
    </w:p>
    <w:p>
      <w:pPr>
        <w:pStyle w:val="ContentsEntry"/>
        <w:numPr>
          <w:ilvl w:val="0"/>
          <w:numId w:val="1001"/>
        </w:numPr>
        <w:widowControl w:val="1"/>
      </w:pPr>
      <w:r>
        <w:t xml:space="preserve">Design problem and requirements</w:t>
      </w:r>
    </w:p>
    <w:p>
      <w:pPr>
        <w:pStyle w:val="ContentsEntry"/>
        <w:numPr>
          <w:ilvl w:val="0"/>
          <w:numId w:val="1001"/>
        </w:numPr>
        <w:widowControl w:val="1"/>
      </w:pPr>
      <w:r>
        <w:t xml:space="preserve">Relation to prior work</w:t>
      </w:r>
    </w:p>
    <w:p>
      <w:pPr>
        <w:pStyle w:val="ContentsEntry"/>
        <w:numPr>
          <w:ilvl w:val="0"/>
          <w:numId w:val="1001"/>
        </w:numPr>
        <w:widowControl w:val="1"/>
      </w:pPr>
      <w:r>
        <w:t xml:space="preserve">Formal model</w:t>
      </w:r>
    </w:p>
    <w:p>
      <w:pPr>
        <w:pStyle w:val="ContentsEntry"/>
        <w:numPr>
          <w:ilvl w:val="0"/>
          <w:numId w:val="1001"/>
        </w:numPr>
        <w:widowControl w:val="1"/>
      </w:pPr>
      <w:r>
        <w:t xml:space="preserve">The field contract as a semantic ABI</w:t>
      </w:r>
    </w:p>
    <w:p>
      <w:pPr>
        <w:pStyle w:val="ContentsEntry"/>
        <w:numPr>
          <w:ilvl w:val="0"/>
          <w:numId w:val="1001"/>
        </w:numPr>
        <w:widowControl w:val="1"/>
      </w:pPr>
      <w:r>
        <w:t xml:space="preserve">Implementation model, state, and granularity</w:t>
      </w:r>
    </w:p>
    <w:p>
      <w:pPr>
        <w:pStyle w:val="ContentsEntry"/>
        <w:numPr>
          <w:ilvl w:val="0"/>
          <w:numId w:val="1001"/>
        </w:numPr>
        <w:widowControl w:val="1"/>
      </w:pPr>
      <w:r>
        <w:t xml:space="preserve">The evidence registry</w:t>
      </w:r>
    </w:p>
    <w:p>
      <w:pPr>
        <w:pStyle w:val="ContentsEntry"/>
        <w:numPr>
          <w:ilvl w:val="0"/>
          <w:numId w:val="1001"/>
        </w:numPr>
        <w:widowControl w:val="1"/>
      </w:pPr>
      <w:r>
        <w:t xml:space="preserve">Contextual resolution and routing</w:t>
      </w:r>
    </w:p>
    <w:p>
      <w:pPr>
        <w:pStyle w:val="ContentsEntry"/>
        <w:numPr>
          <w:ilvl w:val="0"/>
          <w:numId w:val="1001"/>
        </w:numPr>
        <w:widowControl w:val="1"/>
      </w:pPr>
      <w:r>
        <w:t xml:space="preserve">Shared tools, effects, and authority</w:t>
      </w:r>
    </w:p>
    <w:p>
      <w:pPr>
        <w:pStyle w:val="ContentsEntry"/>
        <w:numPr>
          <w:ilvl w:val="0"/>
          <w:numId w:val="1001"/>
        </w:numPr>
        <w:widowControl w:val="1"/>
      </w:pPr>
      <w:r>
        <w:t xml:space="preserve">Evaluator architecture and epistemic security</w:t>
      </w:r>
    </w:p>
    <w:p>
      <w:pPr>
        <w:pStyle w:val="ContentsEntry"/>
        <w:numPr>
          <w:ilvl w:val="0"/>
          <w:numId w:val="1001"/>
        </w:numPr>
        <w:widowControl w:val="1"/>
      </w:pPr>
      <w:r>
        <w:t xml:space="preserve">Governed self-improvement lifecycle</w:t>
      </w:r>
    </w:p>
    <w:p>
      <w:pPr>
        <w:pStyle w:val="ContentsEntry"/>
        <w:numPr>
          <w:ilvl w:val="0"/>
          <w:numId w:val="1001"/>
        </w:numPr>
        <w:widowControl w:val="1"/>
      </w:pPr>
      <w:r>
        <w:t xml:space="preserve">Cross-field composition</w:t>
      </w:r>
    </w:p>
    <w:p>
      <w:pPr>
        <w:pStyle w:val="ContentsEntry"/>
        <w:numPr>
          <w:ilvl w:val="0"/>
          <w:numId w:val="1001"/>
        </w:numPr>
        <w:widowControl w:val="1"/>
      </w:pPr>
      <w:r>
        <w:t xml:space="preserve">Evolution of abstractions and governance</w:t>
      </w:r>
    </w:p>
    <w:p>
      <w:pPr>
        <w:pStyle w:val="ContentsEntry"/>
        <w:numPr>
          <w:ilvl w:val="0"/>
          <w:numId w:val="1001"/>
        </w:numPr>
        <w:widowControl w:val="1"/>
      </w:pPr>
      <w:r>
        <w:t xml:space="preserve">Minimal trusted computing base</w:t>
      </w:r>
    </w:p>
    <w:p>
      <w:pPr>
        <w:pStyle w:val="ContentsEntry"/>
        <w:numPr>
          <w:ilvl w:val="0"/>
          <w:numId w:val="1001"/>
        </w:numPr>
        <w:widowControl w:val="1"/>
      </w:pPr>
      <w:r>
        <w:t xml:space="preserve">Threat model and failure analysis</w:t>
      </w:r>
    </w:p>
    <w:p>
      <w:pPr>
        <w:pStyle w:val="ContentsEntry"/>
        <w:numPr>
          <w:ilvl w:val="0"/>
          <w:numId w:val="1001"/>
        </w:numPr>
        <w:widowControl w:val="1"/>
      </w:pPr>
      <w:r>
        <w:t xml:space="preserve">Conditional safety properties</w:t>
      </w:r>
    </w:p>
    <w:p>
      <w:pPr>
        <w:pStyle w:val="ContentsEntry"/>
        <w:numPr>
          <w:ilvl w:val="0"/>
          <w:numId w:val="1001"/>
        </w:numPr>
        <w:widowControl w:val="1"/>
      </w:pPr>
      <w:r>
        <w:t xml:space="preserve">Reference architecture</w:t>
      </w:r>
    </w:p>
    <w:p>
      <w:pPr>
        <w:pStyle w:val="ContentsEntry"/>
        <w:numPr>
          <w:ilvl w:val="0"/>
          <w:numId w:val="1001"/>
        </w:numPr>
        <w:widowControl w:val="1"/>
      </w:pPr>
      <w:r>
        <w:t xml:space="preserve">Worked example: planning field</w:t>
      </w:r>
    </w:p>
    <w:p>
      <w:pPr>
        <w:pStyle w:val="ContentsEntry"/>
        <w:numPr>
          <w:ilvl w:val="0"/>
          <w:numId w:val="1001"/>
        </w:numPr>
        <w:widowControl w:val="1"/>
      </w:pPr>
      <w:r>
        <w:t xml:space="preserve">Empirical evaluation agenda</w:t>
      </w:r>
    </w:p>
    <w:p>
      <w:pPr>
        <w:pStyle w:val="ContentsEntry"/>
        <w:numPr>
          <w:ilvl w:val="0"/>
          <w:numId w:val="1001"/>
        </w:numPr>
        <w:widowControl w:val="1"/>
      </w:pPr>
      <w:r>
        <w:t xml:space="preserve">Implications for recursive improvement and ASI</w:t>
      </w:r>
    </w:p>
    <w:p>
      <w:pPr>
        <w:pStyle w:val="ContentsEntry"/>
        <w:numPr>
          <w:ilvl w:val="0"/>
          <w:numId w:val="1001"/>
        </w:numPr>
        <w:widowControl w:val="1"/>
      </w:pPr>
      <w:r>
        <w:t xml:space="preserve">Open research problems</w:t>
      </w:r>
    </w:p>
    <w:p>
      <w:pPr>
        <w:pStyle w:val="ContentsEntry"/>
        <w:numPr>
          <w:ilvl w:val="0"/>
          <w:numId w:val="1001"/>
        </w:numPr>
        <w:widowControl w:val="1"/>
      </w:pPr>
      <w:r>
        <w:t xml:space="preserve">Conclusion</w:t>
      </w:r>
    </w:p>
    <w:p>
      <w:pPr>
        <w:pStyle w:val="ContentsDivider"/>
        <w:widowControl w:val="1"/>
      </w:pPr>
      <w:r>
        <w:t xml:space="preserve">Appendices A-D</w:t>
      </w:r>
    </w:p>
    <w:p>
      <w:pPr>
        <w:pStyle w:val="ContentsDivider"/>
        <w:widowControl w:val="1"/>
      </w:pPr>
      <w:r>
        <w:t xml:space="preserve">References</w:t>
      </w:r>
    </w:p>
    <w:p>
      <w:pPr>
        <w:widowControl w:val="1"/>
      </w:pPr>
      <w:r>
        <w:rPr>
          <w:rFonts w:ascii="Noto Serif" w:hAnsi="Noto Serif" w:eastAsia="Noto Serif"/>
          <w:color w:val="1D2833"/>
          <w:sz w:val="20"/>
        </w:rPr>
        <w:br w:type="page"/>
      </w:r>
    </w:p>
    <w:bookmarkEnd w:id="20"/>
    <w:bookmarkStart w:id="21" w:name="abstract-and-scope"/>
    <w:p>
      <w:pPr>
        <w:pStyle w:val="Heading1"/>
        <w:pageBreakBefore w:val="0"/>
        <w:widowControl w:val="1"/>
        <w:pBdr>
          <w:bottom w:val="single" w:sz="7" w:space="4" w:color="E8EEF3"/>
        </w:pBdr>
        <w:spacing w:before="0"/>
      </w:pPr>
      <w:r>
        <w:t xml:space="preserve">Abstract and scope</w:t>
      </w:r>
    </w:p>
    <w:p>
      <w:pPr>
        <w:pStyle w:val="FirstParagraph"/>
        <w:widowControl w:val="1"/>
      </w:pPr>
      <w:r>
        <w:rPr>
          <w:rFonts w:ascii="Noto Serif" w:hAnsi="Noto Serif" w:eastAsia="Noto Serif"/>
          <w:color w:val="1D2833"/>
          <w:sz w:val="20"/>
        </w:rPr>
        <w:t xml:space="preserve">The central systems problem of recursive AI self-improvement is not merely how to generate a better component. It is how to replace a component that helps define, evaluate, and operate the system without losing the meaning of</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better.</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A long-lived intelligent system may eventually alter its planner, memory, context compiler, tool router, evaluator, model weights, execution harness, or even the interfaces among those parts. A design that treats these changes as unrestricted edits to a monolithic codebase makes improvement difficult to localize, compare, govern, or reverse. A design that treats them as ordinary plugins is also insufficient, because an AI implementation is often stochastic, stateful, authority-bearing, dependent on mutable models and services, and able to influence its own tests.</w:t>
      </w:r>
    </w:p>
    <w:p>
      <w:pPr>
        <w:pStyle w:val="BodyText"/>
        <w:widowControl w:val="1"/>
      </w:pPr>
      <w:r>
        <w:rPr>
          <w:rFonts w:ascii="Noto Serif" w:hAnsi="Noto Serif" w:eastAsia="Noto Serif"/>
          <w:color w:val="1D2833"/>
          <w:sz w:val="20"/>
        </w:rPr>
        <w:t xml:space="preserve">Stable Capability Fields (SCF) address this problem by separating a capability’s durable semantic identity from the replaceable machinery that realizes it. The abstraction is intentionally thin with respect to domain work: it does not plan, remember, search, or act. It does, however, define and enforce the terms under which implementations may do so. Each field includes a versioned semantic contract, implementations, evaluators, state schemas, migrations, authority policies, qualification evidence, deployment profiles, routing policies, observability requirements, and lifecycle history. The global registry is therefore an append-only evidence graph, not a flat map from a capability name to an implementation.</w:t>
      </w:r>
    </w:p>
    <w:p>
      <w:pPr>
        <w:pStyle w:val="BodyText"/>
        <w:widowControl w:val="1"/>
      </w:pPr>
      <w:r>
        <w:rPr>
          <w:rFonts w:ascii="Noto Serif" w:hAnsi="Noto Serif" w:eastAsia="Noto Serif"/>
          <w:color w:val="1D2833"/>
          <w:sz w:val="20"/>
        </w:rPr>
        <w:t xml:space="preserve">The paper is architectural and implementation-agnostic. It does not assume that intelligence is physically decomposable into neat neural modules. A single model or service may implement several fields, and a field may be realized by a composite of models, code, tools, and agents. The boundary is a governance and substitution boundary: a place where behavior can be specified, evaluated, authorized, observed, and replaced with bounded consequences. The proposal also does not claim that stable interfaces alone produce intelligence, alignment, or unbounded recursive improvement. Search quality, data, compute, evaluator validity, social governance, and the limits of formal verification remain decisive.</w:t>
      </w:r>
    </w:p>
    <w:p>
      <w:pPr>
        <w:pStyle w:val="BodyText"/>
        <w:widowControl w:val="1"/>
      </w:pPr>
      <w:r>
        <w:rPr>
          <w:rFonts w:ascii="Noto Serif" w:hAnsi="Noto Serif" w:eastAsia="Noto Serif"/>
          <w:b/>
          <w:bCs/>
          <w:color w:val="1D2833"/>
          <w:sz w:val="20"/>
        </w:rPr>
        <w:t xml:space="preserve">Status.</w:t>
      </w:r>
      <w:r>
        <w:rPr>
          <w:rFonts w:ascii="Noto Serif" w:hAnsi="Noto Serif" w:eastAsia="Noto Serif"/>
          <w:color w:val="1D2833"/>
          <w:sz w:val="20"/>
        </w:rPr>
        <w:t xml:space="preserve"> </w:t>
      </w:r>
      <w:r>
        <w:rPr>
          <w:rFonts w:ascii="Noto Serif" w:hAnsi="Noto Serif" w:eastAsia="Noto Serif"/>
          <w:color w:val="1D2833"/>
          <w:sz w:val="20"/>
        </w:rPr>
        <w:t xml:space="preserve">This is a research synthesis and architecture proposal, not a report of completed SCF experiments. The literature review covers primary work available through 22 June 2026. Numerical results attributed to prior systems are reported only to establish the state of the art; all SCF performance claims are posed as testable hypotheses.</w:t>
      </w:r>
    </w:p>
    <w:p>
      <w:pPr>
        <w:pStyle w:val="BodyText"/>
        <w:widowControl w:val="1"/>
      </w:pPr>
      <w:r>
        <w:rPr>
          <w:rFonts w:ascii="Noto Serif" w:hAnsi="Noto Serif" w:eastAsia="Noto Serif"/>
          <w:b/>
          <w:bCs/>
          <w:color w:val="1D2833"/>
          <w:sz w:val="20"/>
        </w:rPr>
        <w:t xml:space="preserve">Keywords:</w:t>
      </w:r>
      <w:r>
        <w:rPr>
          <w:rFonts w:ascii="Noto Serif" w:hAnsi="Noto Serif" w:eastAsia="Noto Serif"/>
          <w:color w:val="1D2833"/>
          <w:sz w:val="20"/>
        </w:rPr>
        <w:t xml:space="preserve"> </w:t>
      </w:r>
      <w:r>
        <w:rPr>
          <w:rFonts w:ascii="Noto Serif" w:hAnsi="Noto Serif" w:eastAsia="Noto Serif"/>
          <w:color w:val="1D2833"/>
          <w:sz w:val="20"/>
        </w:rPr>
        <w:t xml:space="preserve">recursive self-improvement; AI architecture; agent systems; capability registries; contracts; runtime assurance; governance; rollback; AI safety.</w:t>
      </w:r>
    </w:p>
    <w:bookmarkEnd w:id="21"/>
    <w:bookmarkStart w:id="25" w:name="introduction"/>
    <w:p>
      <w:pPr>
        <w:pStyle w:val="Heading1"/>
        <w:widowControl w:val="1"/>
        <w:pBdr>
          <w:bottom w:val="single" w:sz="7" w:space="4" w:color="E8EEF3"/>
        </w:pBdr>
      </w:pPr>
      <w:r>
        <w:rPr>
          <w:rStyle w:val="SectionNumber"/>
        </w:rPr>
        <w:t xml:space="preserve">1</w:t>
      </w:r>
      <w:r>
        <w:tab/>
      </w:r>
      <w:r>
        <w:t xml:space="preserve">Introduction</w:t>
      </w:r>
    </w:p>
    <w:bookmarkStart w:id="22" w:name="from-self-editing-to-governed-evolution"/>
    <w:p>
      <w:pPr>
        <w:pStyle w:val="Heading2"/>
        <w:widowControl w:val="1"/>
      </w:pPr>
      <w:r>
        <w:rPr>
          <w:rStyle w:val="SectionNumber"/>
        </w:rPr>
        <w:t xml:space="preserve">1.1</w:t>
      </w:r>
      <w:r>
        <w:tab/>
      </w:r>
      <w:r>
        <w:t xml:space="preserve">From self-editing to governed evolution</w:t>
      </w:r>
    </w:p>
    <w:p>
      <w:pPr>
        <w:pStyle w:val="FirstParagraph"/>
        <w:widowControl w:val="1"/>
      </w:pPr>
      <w:r>
        <w:rPr>
          <w:rFonts w:ascii="Noto Serif" w:hAnsi="Noto Serif" w:eastAsia="Noto Serif"/>
          <w:color w:val="1D2833"/>
          <w:sz w:val="20"/>
        </w:rPr>
        <w:t xml:space="preserve">Self-improving AI has moved from a primarily theoretical topic to an experimental systems problem. The Goedel Machine framed self-modification as a search for provably utility-improving rewrites [1]. More recent systems replace global proof with empirical evaluation: STOP improves an LM-infused improver program [2]; Automated Design of Agentic Systems searches over coded agent designs [3]; self-improving coding agents edit their own scaffolds [4]; the Darwin Goedel Machine preserves an archive of diverse descendants rather than greedily retaining one incumbent [5]; the Huxley-Goedel Machine explicitly separates present benchmark performance from a candidate’s capacity to generate better descendants [6]; and SIA jointly updates an agent harness and model weights [7]. AlphaEvolve shows how an evaluator-driven coding loop can produce both engineering optimizations and novel algorithms [8]. Other work accumulates skills or compiles declarative programs into optimized pipelines [9-11].</w:t>
      </w:r>
    </w:p>
    <w:p>
      <w:pPr>
        <w:pStyle w:val="BodyText"/>
        <w:widowControl w:val="1"/>
      </w:pPr>
      <w:r>
        <w:rPr>
          <w:rFonts w:ascii="Noto Serif" w:hAnsi="Noto Serif" w:eastAsia="Noto Serif"/>
          <w:color w:val="1D2833"/>
          <w:sz w:val="20"/>
        </w:rPr>
        <w:t xml:space="preserve">These systems demonstrate that an AI can participate in the design of its own operational machinery. They do not yet solve the full lifecycle problem. Most experiments optimize within a bounded benchmark and a comparatively small artifact boundary. A long-lived system faces a harder condition: the changing component may participate in selecting actions, constructing evaluation data, deciding which evidence to trust, allocating authority, migrating durable state, or proposing the next change. Its environment and dependencies may also drift after promotion. A change can score better while weakening recoverability, increasing privilege, corrupting state, overfitting the evaluator, or making future improvements harder.</w:t>
      </w:r>
    </w:p>
    <w:p>
      <w:pPr>
        <w:pStyle w:val="BodyText"/>
        <w:widowControl w:val="1"/>
      </w:pPr>
      <w:r>
        <w:rPr>
          <w:rFonts w:ascii="Noto Serif" w:hAnsi="Noto Serif" w:eastAsia="Noto Serif"/>
          <w:color w:val="1D2833"/>
          <w:sz w:val="20"/>
        </w:rPr>
        <w:t xml:space="preserve">The standard response is modularity: define an interface, put implementations behind it, and maintain a registry. That is necessary but not sufficient. A function signature says little about temporal behavior, side effects, state ownership, uncertainty, failure semantics, or authority. A package registry records what is available but usually does not establish where, when, and under which grant an artifact is qualified. A single</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current version</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cannot express the fact that a fast planner may be preferable for low-risk requests while a slower formally checked planner is required for high-consequence work. Ordinary rollback assumes that effects are reversible and that old code can interpret new state, neither of which is generally true.</w:t>
      </w:r>
    </w:p>
    <w:p>
      <w:pPr>
        <w:pStyle w:val="BodyText"/>
        <w:widowControl w:val="1"/>
      </w:pPr>
      <w:r>
        <w:rPr>
          <w:rFonts w:ascii="Noto Serif" w:hAnsi="Noto Serif" w:eastAsia="Noto Serif"/>
          <w:color w:val="1D2833"/>
          <w:sz w:val="20"/>
        </w:rPr>
        <w:t xml:space="preserve">SCF therefore treats self-improvement as</w:t>
      </w:r>
      <w:r>
        <w:rPr>
          <w:rFonts w:ascii="Noto Serif" w:hAnsi="Noto Serif" w:eastAsia="Noto Serif"/>
          <w:color w:val="1D2833"/>
          <w:sz w:val="20"/>
        </w:rPr>
        <w:t xml:space="preserve"> </w:t>
      </w:r>
      <w:r>
        <w:rPr>
          <w:rFonts w:ascii="Noto Serif" w:hAnsi="Noto Serif" w:eastAsia="Noto Serif"/>
          <w:b/>
          <w:bCs/>
          <w:color w:val="1D2833"/>
          <w:sz w:val="20"/>
        </w:rPr>
        <w:t xml:space="preserve">governed evolution over stable capability identities</w:t>
      </w:r>
      <w:r>
        <w:rPr>
          <w:rFonts w:ascii="Noto Serif" w:hAnsi="Noto Serif" w:eastAsia="Noto Serif"/>
          <w:color w:val="1D2833"/>
          <w:sz w:val="20"/>
        </w:rPr>
        <w:t xml:space="preserve">. The implementation can change frequently; the meaning of the capability changes rarely and under stronger governance. The registry stores reconstructable evidence and consequences. The runtime resolves a context-specific policy over qualified implementations. Tool authority is mediated separately from implementation choice. State transitions and recovery are first-class. Evaluators can themselves improve, but they cannot unilaterally certify the candidates they helped create.</w:t>
      </w:r>
    </w:p>
    <w:bookmarkEnd w:id="22"/>
    <w:bookmarkStart w:id="23" w:name="thesis"/>
    <w:p>
      <w:pPr>
        <w:pStyle w:val="Heading2"/>
        <w:widowControl w:val="1"/>
      </w:pPr>
      <w:r>
        <w:rPr>
          <w:rStyle w:val="SectionNumber"/>
        </w:rPr>
        <w:t xml:space="preserve">1.2</w:t>
      </w:r>
      <w:r>
        <w:tab/>
      </w:r>
      <w:r>
        <w:t xml:space="preserve">Thesis</w:t>
      </w:r>
    </w:p>
    <w:p>
      <w:pPr>
        <w:pStyle w:val="FirstParagraph"/>
        <w:widowControl w:val="1"/>
      </w:pPr>
      <w:r>
        <w:rPr>
          <w:rFonts w:ascii="Noto Serif" w:hAnsi="Noto Serif" w:eastAsia="Noto Serif"/>
          <w:color w:val="1D2833"/>
          <w:sz w:val="20"/>
        </w:rPr>
        <w:t xml:space="preserve">The thesis of this paper is:</w:t>
      </w:r>
    </w:p>
    <w:p>
      <w:pPr>
        <w:pStyle w:val="BlockText"/>
        <w:widowControl w:val="1"/>
        <w:shd w:fill="EAF3EF" w:val="clear"/>
        <w:pBdr>
          <w:left w:val="single" w:sz="18" w:space="8" w:color="3F7466"/>
        </w:pBdr>
      </w:pPr>
      <w:r>
        <w:rPr>
          <w:rFonts w:ascii="Noto Serif" w:hAnsi="Noto Serif" w:eastAsia="Noto Serif"/>
          <w:color w:val="19324A"/>
          <w:sz w:val="20"/>
        </w:rPr>
        <w:t xml:space="preserve">A credible substrate for long-lived recursive AI self-improvement should represent each major capability as a stable, versioned field whose implementations can be generated, evaluated, deployed, monitored, and replaced under explicit semantic, authority, state, provenance, and governance constraints.</w:t>
      </w:r>
    </w:p>
    <w:p>
      <w:pPr>
        <w:pStyle w:val="FirstParagraph"/>
        <w:widowControl w:val="1"/>
      </w:pPr>
      <w:r>
        <w:rPr>
          <w:rFonts w:ascii="Noto Serif" w:hAnsi="Noto Serif" w:eastAsia="Noto Serif"/>
          <w:color w:val="1D2833"/>
          <w:sz w:val="20"/>
        </w:rPr>
        <w:t xml:space="preserve">This is deliberately stronger than</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use modules</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and narrower than</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this architecture causes ASI.</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The claim is about continuity under change. Recursive improvement is only meaningful if the system can distinguish a genuine improvement from a change in the definition, measurement, authority, or operating conditions of the capability being improved.</w:t>
      </w:r>
    </w:p>
    <w:bookmarkEnd w:id="23"/>
    <w:bookmarkStart w:id="24" w:name="contributions"/>
    <w:p>
      <w:pPr>
        <w:pStyle w:val="Heading2"/>
        <w:widowControl w:val="1"/>
      </w:pPr>
      <w:r>
        <w:rPr>
          <w:rStyle w:val="SectionNumber"/>
        </w:rPr>
        <w:t xml:space="preserve">1.3</w:t>
      </w:r>
      <w:r>
        <w:tab/>
      </w:r>
      <w:r>
        <w:t xml:space="preserve">Contributions</w:t>
      </w:r>
    </w:p>
    <w:p>
      <w:pPr>
        <w:pStyle w:val="FirstParagraph"/>
        <w:widowControl w:val="1"/>
      </w:pPr>
      <w:r>
        <w:rPr>
          <w:rFonts w:ascii="Noto Serif" w:hAnsi="Noto Serif" w:eastAsia="Noto Serif"/>
          <w:color w:val="1D2833"/>
          <w:sz w:val="20"/>
        </w:rPr>
        <w:t xml:space="preserve">This paper makes seven architectural contributions.</w:t>
      </w:r>
    </w:p>
    <w:p>
      <w:pPr>
        <w:pStyle w:val="Compact"/>
        <w:numPr>
          <w:ilvl w:val="0"/>
          <w:numId w:val="1002"/>
        </w:numPr>
        <w:widowControl w:val="1"/>
      </w:pPr>
      <w:r>
        <w:rPr>
          <w:rFonts w:ascii="Noto Serif" w:hAnsi="Noto Serif" w:eastAsia="Noto Serif"/>
          <w:b/>
          <w:bCs/>
          <w:color w:val="1D2833"/>
          <w:sz w:val="19"/>
        </w:rPr>
        <w:t xml:space="preserve">Stable Capability Fields as the unit of evolution.</w:t>
      </w:r>
      <w:r>
        <w:rPr>
          <w:rFonts w:ascii="Noto Serif" w:hAnsi="Noto Serif" w:eastAsia="Noto Serif"/>
          <w:color w:val="1D2833"/>
          <w:sz w:val="19"/>
        </w:rPr>
        <w:t xml:space="preserve"> </w:t>
      </w:r>
      <w:r>
        <w:rPr>
          <w:rFonts w:ascii="Noto Serif" w:hAnsi="Noto Serif" w:eastAsia="Noto Serif"/>
          <w:color w:val="1D2833"/>
          <w:sz w:val="19"/>
        </w:rPr>
        <w:t xml:space="preserve">A field binds a semantic contract to implementations, evidence, state, authority, lifecycle, and governance. It applies uniformly to code, prompts, weights, services, policies, tools, agents, and composite bundles.</w:t>
      </w:r>
    </w:p>
    <w:p>
      <w:pPr>
        <w:pStyle w:val="Compact"/>
        <w:numPr>
          <w:ilvl w:val="0"/>
          <w:numId w:val="1002"/>
        </w:numPr>
        <w:widowControl w:val="1"/>
      </w:pPr>
      <w:r>
        <w:rPr>
          <w:rFonts w:ascii="Noto Serif" w:hAnsi="Noto Serif" w:eastAsia="Noto Serif"/>
          <w:b/>
          <w:bCs/>
          <w:color w:val="1D2833"/>
          <w:sz w:val="19"/>
        </w:rPr>
        <w:t xml:space="preserve">Contextual qualification and resolution.</w:t>
      </w:r>
      <w:r>
        <w:rPr>
          <w:rFonts w:ascii="Noto Serif" w:hAnsi="Noto Serif" w:eastAsia="Noto Serif"/>
          <w:color w:val="1D2833"/>
          <w:sz w:val="19"/>
        </w:rPr>
        <w:t xml:space="preserve"> </w:t>
      </w:r>
      <w:r>
        <w:rPr>
          <w:rFonts w:ascii="Noto Serif" w:hAnsi="Noto Serif" w:eastAsia="Noto Serif"/>
          <w:color w:val="1D2833"/>
          <w:sz w:val="19"/>
        </w:rPr>
        <w:t xml:space="preserve">An implementation is never simply approved. It is qualified for a contract version, deployment profile, authority grant, dependency closure, evaluator set, and time. Runtime selection returns a routing policy or ensemble, not a global pointer.</w:t>
      </w:r>
    </w:p>
    <w:p>
      <w:pPr>
        <w:pStyle w:val="Compact"/>
        <w:numPr>
          <w:ilvl w:val="0"/>
          <w:numId w:val="1002"/>
        </w:numPr>
        <w:widowControl w:val="1"/>
      </w:pPr>
      <w:r>
        <w:rPr>
          <w:rFonts w:ascii="Noto Serif" w:hAnsi="Noto Serif" w:eastAsia="Noto Serif"/>
          <w:b/>
          <w:bCs/>
          <w:color w:val="1D2833"/>
          <w:sz w:val="19"/>
        </w:rPr>
        <w:t xml:space="preserve">An evidence graph rather than a flat registry.</w:t>
      </w:r>
      <w:r>
        <w:rPr>
          <w:rFonts w:ascii="Noto Serif" w:hAnsi="Noto Serif" w:eastAsia="Noto Serif"/>
          <w:color w:val="1D2833"/>
          <w:sz w:val="19"/>
        </w:rPr>
        <w:t xml:space="preserve"> </w:t>
      </w:r>
      <w:r>
        <w:rPr>
          <w:rFonts w:ascii="Noto Serif" w:hAnsi="Noto Serif" w:eastAsia="Noto Serif"/>
          <w:color w:val="1D2833"/>
          <w:sz w:val="19"/>
        </w:rPr>
        <w:t xml:space="preserve">The registry records immutable artifacts, experiments, attestations, incidents, invalidations, migrations, approvals, and active routes. Materialized views answer operational questions without discarding history.</w:t>
      </w:r>
    </w:p>
    <w:p>
      <w:pPr>
        <w:pStyle w:val="Compact"/>
        <w:numPr>
          <w:ilvl w:val="0"/>
          <w:numId w:val="1002"/>
        </w:numPr>
        <w:widowControl w:val="1"/>
      </w:pPr>
      <w:r>
        <w:rPr>
          <w:rFonts w:ascii="Noto Serif" w:hAnsi="Noto Serif" w:eastAsia="Noto Serif"/>
          <w:b/>
          <w:bCs/>
          <w:color w:val="1D2833"/>
          <w:sz w:val="19"/>
        </w:rPr>
        <w:t xml:space="preserve">Authority and effects as contract dimensions.</w:t>
      </w:r>
      <w:r>
        <w:rPr>
          <w:rFonts w:ascii="Noto Serif" w:hAnsi="Noto Serif" w:eastAsia="Noto Serif"/>
          <w:color w:val="1D2833"/>
          <w:sz w:val="19"/>
        </w:rPr>
        <w:t xml:space="preserve"> </w:t>
      </w:r>
      <w:r>
        <w:rPr>
          <w:rFonts w:ascii="Noto Serif" w:hAnsi="Noto Serif" w:eastAsia="Noto Serif"/>
          <w:color w:val="1D2833"/>
          <w:sz w:val="19"/>
        </w:rPr>
        <w:t xml:space="preserve">Effective authority is bounded by the intersection of implementation request, field ceiling, and deployment grant. Shared tools are mediated through a capability broker and are not implicitly inherited by replacements.</w:t>
      </w:r>
    </w:p>
    <w:p>
      <w:pPr>
        <w:pStyle w:val="Compact"/>
        <w:numPr>
          <w:ilvl w:val="0"/>
          <w:numId w:val="1002"/>
        </w:numPr>
        <w:widowControl w:val="1"/>
      </w:pPr>
      <w:r>
        <w:rPr>
          <w:rFonts w:ascii="Noto Serif" w:hAnsi="Noto Serif" w:eastAsia="Noto Serif"/>
          <w:b/>
          <w:bCs/>
          <w:color w:val="1D2833"/>
          <w:sz w:val="19"/>
        </w:rPr>
        <w:t xml:space="preserve">State-aware, reversible lifecycle transactions.</w:t>
      </w:r>
      <w:r>
        <w:rPr>
          <w:rFonts w:ascii="Noto Serif" w:hAnsi="Noto Serif" w:eastAsia="Noto Serif"/>
          <w:color w:val="1D2833"/>
          <w:sz w:val="19"/>
        </w:rPr>
        <w:t xml:space="preserve"> </w:t>
      </w:r>
      <w:r>
        <w:rPr>
          <w:rFonts w:ascii="Noto Serif" w:hAnsi="Noto Serif" w:eastAsia="Noto Serif"/>
          <w:color w:val="1D2833"/>
          <w:sz w:val="19"/>
        </w:rPr>
        <w:t xml:space="preserve">Promotion includes impact analysis, independent qualification, migration rehearsal, shadow and canary deployment, monitoring, containment, and compensating actions. Rollback is scoped to what is actually reversible.</w:t>
      </w:r>
    </w:p>
    <w:p>
      <w:pPr>
        <w:pStyle w:val="Compact"/>
        <w:numPr>
          <w:ilvl w:val="0"/>
          <w:numId w:val="1002"/>
        </w:numPr>
        <w:widowControl w:val="1"/>
      </w:pPr>
      <w:r>
        <w:rPr>
          <w:rFonts w:ascii="Noto Serif" w:hAnsi="Noto Serif" w:eastAsia="Noto Serif"/>
          <w:b/>
          <w:bCs/>
          <w:color w:val="1D2833"/>
          <w:sz w:val="19"/>
        </w:rPr>
        <w:t xml:space="preserve">Constitutional evolution of abstractions.</w:t>
      </w:r>
      <w:r>
        <w:rPr>
          <w:rFonts w:ascii="Noto Serif" w:hAnsi="Noto Serif" w:eastAsia="Noto Serif"/>
          <w:color w:val="1D2833"/>
          <w:sz w:val="19"/>
        </w:rPr>
        <w:t xml:space="preserve"> </w:t>
      </w:r>
      <w:r>
        <w:rPr>
          <w:rFonts w:ascii="Noto Serif" w:hAnsi="Noto Serif" w:eastAsia="Noto Serif"/>
          <w:color w:val="1D2833"/>
          <w:sz w:val="19"/>
        </w:rPr>
        <w:t xml:space="preserve">Implementation changes are routine; contract, evaluator, authority, and trust-root changes occur in progressively stronger governance strata. Parallel major versions and explicit migrations prevent both silent semantic drift and permanent ossification.</w:t>
      </w:r>
    </w:p>
    <w:p>
      <w:pPr>
        <w:pStyle w:val="Compact"/>
        <w:numPr>
          <w:ilvl w:val="0"/>
          <w:numId w:val="1002"/>
        </w:numPr>
        <w:widowControl w:val="1"/>
      </w:pPr>
      <w:r>
        <w:rPr>
          <w:rFonts w:ascii="Noto Serif" w:hAnsi="Noto Serif" w:eastAsia="Noto Serif"/>
          <w:b/>
          <w:bCs/>
          <w:color w:val="1D2833"/>
          <w:sz w:val="19"/>
        </w:rPr>
        <w:t xml:space="preserve">A falsifiable evaluation program.</w:t>
      </w:r>
      <w:r>
        <w:rPr>
          <w:rFonts w:ascii="Noto Serif" w:hAnsi="Noto Serif" w:eastAsia="Noto Serif"/>
          <w:color w:val="1D2833"/>
          <w:sz w:val="19"/>
        </w:rPr>
        <w:t xml:space="preserve"> </w:t>
      </w:r>
      <w:r>
        <w:rPr>
          <w:rFonts w:ascii="Noto Serif" w:hAnsi="Noto Serif" w:eastAsia="Noto Serif"/>
          <w:color w:val="1D2833"/>
          <w:sz w:val="19"/>
        </w:rPr>
        <w:t xml:space="preserve">The paper specifies comparisons, metrics, adversarial trials, and hypotheses that distinguish SCF from monolithic self-editing, flat registries, and ordinary versioned components.</w:t>
      </w:r>
    </w:p>
    <w:bookmarkEnd w:id="24"/>
    <w:bookmarkEnd w:id="25"/>
    <w:bookmarkStart w:id="30" w:name="design-problem-and-requirements"/>
    <w:p>
      <w:pPr>
        <w:pStyle w:val="Heading1"/>
        <w:widowControl w:val="1"/>
        <w:pBdr>
          <w:bottom w:val="single" w:sz="7" w:space="4" w:color="E8EEF3"/>
        </w:pBdr>
      </w:pPr>
      <w:r>
        <w:rPr>
          <w:rStyle w:val="SectionNumber"/>
        </w:rPr>
        <w:t xml:space="preserve">2</w:t>
      </w:r>
      <w:r>
        <w:tab/>
      </w:r>
      <w:r>
        <w:t xml:space="preserve">Design problem and requirements</w:t>
      </w:r>
    </w:p>
    <w:bookmarkStart w:id="26" w:name="the-continuity-problem"/>
    <w:p>
      <w:pPr>
        <w:pStyle w:val="Heading2"/>
        <w:widowControl w:val="1"/>
      </w:pPr>
      <w:r>
        <w:rPr>
          <w:rStyle w:val="SectionNumber"/>
        </w:rPr>
        <w:t xml:space="preserve">2.1</w:t>
      </w:r>
      <w:r>
        <w:tab/>
      </w:r>
      <w:r>
        <w:t xml:space="preserve">The continuity problem</w:t>
      </w:r>
    </w:p>
    <w:p>
      <w:pPr>
        <w:pStyle w:val="FirstParagraph"/>
        <w:widowControl w:val="1"/>
      </w:pPr>
      <w:r>
        <w:rPr>
          <w:rFonts w:ascii="Noto Serif" w:hAnsi="Noto Serif" w:eastAsia="Noto Serif"/>
          <w:color w:val="1D2833"/>
          <w:sz w:val="20"/>
        </w:rPr>
        <w:t xml:space="preserve">A self-improving system has at least two simultaneous objectives:</w:t>
      </w:r>
    </w:p>
    <w:p>
      <w:pPr>
        <w:pStyle w:val="Compact"/>
        <w:numPr>
          <w:ilvl w:val="0"/>
          <w:numId w:val="1003"/>
        </w:numPr>
        <w:widowControl w:val="1"/>
      </w:pPr>
      <w:r>
        <w:rPr>
          <w:rFonts w:ascii="Noto Serif" w:hAnsi="Noto Serif" w:eastAsia="Noto Serif"/>
          <w:color w:val="1D2833"/>
          <w:sz w:val="19"/>
        </w:rPr>
        <w:t xml:space="preserve">improve the machinery that produces behavior; and</w:t>
      </w:r>
    </w:p>
    <w:p>
      <w:pPr>
        <w:pStyle w:val="Compact"/>
        <w:numPr>
          <w:ilvl w:val="0"/>
          <w:numId w:val="1003"/>
        </w:numPr>
        <w:widowControl w:val="1"/>
      </w:pPr>
      <w:r>
        <w:rPr>
          <w:rFonts w:ascii="Noto Serif" w:hAnsi="Noto Serif" w:eastAsia="Noto Serif"/>
          <w:color w:val="1D2833"/>
          <w:sz w:val="19"/>
        </w:rPr>
        <w:t xml:space="preserve">preserve the invariants that make the behavior interpretable, authorized, and governable.</w:t>
      </w:r>
    </w:p>
    <w:p>
      <w:pPr>
        <w:pStyle w:val="FirstParagraph"/>
        <w:widowControl w:val="1"/>
      </w:pPr>
      <w:r>
        <w:rPr>
          <w:rFonts w:ascii="Noto Serif" w:hAnsi="Noto Serif" w:eastAsia="Noto Serif"/>
          <w:color w:val="1D2833"/>
          <w:sz w:val="20"/>
        </w:rPr>
        <w:t xml:space="preserve">These objectives conflict. Greater freedom to modify the system increases the reachable design space, but it also weakens confidence that scores remain comparable, authority remains bounded, and failures remain containable. Freezing the architecture makes evaluation easier but can prevent the abstraction itself from evolving when a new capability requires a richer surface.</w:t>
      </w:r>
    </w:p>
    <w:p>
      <w:pPr>
        <w:pStyle w:val="BodyText"/>
        <w:widowControl w:val="1"/>
      </w:pPr>
      <w:r>
        <w:rPr>
          <w:rFonts w:ascii="Noto Serif" w:hAnsi="Noto Serif" w:eastAsia="Noto Serif"/>
          <w:color w:val="1D2833"/>
          <w:sz w:val="20"/>
        </w:rPr>
        <w:t xml:space="preserve">The continuity problem is not philosophical identity in the abstract. It is operational continuity across five dimensions:</w:t>
      </w:r>
    </w:p>
    <w:p>
      <w:pPr>
        <w:pStyle w:val="Compact"/>
        <w:numPr>
          <w:ilvl w:val="0"/>
          <w:numId w:val="1004"/>
        </w:numPr>
        <w:widowControl w:val="1"/>
      </w:pPr>
      <w:r>
        <w:rPr>
          <w:rFonts w:ascii="Noto Serif" w:hAnsi="Noto Serif" w:eastAsia="Noto Serif"/>
          <w:b/>
          <w:bCs/>
          <w:color w:val="1D2833"/>
          <w:sz w:val="19"/>
        </w:rPr>
        <w:t xml:space="preserve">semantic continuity:</w:t>
      </w:r>
      <w:r>
        <w:rPr>
          <w:rFonts w:ascii="Noto Serif" w:hAnsi="Noto Serif" w:eastAsia="Noto Serif"/>
          <w:color w:val="1D2833"/>
          <w:sz w:val="19"/>
        </w:rPr>
        <w:t xml:space="preserve"> </w:t>
      </w:r>
      <w:r>
        <w:rPr>
          <w:rFonts w:ascii="Noto Serif" w:hAnsi="Noto Serif" w:eastAsia="Noto Serif"/>
          <w:color w:val="1D2833"/>
          <w:sz w:val="19"/>
        </w:rPr>
        <w:t xml:space="preserve">callers and evaluators retain a stable account of what the capability means;</w:t>
      </w:r>
    </w:p>
    <w:p>
      <w:pPr>
        <w:pStyle w:val="Compact"/>
        <w:numPr>
          <w:ilvl w:val="0"/>
          <w:numId w:val="1004"/>
        </w:numPr>
        <w:widowControl w:val="1"/>
      </w:pPr>
      <w:r>
        <w:rPr>
          <w:rFonts w:ascii="Noto Serif" w:hAnsi="Noto Serif" w:eastAsia="Noto Serif"/>
          <w:b/>
          <w:bCs/>
          <w:color w:val="1D2833"/>
          <w:sz w:val="19"/>
        </w:rPr>
        <w:t xml:space="preserve">authority continuity:</w:t>
      </w:r>
      <w:r>
        <w:rPr>
          <w:rFonts w:ascii="Noto Serif" w:hAnsi="Noto Serif" w:eastAsia="Noto Serif"/>
          <w:color w:val="1D2833"/>
          <w:sz w:val="19"/>
        </w:rPr>
        <w:t xml:space="preserve"> </w:t>
      </w:r>
      <w:r>
        <w:rPr>
          <w:rFonts w:ascii="Noto Serif" w:hAnsi="Noto Serif" w:eastAsia="Noto Serif"/>
          <w:color w:val="1D2833"/>
          <w:sz w:val="19"/>
        </w:rPr>
        <w:t xml:space="preserve">replacements do not acquire new powers merely by occupying a trusted slot;</w:t>
      </w:r>
    </w:p>
    <w:p>
      <w:pPr>
        <w:pStyle w:val="Compact"/>
        <w:numPr>
          <w:ilvl w:val="0"/>
          <w:numId w:val="1004"/>
        </w:numPr>
        <w:widowControl w:val="1"/>
      </w:pPr>
      <w:r>
        <w:rPr>
          <w:rFonts w:ascii="Noto Serif" w:hAnsi="Noto Serif" w:eastAsia="Noto Serif"/>
          <w:b/>
          <w:bCs/>
          <w:color w:val="1D2833"/>
          <w:sz w:val="19"/>
        </w:rPr>
        <w:t xml:space="preserve">state continuity:</w:t>
      </w:r>
      <w:r>
        <w:rPr>
          <w:rFonts w:ascii="Noto Serif" w:hAnsi="Noto Serif" w:eastAsia="Noto Serif"/>
          <w:color w:val="1D2833"/>
          <w:sz w:val="19"/>
        </w:rPr>
        <w:t xml:space="preserve"> </w:t>
      </w:r>
      <w:r>
        <w:rPr>
          <w:rFonts w:ascii="Noto Serif" w:hAnsi="Noto Serif" w:eastAsia="Noto Serif"/>
          <w:color w:val="1D2833"/>
          <w:sz w:val="19"/>
        </w:rPr>
        <w:t xml:space="preserve">durable information is preserved, migrated, or intentionally discarded according to declared rules;</w:t>
      </w:r>
    </w:p>
    <w:p>
      <w:pPr>
        <w:pStyle w:val="Compact"/>
        <w:numPr>
          <w:ilvl w:val="0"/>
          <w:numId w:val="1004"/>
        </w:numPr>
        <w:widowControl w:val="1"/>
      </w:pPr>
      <w:r>
        <w:rPr>
          <w:rFonts w:ascii="Noto Serif" w:hAnsi="Noto Serif" w:eastAsia="Noto Serif"/>
          <w:b/>
          <w:bCs/>
          <w:color w:val="1D2833"/>
          <w:sz w:val="19"/>
        </w:rPr>
        <w:t xml:space="preserve">evidential continuity:</w:t>
      </w:r>
      <w:r>
        <w:rPr>
          <w:rFonts w:ascii="Noto Serif" w:hAnsi="Noto Serif" w:eastAsia="Noto Serif"/>
          <w:color w:val="1D2833"/>
          <w:sz w:val="19"/>
        </w:rPr>
        <w:t xml:space="preserve"> </w:t>
      </w:r>
      <w:r>
        <w:rPr>
          <w:rFonts w:ascii="Noto Serif" w:hAnsi="Noto Serif" w:eastAsia="Noto Serif"/>
          <w:color w:val="1D2833"/>
          <w:sz w:val="19"/>
        </w:rPr>
        <w:t xml:space="preserve">promotion decisions can be reconstructed and compared despite changing implementations and evaluators;</w:t>
      </w:r>
    </w:p>
    <w:p>
      <w:pPr>
        <w:pStyle w:val="Compact"/>
        <w:numPr>
          <w:ilvl w:val="0"/>
          <w:numId w:val="1004"/>
        </w:numPr>
        <w:widowControl w:val="1"/>
      </w:pPr>
      <w:r>
        <w:rPr>
          <w:rFonts w:ascii="Noto Serif" w:hAnsi="Noto Serif" w:eastAsia="Noto Serif"/>
          <w:b/>
          <w:bCs/>
          <w:color w:val="1D2833"/>
          <w:sz w:val="19"/>
        </w:rPr>
        <w:t xml:space="preserve">governance continuity:</w:t>
      </w:r>
      <w:r>
        <w:rPr>
          <w:rFonts w:ascii="Noto Serif" w:hAnsi="Noto Serif" w:eastAsia="Noto Serif"/>
          <w:color w:val="1D2833"/>
          <w:sz w:val="19"/>
        </w:rPr>
        <w:t xml:space="preserve"> </w:t>
      </w:r>
      <w:r>
        <w:rPr>
          <w:rFonts w:ascii="Noto Serif" w:hAnsi="Noto Serif" w:eastAsia="Noto Serif"/>
          <w:color w:val="1D2833"/>
          <w:sz w:val="19"/>
        </w:rPr>
        <w:t xml:space="preserve">no candidate can redefine the rules under which its own success is judged without an independently authorized change.</w:t>
      </w:r>
    </w:p>
    <w:p>
      <w:pPr>
        <w:pStyle w:val="FirstParagraph"/>
        <w:widowControl w:val="1"/>
      </w:pPr>
      <w:r>
        <w:rPr>
          <w:rFonts w:ascii="Noto Serif" w:hAnsi="Noto Serif" w:eastAsia="Noto Serif"/>
          <w:color w:val="1D2833"/>
          <w:sz w:val="20"/>
        </w:rPr>
        <w:t xml:space="preserve">A system that cannot preserve these dimensions may still improve on a benchmark, but it cannot make a trustworthy claim of recursive self-improvement.</w:t>
      </w:r>
    </w:p>
    <w:bookmarkEnd w:id="26"/>
    <w:bookmarkStart w:id="27" w:name="why-a-flat-registry-fails"/>
    <w:p>
      <w:pPr>
        <w:pStyle w:val="Heading2"/>
        <w:widowControl w:val="1"/>
      </w:pPr>
      <w:r>
        <w:rPr>
          <w:rStyle w:val="SectionNumber"/>
        </w:rPr>
        <w:t xml:space="preserve">2.2</w:t>
      </w:r>
      <w:r>
        <w:tab/>
      </w:r>
      <w:r>
        <w:t xml:space="preserve">Why a flat registry fails</w:t>
      </w:r>
    </w:p>
    <w:p>
      <w:pPr>
        <w:pStyle w:val="FirstParagraph"/>
        <w:widowControl w:val="1"/>
      </w:pPr>
      <w:r>
        <w:rPr>
          <w:rFonts w:ascii="Noto Serif" w:hAnsi="Noto Serif" w:eastAsia="Noto Serif"/>
          <w:color w:val="1D2833"/>
          <w:sz w:val="20"/>
        </w:rPr>
        <w:t xml:space="preserve">A flat registry has the form:</w:t>
      </w:r>
    </w:p>
    <w:p>
      <w:pPr>
        <w:pStyle w:val="SourceCode"/>
        <w:keepLines w:val="0"/>
        <w:widowControl w:val="1"/>
        <w:shd w:fill="F4F6F7" w:val="clear"/>
        <w:pBdr>
          <w:left w:val="single" w:sz="12" w:space="5" w:color="355C78"/>
        </w:pBdr>
      </w:pPr>
      <w:r>
        <w:rPr>
          <w:rStyle w:val="VerbatimChar"/>
        </w:rPr>
        <w:t xml:space="preserve">CapabilityName -&gt; ImplementationID</w:t>
      </w:r>
    </w:p>
    <w:p>
      <w:pPr>
        <w:pStyle w:val="FirstParagraph"/>
        <w:widowControl w:val="1"/>
      </w:pPr>
      <w:r>
        <w:rPr>
          <w:rFonts w:ascii="Noto Serif" w:hAnsi="Noto Serif" w:eastAsia="Noto Serif"/>
          <w:color w:val="1D2833"/>
          <w:sz w:val="20"/>
        </w:rPr>
        <w:t xml:space="preserve">This representation omits the questions that determine whether activation is justified:</w:t>
      </w:r>
    </w:p>
    <w:p>
      <w:pPr>
        <w:pStyle w:val="Compact"/>
        <w:numPr>
          <w:ilvl w:val="0"/>
          <w:numId w:val="1005"/>
        </w:numPr>
        <w:widowControl w:val="1"/>
      </w:pPr>
      <w:r>
        <w:rPr>
          <w:rFonts w:ascii="Noto Serif" w:hAnsi="Noto Serif" w:eastAsia="Noto Serif"/>
          <w:color w:val="1D2833"/>
          <w:sz w:val="19"/>
        </w:rPr>
        <w:t xml:space="preserve">Which version of the capability contract does the implementation satisfy?</w:t>
      </w:r>
    </w:p>
    <w:p>
      <w:pPr>
        <w:pStyle w:val="Compact"/>
        <w:numPr>
          <w:ilvl w:val="0"/>
          <w:numId w:val="1005"/>
        </w:numPr>
        <w:widowControl w:val="1"/>
      </w:pPr>
      <w:r>
        <w:rPr>
          <w:rFonts w:ascii="Noto Serif" w:hAnsi="Noto Serif" w:eastAsia="Noto Serif"/>
          <w:color w:val="1D2833"/>
          <w:sz w:val="19"/>
        </w:rPr>
        <w:t xml:space="preserve">For which task distribution and environment was it tested?</w:t>
      </w:r>
    </w:p>
    <w:p>
      <w:pPr>
        <w:pStyle w:val="Compact"/>
        <w:numPr>
          <w:ilvl w:val="0"/>
          <w:numId w:val="1005"/>
        </w:numPr>
        <w:widowControl w:val="1"/>
      </w:pPr>
      <w:r>
        <w:rPr>
          <w:rFonts w:ascii="Noto Serif" w:hAnsi="Noto Serif" w:eastAsia="Noto Serif"/>
          <w:color w:val="1D2833"/>
          <w:sz w:val="19"/>
        </w:rPr>
        <w:t xml:space="preserve">Which model, prompt, data, dependencies, service endpoints, and build recipe produced it?</w:t>
      </w:r>
    </w:p>
    <w:p>
      <w:pPr>
        <w:pStyle w:val="Compact"/>
        <w:numPr>
          <w:ilvl w:val="0"/>
          <w:numId w:val="1005"/>
        </w:numPr>
        <w:widowControl w:val="1"/>
      </w:pPr>
      <w:r>
        <w:rPr>
          <w:rFonts w:ascii="Noto Serif" w:hAnsi="Noto Serif" w:eastAsia="Noto Serif"/>
          <w:color w:val="1D2833"/>
          <w:sz w:val="19"/>
        </w:rPr>
        <w:t xml:space="preserve">What authority does it request, and what effects can it cause?</w:t>
      </w:r>
    </w:p>
    <w:p>
      <w:pPr>
        <w:pStyle w:val="Compact"/>
        <w:numPr>
          <w:ilvl w:val="0"/>
          <w:numId w:val="1005"/>
        </w:numPr>
        <w:widowControl w:val="1"/>
      </w:pPr>
      <w:r>
        <w:rPr>
          <w:rFonts w:ascii="Noto Serif" w:hAnsi="Noto Serif" w:eastAsia="Noto Serif"/>
          <w:color w:val="1D2833"/>
          <w:sz w:val="19"/>
        </w:rPr>
        <w:t xml:space="preserve">Which state schema does it read and write?</w:t>
      </w:r>
    </w:p>
    <w:p>
      <w:pPr>
        <w:pStyle w:val="Compact"/>
        <w:numPr>
          <w:ilvl w:val="0"/>
          <w:numId w:val="1005"/>
        </w:numPr>
        <w:widowControl w:val="1"/>
      </w:pPr>
      <w:r>
        <w:rPr>
          <w:rFonts w:ascii="Noto Serif" w:hAnsi="Noto Serif" w:eastAsia="Noto Serif"/>
          <w:color w:val="1D2833"/>
          <w:sz w:val="19"/>
        </w:rPr>
        <w:t xml:space="preserve">Is a forward migration available? Is rollback compatible with the migrated state?</w:t>
      </w:r>
    </w:p>
    <w:p>
      <w:pPr>
        <w:pStyle w:val="Compact"/>
        <w:numPr>
          <w:ilvl w:val="0"/>
          <w:numId w:val="1005"/>
        </w:numPr>
        <w:widowControl w:val="1"/>
      </w:pPr>
      <w:r>
        <w:rPr>
          <w:rFonts w:ascii="Noto Serif" w:hAnsi="Noto Serif" w:eastAsia="Noto Serif"/>
          <w:color w:val="1D2833"/>
          <w:sz w:val="19"/>
        </w:rPr>
        <w:t xml:space="preserve">Which evaluator versions, hidden datasets, seeds, and uncertainty estimates support the claim?</w:t>
      </w:r>
    </w:p>
    <w:p>
      <w:pPr>
        <w:pStyle w:val="Compact"/>
        <w:numPr>
          <w:ilvl w:val="0"/>
          <w:numId w:val="1005"/>
        </w:numPr>
        <w:widowControl w:val="1"/>
      </w:pPr>
      <w:r>
        <w:rPr>
          <w:rFonts w:ascii="Noto Serif" w:hAnsi="Noto Serif" w:eastAsia="Noto Serif"/>
          <w:color w:val="1D2833"/>
          <w:sz w:val="19"/>
        </w:rPr>
        <w:t xml:space="preserve">Have later incidents, dependency changes, or evaluator discoveries invalidated that evidence?</w:t>
      </w:r>
    </w:p>
    <w:p>
      <w:pPr>
        <w:pStyle w:val="Compact"/>
        <w:numPr>
          <w:ilvl w:val="0"/>
          <w:numId w:val="1005"/>
        </w:numPr>
        <w:widowControl w:val="1"/>
      </w:pPr>
      <w:r>
        <w:rPr>
          <w:rFonts w:ascii="Noto Serif" w:hAnsi="Noto Serif" w:eastAsia="Noto Serif"/>
          <w:color w:val="1D2833"/>
          <w:sz w:val="19"/>
        </w:rPr>
        <w:t xml:space="preserve">Is it qualified for a high-risk profile, a low-latency profile, both, or neither?</w:t>
      </w:r>
    </w:p>
    <w:p>
      <w:pPr>
        <w:pStyle w:val="Compact"/>
        <w:numPr>
          <w:ilvl w:val="0"/>
          <w:numId w:val="1005"/>
        </w:numPr>
        <w:widowControl w:val="1"/>
      </w:pPr>
      <w:r>
        <w:rPr>
          <w:rFonts w:ascii="Noto Serif" w:hAnsi="Noto Serif" w:eastAsia="Noto Serif"/>
          <w:color w:val="1D2833"/>
          <w:sz w:val="19"/>
        </w:rPr>
        <w:t xml:space="preserve">Is it a primary route, a fallback, an ensemble member, a shadow candidate, or quarantined?</w:t>
      </w:r>
    </w:p>
    <w:p>
      <w:pPr>
        <w:pStyle w:val="FirstParagraph"/>
        <w:widowControl w:val="1"/>
      </w:pPr>
      <w:r>
        <w:rPr>
          <w:rFonts w:ascii="Noto Serif" w:hAnsi="Noto Serif" w:eastAsia="Noto Serif"/>
          <w:color w:val="1D2833"/>
          <w:sz w:val="20"/>
        </w:rPr>
        <w:t xml:space="preserve">The correct output of a registry query is therefore not</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the implementation.</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It is an evidence-backed answer to a scoped question:</w:t>
      </w:r>
    </w:p>
    <w:p>
      <w:pPr>
        <w:pStyle w:val="BlockText"/>
        <w:widowControl w:val="1"/>
        <w:shd w:fill="EAF3EF" w:val="clear"/>
        <w:pBdr>
          <w:left w:val="single" w:sz="18" w:space="8" w:color="3F7466"/>
        </w:pBdr>
      </w:pPr>
      <w:r>
        <w:rPr>
          <w:rFonts w:ascii="Noto Serif" w:hAnsi="Noto Serif" w:eastAsia="Noto Serif"/>
          <w:color w:val="19324A"/>
          <w:sz w:val="20"/>
        </w:rPr>
        <w:t xml:space="preserve">Which implementation policy is qualified here, now, under this contract, dependency closure, risk profile, budget, and authority grant?</w:t>
      </w:r>
    </w:p>
    <w:bookmarkEnd w:id="27"/>
    <w:bookmarkStart w:id="28" w:name="requirements"/>
    <w:p>
      <w:pPr>
        <w:pStyle w:val="Heading2"/>
        <w:widowControl w:val="1"/>
      </w:pPr>
      <w:r>
        <w:rPr>
          <w:rStyle w:val="SectionNumber"/>
        </w:rPr>
        <w:t xml:space="preserve">2.3</w:t>
      </w:r>
      <w:r>
        <w:tab/>
      </w:r>
      <w:r>
        <w:t xml:space="preserve">Requirements</w:t>
      </w:r>
    </w:p>
    <w:p>
      <w:pPr>
        <w:pStyle w:val="FirstParagraph"/>
        <w:widowControl w:val="1"/>
      </w:pPr>
      <w:r>
        <w:rPr>
          <w:rFonts w:ascii="Noto Serif" w:hAnsi="Noto Serif" w:eastAsia="Noto Serif"/>
          <w:color w:val="1D2833"/>
          <w:sz w:val="20"/>
        </w:rPr>
        <w:t xml:space="preserve">An SCF substrate should satisfy the following design requirements.</w:t>
      </w:r>
    </w:p>
    <w:p>
      <w:pPr>
        <w:pStyle w:val="TableCaption"/>
        <w:keepNext/>
        <w:spacing w:before="140" w:after="60"/>
        <w:jc w:val="left"/>
      </w:pPr>
      <w:r>
        <w:t>Table 1. Design requirements and architectural consequences.</w:t>
      </w:r>
    </w:p>
    <w:tbl>
      <w:tblPr>
        <w:tblStyle w:val="Table"/>
        <w:tblW w:type="dxa" w:w="9936"/>
        <w:jc w:val="center"/>
        <w:tblLayout w:type="fixed"/>
        <w:tblLook w:firstRow="1" w:lastRow="0" w:firstColumn="0" w:lastColumn="0" w:noHBand="0" w:noVBand="0" w:val="0020"/>
      </w:tblPr>
      <w:tblGrid>
        <w:gridCol w:w="3960"/>
        <w:gridCol w:w="3960"/>
      </w:tblGrid>
      <w:tr>
        <w:trPr>
          <w:tblHeader w:val="on"/>
          <w:tblHeader w:val="true"/>
          <w:cantSplit/>
        </w:trPr>
        <w:tc>
          <w:tcPr>
            <w:tcW w:type="dxa" w:w="3080"/>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Requirement</w:t>
            </w:r>
          </w:p>
        </w:tc>
        <w:tc>
          <w:tcPr>
            <w:tcW w:type="dxa" w:w="6855"/>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Consequence for the architecture</w:t>
            </w:r>
          </w:p>
        </w:tc>
      </w:tr>
      <w:tr>
        <w:trPr>
          <w:cantSplit/>
        </w:trPr>
        <w:tc>
          <w:tcPr>
            <w:tcW w:type="dxa" w:w="3080"/>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Stable semantic identity</w:t>
            </w:r>
          </w:p>
        </w:tc>
        <w:tc>
          <w:tcPr>
            <w:tcW w:type="dxa" w:w="685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Field identity and contract versions are distinct from implementation versions.</w:t>
            </w:r>
          </w:p>
        </w:tc>
      </w:tr>
      <w:tr>
        <w:trPr>
          <w:cantSplit/>
        </w:trPr>
        <w:tc>
          <w:tcPr>
            <w:tcW w:type="dxa" w:w="3080"/>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Heterogeneous implementations</w:t>
            </w:r>
          </w:p>
        </w:tc>
        <w:tc>
          <w:tcPr>
            <w:tcW w:type="dxa" w:w="685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Artifacts may be code, prompts, model weights, services, policies, agents, or bundles.</w:t>
            </w:r>
          </w:p>
        </w:tc>
      </w:tr>
      <w:tr>
        <w:trPr>
          <w:cantSplit/>
        </w:trPr>
        <w:tc>
          <w:tcPr>
            <w:tcW w:type="dxa" w:w="3080"/>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Context-sensitive selection</w:t>
            </w:r>
          </w:p>
        </w:tc>
        <w:tc>
          <w:tcPr>
            <w:tcW w:type="dxa" w:w="685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Several implementations may be active simultaneously under different deployment profiles.</w:t>
            </w:r>
          </w:p>
        </w:tc>
      </w:tr>
      <w:tr>
        <w:trPr>
          <w:cantSplit/>
        </w:trPr>
        <w:tc>
          <w:tcPr>
            <w:tcW w:type="dxa" w:w="3080"/>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Evidence before activation</w:t>
            </w:r>
          </w:p>
        </w:tc>
        <w:tc>
          <w:tcPr>
            <w:tcW w:type="dxa" w:w="685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Qualification claims cite reproducible experiments, evaluators, provenance, and uncertainty.</w:t>
            </w:r>
          </w:p>
        </w:tc>
      </w:tr>
      <w:tr>
        <w:trPr>
          <w:cantSplit/>
        </w:trPr>
        <w:tc>
          <w:tcPr>
            <w:tcW w:type="dxa" w:w="3080"/>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Least authority</w:t>
            </w:r>
          </w:p>
        </w:tc>
        <w:tc>
          <w:tcPr>
            <w:tcW w:type="dxa" w:w="685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Implementation replacement cannot implicitly widen tool, data, network, or execution rights.</w:t>
            </w:r>
          </w:p>
        </w:tc>
      </w:tr>
      <w:tr>
        <w:trPr>
          <w:cantSplit/>
        </w:trPr>
        <w:tc>
          <w:tcPr>
            <w:tcW w:type="dxa" w:w="3080"/>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Stateful evolution</w:t>
            </w:r>
          </w:p>
        </w:tc>
        <w:tc>
          <w:tcPr>
            <w:tcW w:type="dxa" w:w="685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State ownership, schemas, migrations, snapshots, and compatibility are explicit.</w:t>
            </w:r>
          </w:p>
        </w:tc>
      </w:tr>
      <w:tr>
        <w:trPr>
          <w:cantSplit/>
        </w:trPr>
        <w:tc>
          <w:tcPr>
            <w:tcW w:type="dxa" w:w="3080"/>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Independent challenge</w:t>
            </w:r>
          </w:p>
        </w:tc>
        <w:tc>
          <w:tcPr>
            <w:tcW w:type="dxa" w:w="685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Candidate generation, evaluation, promotion, and operation are separable powers.</w:t>
            </w:r>
          </w:p>
        </w:tc>
      </w:tr>
      <w:tr>
        <w:trPr>
          <w:cantSplit/>
        </w:trPr>
        <w:tc>
          <w:tcPr>
            <w:tcW w:type="dxa" w:w="3080"/>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Staged reversibility</w:t>
            </w:r>
          </w:p>
        </w:tc>
        <w:tc>
          <w:tcPr>
            <w:tcW w:type="dxa" w:w="685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Shadow, canary, fallback, containment, and compensating actions are part of promotion.</w:t>
            </w:r>
          </w:p>
        </w:tc>
      </w:tr>
      <w:tr>
        <w:trPr>
          <w:cantSplit/>
        </w:trPr>
        <w:tc>
          <w:tcPr>
            <w:tcW w:type="dxa" w:w="3080"/>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Cross-field safety</w:t>
            </w:r>
          </w:p>
        </w:tc>
        <w:tc>
          <w:tcPr>
            <w:tcW w:type="dxa" w:w="685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Local contract satisfaction is insufficient; dependency and composition effects are requalified.</w:t>
            </w:r>
          </w:p>
        </w:tc>
      </w:tr>
      <w:tr>
        <w:trPr>
          <w:cantSplit/>
        </w:trPr>
        <w:tc>
          <w:tcPr>
            <w:tcW w:type="dxa" w:w="3080"/>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Evolvable abstractions</w:t>
            </w:r>
          </w:p>
        </w:tc>
        <w:tc>
          <w:tcPr>
            <w:tcW w:type="dxa" w:w="685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Contract changes are possible but versioned, migration-backed, and governed more strongly.</w:t>
            </w:r>
          </w:p>
        </w:tc>
      </w:tr>
      <w:tr>
        <w:trPr>
          <w:cantSplit/>
        </w:trPr>
        <w:tc>
          <w:tcPr>
            <w:tcW w:type="dxa" w:w="3080"/>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Auditability</w:t>
            </w:r>
          </w:p>
        </w:tc>
        <w:tc>
          <w:tcPr>
            <w:tcW w:type="dxa" w:w="685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Every lifecycle decision is reconstructable from immutable artifacts and signed events.</w:t>
            </w:r>
          </w:p>
        </w:tc>
      </w:tr>
      <w:tr>
        <w:trPr>
          <w:cantSplit/>
        </w:trPr>
        <w:tc>
          <w:tcPr>
            <w:tcW w:type="dxa" w:w="3080"/>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Non-monolithic intelligence</w:t>
            </w:r>
          </w:p>
        </w:tc>
        <w:tc>
          <w:tcPr>
            <w:tcW w:type="dxa" w:w="685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One artifact may implement multiple fields without losing governance boundaries.</w:t>
            </w:r>
          </w:p>
        </w:tc>
      </w:tr>
    </w:tbl>
    <w:bookmarkEnd w:id="28"/>
    <w:bookmarkStart w:id="29" w:name="non-goals"/>
    <w:p>
      <w:pPr>
        <w:pStyle w:val="Heading2"/>
        <w:widowControl w:val="1"/>
      </w:pPr>
      <w:r>
        <w:rPr>
          <w:rStyle w:val="SectionNumber"/>
        </w:rPr>
        <w:t xml:space="preserve">2.4</w:t>
      </w:r>
      <w:r>
        <w:tab/>
      </w:r>
      <w:r>
        <w:t xml:space="preserve">Non-goals</w:t>
      </w:r>
    </w:p>
    <w:p>
      <w:pPr>
        <w:pStyle w:val="FirstParagraph"/>
        <w:widowControl w:val="1"/>
      </w:pPr>
      <w:r>
        <w:rPr>
          <w:rFonts w:ascii="Noto Serif" w:hAnsi="Noto Serif" w:eastAsia="Noto Serif"/>
          <w:color w:val="1D2833"/>
          <w:sz w:val="20"/>
        </w:rPr>
        <w:t xml:space="preserve">SCF does not attempt to provide:</w:t>
      </w:r>
    </w:p>
    <w:p>
      <w:pPr>
        <w:pStyle w:val="Compact"/>
        <w:numPr>
          <w:ilvl w:val="0"/>
          <w:numId w:val="1006"/>
        </w:numPr>
        <w:widowControl w:val="1"/>
      </w:pPr>
      <w:r>
        <w:rPr>
          <w:rFonts w:ascii="Noto Serif" w:hAnsi="Noto Serif" w:eastAsia="Noto Serif"/>
          <w:color w:val="1D2833"/>
          <w:sz w:val="19"/>
        </w:rPr>
        <w:t xml:space="preserve">a universal decomposition of cognition;</w:t>
      </w:r>
    </w:p>
    <w:p>
      <w:pPr>
        <w:pStyle w:val="Compact"/>
        <w:numPr>
          <w:ilvl w:val="0"/>
          <w:numId w:val="1006"/>
        </w:numPr>
        <w:widowControl w:val="1"/>
      </w:pPr>
      <w:r>
        <w:rPr>
          <w:rFonts w:ascii="Noto Serif" w:hAnsi="Noto Serif" w:eastAsia="Noto Serif"/>
          <w:color w:val="1D2833"/>
          <w:sz w:val="19"/>
        </w:rPr>
        <w:t xml:space="preserve">a complete formal specification of learned behavior;</w:t>
      </w:r>
    </w:p>
    <w:p>
      <w:pPr>
        <w:pStyle w:val="Compact"/>
        <w:numPr>
          <w:ilvl w:val="0"/>
          <w:numId w:val="1006"/>
        </w:numPr>
        <w:widowControl w:val="1"/>
      </w:pPr>
      <w:r>
        <w:rPr>
          <w:rFonts w:ascii="Noto Serif" w:hAnsi="Noto Serif" w:eastAsia="Noto Serif"/>
          <w:color w:val="1D2833"/>
          <w:sz w:val="19"/>
        </w:rPr>
        <w:t xml:space="preserve">a single scalar definition of intelligence or alignment;</w:t>
      </w:r>
    </w:p>
    <w:p>
      <w:pPr>
        <w:pStyle w:val="Compact"/>
        <w:numPr>
          <w:ilvl w:val="0"/>
          <w:numId w:val="1006"/>
        </w:numPr>
        <w:widowControl w:val="1"/>
      </w:pPr>
      <w:r>
        <w:rPr>
          <w:rFonts w:ascii="Noto Serif" w:hAnsi="Noto Serif" w:eastAsia="Noto Serif"/>
          <w:color w:val="1D2833"/>
          <w:sz w:val="19"/>
        </w:rPr>
        <w:t xml:space="preserve">a guarantee that empirical evaluation detects deceptive or out-of-distribution behavior;</w:t>
      </w:r>
    </w:p>
    <w:p>
      <w:pPr>
        <w:pStyle w:val="Compact"/>
        <w:numPr>
          <w:ilvl w:val="0"/>
          <w:numId w:val="1006"/>
        </w:numPr>
        <w:widowControl w:val="1"/>
      </w:pPr>
      <w:r>
        <w:rPr>
          <w:rFonts w:ascii="Noto Serif" w:hAnsi="Noto Serif" w:eastAsia="Noto Serif"/>
          <w:color w:val="1D2833"/>
          <w:sz w:val="19"/>
        </w:rPr>
        <w:t xml:space="preserve">automatic reversibility of irreversible real-world effects;</w:t>
      </w:r>
    </w:p>
    <w:p>
      <w:pPr>
        <w:pStyle w:val="Compact"/>
        <w:numPr>
          <w:ilvl w:val="0"/>
          <w:numId w:val="1006"/>
        </w:numPr>
        <w:widowControl w:val="1"/>
      </w:pPr>
      <w:r>
        <w:rPr>
          <w:rFonts w:ascii="Noto Serif" w:hAnsi="Noto Serif" w:eastAsia="Noto Serif"/>
          <w:color w:val="1D2833"/>
          <w:sz w:val="19"/>
        </w:rPr>
        <w:t xml:space="preserve">a replacement for organizational, legal, or societal governance;</w:t>
      </w:r>
    </w:p>
    <w:p>
      <w:pPr>
        <w:pStyle w:val="Compact"/>
        <w:numPr>
          <w:ilvl w:val="0"/>
          <w:numId w:val="1006"/>
        </w:numPr>
        <w:widowControl w:val="1"/>
      </w:pPr>
      <w:r>
        <w:rPr>
          <w:rFonts w:ascii="Noto Serif" w:hAnsi="Noto Serif" w:eastAsia="Noto Serif"/>
          <w:color w:val="1D2833"/>
          <w:sz w:val="19"/>
        </w:rPr>
        <w:t xml:space="preserve">a proof that recursive improvement will be rapid, monotonic, or unbounded.</w:t>
      </w:r>
    </w:p>
    <w:p>
      <w:pPr>
        <w:pStyle w:val="FirstParagraph"/>
        <w:widowControl w:val="1"/>
      </w:pPr>
      <w:r>
        <w:rPr>
          <w:rFonts w:ascii="Noto Serif" w:hAnsi="Noto Serif" w:eastAsia="Noto Serif"/>
          <w:color w:val="1D2833"/>
          <w:sz w:val="20"/>
        </w:rPr>
        <w:t xml:space="preserve">These exclusions are important. A substrate becomes dangerous when its administrative labels are mistaken for guarantees that its evidence does not support.</w:t>
      </w:r>
    </w:p>
    <w:bookmarkEnd w:id="29"/>
    <w:bookmarkEnd w:id="30"/>
    <w:bookmarkStart w:id="38" w:name="relation-to-prior-work"/>
    <w:p>
      <w:pPr>
        <w:pStyle w:val="Heading1"/>
        <w:widowControl w:val="1"/>
        <w:pBdr>
          <w:bottom w:val="single" w:sz="7" w:space="4" w:color="E8EEF3"/>
        </w:pBdr>
      </w:pPr>
      <w:r>
        <w:rPr>
          <w:rStyle w:val="SectionNumber"/>
        </w:rPr>
        <w:t xml:space="preserve">3</w:t>
      </w:r>
      <w:r>
        <w:tab/>
      </w:r>
      <w:r>
        <w:t xml:space="preserve">Relation to prior work</w:t>
      </w:r>
    </w:p>
    <w:bookmarkStart w:id="31" w:name="X4b8b2aa6de7b2eb950814d6d7f5a133dfa148e2"/>
    <w:p>
      <w:pPr>
        <w:pStyle w:val="Heading2"/>
        <w:widowControl w:val="1"/>
      </w:pPr>
      <w:r>
        <w:rPr>
          <w:rStyle w:val="SectionNumber"/>
        </w:rPr>
        <w:t xml:space="preserve">3.1</w:t>
      </w:r>
      <w:r>
        <w:tab/>
      </w:r>
      <w:r>
        <w:t xml:space="preserve">Self-improving agents and open-ended search</w:t>
      </w:r>
    </w:p>
    <w:p>
      <w:pPr>
        <w:pStyle w:val="FirstParagraph"/>
        <w:widowControl w:val="1"/>
      </w:pPr>
      <w:r>
        <w:rPr>
          <w:rFonts w:ascii="Noto Serif" w:hAnsi="Noto Serif" w:eastAsia="Noto Serif"/>
          <w:color w:val="1D2833"/>
          <w:sz w:val="20"/>
        </w:rPr>
        <w:t xml:space="preserve">The Goedel Machine offers the cleanest theoretical statement of self-improvement: a rewrite is executed when the system proves that doing so is better according to its utility function [1]. Practical systems relax that proof requirement. STOP uses empirical utility to improve an improver program [2]. ADAS and self-improving coding agents search over agent code and scaffolding [3,4]. DGM maintains a lineage archive, preserving stepping stones and avoiding a purely greedy trajectory [5]. HGM adds a measure of metaproductivity because the best current performer need not have the best descendants [6]. SIA broadens the change boundary to include both harnesses and weights [7]. AlphaEvolve combines evolutionary search with evaluators that can include formal checkers [8].</w:t>
      </w:r>
    </w:p>
    <w:p>
      <w:pPr>
        <w:pStyle w:val="BodyText"/>
        <w:widowControl w:val="1"/>
      </w:pPr>
      <w:r>
        <w:rPr>
          <w:rFonts w:ascii="Noto Serif" w:hAnsi="Noto Serif" w:eastAsia="Noto Serif"/>
          <w:color w:val="1D2833"/>
          <w:sz w:val="20"/>
        </w:rPr>
        <w:t xml:space="preserve">SCF is complementary to these search algorithms. It specifies where their outputs live, what must accompany them, and how a candidate becomes an operational route. An SCF implementation generator could be DGM-like, gradient-based, evolutionary, human-authored, or a combination. The architecture does not mandate the optimizer; it constrains the lifecycle around optimization.</w:t>
      </w:r>
    </w:p>
    <w:bookmarkEnd w:id="31"/>
    <w:bookmarkStart w:id="32" w:name="skills-pipelines-and-reusable-artifacts"/>
    <w:p>
      <w:pPr>
        <w:pStyle w:val="Heading2"/>
        <w:widowControl w:val="1"/>
      </w:pPr>
      <w:r>
        <w:rPr>
          <w:rStyle w:val="SectionNumber"/>
        </w:rPr>
        <w:t xml:space="preserve">3.2</w:t>
      </w:r>
      <w:r>
        <w:tab/>
      </w:r>
      <w:r>
        <w:t xml:space="preserve">Skills, pipelines, and reusable artifacts</w:t>
      </w:r>
    </w:p>
    <w:p>
      <w:pPr>
        <w:pStyle w:val="FirstParagraph"/>
        <w:widowControl w:val="1"/>
      </w:pPr>
      <w:r>
        <w:rPr>
          <w:rFonts w:ascii="Noto Serif" w:hAnsi="Noto Serif" w:eastAsia="Noto Serif"/>
          <w:color w:val="1D2833"/>
          <w:sz w:val="20"/>
        </w:rPr>
        <w:t xml:space="preserve">Voyager’s executable skill library demonstrates compounding capability through reusable code [9]. DSPy separates declarative LM programs from compiled prompts and demonstrations [10]. Audited Skill-Graph Self-Improvement promotes normalized skills after verifier-backed replay and contract checks [11]. ContractSkill gives web-agent skills explicit preconditions, step specifications, postconditions, recovery rules, and termination checks [12]. VASO couples planner-facing skill interfaces to formal temporal contracts and uses model-checking counterexamples as optimization feedback [13]. These works support the premise that explicit, reusable capability artifacts are a productive unit of improvement.</w:t>
      </w:r>
    </w:p>
    <w:p>
      <w:pPr>
        <w:pStyle w:val="BodyText"/>
        <w:widowControl w:val="1"/>
      </w:pPr>
      <w:r>
        <w:rPr>
          <w:rFonts w:ascii="Noto Serif" w:hAnsi="Noto Serif" w:eastAsia="Noto Serif"/>
          <w:color w:val="1D2833"/>
          <w:sz w:val="20"/>
        </w:rPr>
        <w:t xml:space="preserve">SCF generalizes beyond skill libraries. A planner, evaluator, model router, memory system, tool broker, or context compiler may be a field even when it is not naturally represented as a procedural skill. SCF also adds contextual resolution, authority intersection, state migration, dependency invalidation, and constitutional evolution of the field itself.</w:t>
      </w:r>
    </w:p>
    <w:bookmarkEnd w:id="32"/>
    <w:bookmarkStart w:id="33" w:name="X545f3580dc180804f8bb44bc16a7a277b973d02"/>
    <w:p>
      <w:pPr>
        <w:pStyle w:val="Heading2"/>
        <w:widowControl w:val="1"/>
      </w:pPr>
      <w:r>
        <w:rPr>
          <w:rStyle w:val="SectionNumber"/>
        </w:rPr>
        <w:t xml:space="preserve">3.3</w:t>
      </w:r>
      <w:r>
        <w:tab/>
      </w:r>
      <w:r>
        <w:t xml:space="preserve">Agent registries and interoperability protocols</w:t>
      </w:r>
    </w:p>
    <w:p>
      <w:pPr>
        <w:pStyle w:val="FirstParagraph"/>
        <w:widowControl w:val="1"/>
      </w:pPr>
      <w:r>
        <w:rPr>
          <w:rFonts w:ascii="Noto Serif" w:hAnsi="Noto Serif" w:eastAsia="Noto Serif"/>
          <w:color w:val="1D2833"/>
          <w:sz w:val="20"/>
        </w:rPr>
        <w:t xml:space="preserve">AgentHub frames a research agenda for agent discovery, evaluation, governance, lifecycle transparency, and reuse [14]. A survey of agent registry approaches compares metadata models for MCP, A2A, and decentralized agent discovery [15]. MCP standardizes how applications connect to tools and context sources, while A2A standardizes communication and capability discovery among independent agents [16,17]. These protocols are useful invocation and interoperability surfaces.</w:t>
      </w:r>
    </w:p>
    <w:p>
      <w:pPr>
        <w:pStyle w:val="BodyText"/>
        <w:widowControl w:val="1"/>
      </w:pPr>
      <w:r>
        <w:rPr>
          <w:rFonts w:ascii="Noto Serif" w:hAnsi="Noto Serif" w:eastAsia="Noto Serif"/>
          <w:color w:val="1D2833"/>
          <w:sz w:val="20"/>
        </w:rPr>
        <w:t xml:space="preserve">They do not by themselves answer whether an implementation is qualified for a local deployment profile, whether its evidence remains valid, how it migrates state, or who can promote it. An SCF registry may publish or import MCP servers, A2A agents, or other packages, but discovery claims remain distinct from local qualification claims.</w:t>
      </w:r>
    </w:p>
    <w:bookmarkEnd w:id="33"/>
    <w:bookmarkStart w:id="34" w:name="governed-upgrades-and-runtime-evolution"/>
    <w:p>
      <w:pPr>
        <w:pStyle w:val="Heading2"/>
        <w:widowControl w:val="1"/>
      </w:pPr>
      <w:r>
        <w:rPr>
          <w:rStyle w:val="SectionNumber"/>
        </w:rPr>
        <w:t xml:space="preserve">3.4</w:t>
      </w:r>
      <w:r>
        <w:tab/>
      </w:r>
      <w:r>
        <w:t xml:space="preserve">Governed upgrades and runtime evolution</w:t>
      </w:r>
    </w:p>
    <w:p>
      <w:pPr>
        <w:pStyle w:val="FirstParagraph"/>
        <w:widowControl w:val="1"/>
      </w:pPr>
      <w:r>
        <w:rPr>
          <w:rFonts w:ascii="Noto Serif" w:hAnsi="Noto Serif" w:eastAsia="Noto Serif"/>
          <w:color w:val="1D2833"/>
          <w:sz w:val="20"/>
        </w:rPr>
        <w:t xml:space="preserve">Governed Capability Evolution treats an embodied capability version as a deployment candidate and checks interface, policy, behavior, and recovery compatibility across sandbox, shadow, activation, monitoring, and rollback stages [18]. Governed Evolution of Agent Runtimes models generated artifacts as persistent operational capabilities with lifecycle-aware mutation [19]. These are the closest contemporaneous systems to SCF and substantially motivate its lifecycle design.</w:t>
      </w:r>
    </w:p>
    <w:p>
      <w:pPr>
        <w:pStyle w:val="BodyText"/>
        <w:widowControl w:val="1"/>
      </w:pPr>
      <w:r>
        <w:rPr>
          <w:rFonts w:ascii="Noto Serif" w:hAnsi="Noto Serif" w:eastAsia="Noto Serif"/>
          <w:color w:val="1D2833"/>
          <w:sz w:val="20"/>
        </w:rPr>
        <w:t xml:space="preserve">SCF’s additional emphasis is system-wide and semantic: the field is an enduring unit of identity across code, weights, services, policies, evaluators, and tools; qualification is profile-specific rather than a single active-version decision; authority and effect composition are explicit; multiple contract majors may coexist; and the evidence graph covers transitive dependencies, invalidation, state, and constitutional change.</w:t>
      </w:r>
    </w:p>
    <w:bookmarkEnd w:id="34"/>
    <w:bookmarkStart w:id="35" w:name="X176d917ed39ede3101cbe1ead84f2e18359b7fe"/>
    <w:p>
      <w:pPr>
        <w:pStyle w:val="Heading2"/>
        <w:widowControl w:val="1"/>
      </w:pPr>
      <w:r>
        <w:rPr>
          <w:rStyle w:val="SectionNumber"/>
        </w:rPr>
        <w:t xml:space="preserve">3.5</w:t>
      </w:r>
      <w:r>
        <w:tab/>
      </w:r>
      <w:r>
        <w:t xml:space="preserve">Autonomic computing, contracts, and runtime assurance</w:t>
      </w:r>
    </w:p>
    <w:p>
      <w:pPr>
        <w:pStyle w:val="FirstParagraph"/>
        <w:widowControl w:val="1"/>
      </w:pPr>
      <w:r>
        <w:rPr>
          <w:rFonts w:ascii="Noto Serif" w:hAnsi="Noto Serif" w:eastAsia="Noto Serif"/>
          <w:color w:val="1D2833"/>
          <w:sz w:val="20"/>
        </w:rPr>
        <w:t xml:space="preserve">Autonomic computing introduced monitor-analyze-plan-execute feedback loops and architectural self-management [20-22]. Design by Contract, behavioral subtyping, interface automata, and assume-guarantee reasoning provide foundations for substitutability and compositional verification [23-26]. AI operating-system proposals separate agent applications from scheduling, memory, access control, and tool resources [27]. The seL4 project shows the value of minimizing and verifying a trusted kernel, while Simplex and SOTER show how an advanced controller can operate behind a safety monitor and recover to a trusted fallback [28-30]. Recovery blocks and N-version programming provide older foundations for diversity and fault containment [31,32].</w:t>
      </w:r>
    </w:p>
    <w:p>
      <w:pPr>
        <w:pStyle w:val="BodyText"/>
        <w:widowControl w:val="1"/>
      </w:pPr>
      <w:r>
        <w:rPr>
          <w:rFonts w:ascii="Noto Serif" w:hAnsi="Noto Serif" w:eastAsia="Noto Serif"/>
          <w:color w:val="1D2833"/>
          <w:sz w:val="20"/>
        </w:rPr>
        <w:t xml:space="preserve">SCF imports these principles but must adapt them to learned, stochastic, and self-referential components. A field contract can rarely prove all relevant behavior. Qualification therefore combines formal, deterministic, statistical, adversarial, and online evidence, while making the limits of each explicit.</w:t>
      </w:r>
    </w:p>
    <w:bookmarkEnd w:id="35"/>
    <w:bookmarkStart w:id="36" w:name="software-supply-chain-integrity"/>
    <w:p>
      <w:pPr>
        <w:pStyle w:val="Heading2"/>
        <w:widowControl w:val="1"/>
      </w:pPr>
      <w:r>
        <w:rPr>
          <w:rStyle w:val="SectionNumber"/>
        </w:rPr>
        <w:t xml:space="preserve">3.6</w:t>
      </w:r>
      <w:r>
        <w:tab/>
      </w:r>
      <w:r>
        <w:t xml:space="preserve">Software supply-chain integrity</w:t>
      </w:r>
    </w:p>
    <w:p>
      <w:pPr>
        <w:pStyle w:val="FirstParagraph"/>
        <w:widowControl w:val="1"/>
      </w:pPr>
      <w:r>
        <w:rPr>
          <w:rFonts w:ascii="Noto Serif" w:hAnsi="Noto Serif" w:eastAsia="Noto Serif"/>
          <w:color w:val="1D2833"/>
          <w:sz w:val="20"/>
        </w:rPr>
        <w:t xml:space="preserve">A self-improving system is also a software supply chain in which the producer may be the system itself. in-toto, SLSA, The Update Framework, and content-addressed image specifications demonstrate how provenance, signed attestations, role separation, threshold authorization, and artifact identity can protect build and distribution pipelines [33-36]. SCF extends this logic from</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was this artifact built as claimed?</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to</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is this artifact qualified to realize this capability under these conditions?</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Provenance is necessary for qualification, but it does not replace behavioral evidence.</w:t>
      </w:r>
    </w:p>
    <w:bookmarkEnd w:id="36"/>
    <w:bookmarkStart w:id="37" w:name="comparison"/>
    <w:p>
      <w:pPr>
        <w:pStyle w:val="Heading2"/>
        <w:widowControl w:val="1"/>
      </w:pPr>
      <w:r>
        <w:rPr>
          <w:rStyle w:val="SectionNumber"/>
        </w:rPr>
        <w:t xml:space="preserve">3.7</w:t>
      </w:r>
      <w:r>
        <w:tab/>
      </w:r>
      <w:r>
        <w:t xml:space="preserve">Comparison</w:t>
      </w:r>
    </w:p>
    <w:p>
      <w:pPr>
        <w:pStyle w:val="TableCaption"/>
        <w:keepNext/>
        <w:spacing w:before="140" w:after="60"/>
        <w:jc w:val="left"/>
      </w:pPr>
      <w:r>
        <w:t>Table 2. Related-work comparison: semantic, registry, and selection dimensions.</w:t>
      </w:r>
    </w:p>
    <w:tbl>
      <w:tblPr>
        <w:tblStyle w:val="Table"/>
        <w:tblW w:type="dxa" w:w="9936"/>
        <w:jc w:val="center"/>
        <w:tblLayout w:type="fixed"/>
        <w:tblLook w:firstRow="1" w:lastRow="0" w:firstColumn="0" w:lastColumn="0" w:noHBand="0" w:noVBand="0" w:val="0020"/>
      </w:tblPr>
      <w:tblGrid>
        <w:gridCol w:w="1584"/>
        <w:gridCol w:w="1584"/>
        <w:gridCol w:w="1584"/>
        <w:gridCol w:w="1584"/>
        <w:gridCol w:w="1584"/>
      </w:tblGrid>
      <w:tr>
        <w:trPr>
          <w:tblHeader w:val="on"/>
          <w:tblHeader w:val="true"/>
          <w:cantSplit/>
        </w:trPr>
        <w:tc>
          <w:tcPr>
            <w:tcW w:type="dxa" w:w="1887"/>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Approach</w:t>
            </w:r>
          </w:p>
        </w:tc>
        <w:tc>
          <w:tcPr>
            <w:tcW w:type="dxa" w:w="1987"/>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Primary unit of change</w:t>
            </w:r>
          </w:p>
        </w:tc>
        <w:tc>
          <w:tcPr>
            <w:tcW w:type="dxa" w:w="1887"/>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Contract depth</w:t>
            </w:r>
          </w:p>
        </w:tc>
        <w:tc>
          <w:tcPr>
            <w:tcW w:type="dxa" w:w="1987"/>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Registry role</w:t>
            </w:r>
          </w:p>
        </w:tc>
        <w:tc>
          <w:tcPr>
            <w:tcW w:type="dxa" w:w="2185"/>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Runtime selection</w:t>
            </w:r>
          </w:p>
        </w:tc>
      </w:tr>
      <w:tr>
        <w:trPr>
          <w:cantSplit/>
        </w:trPr>
        <w:tc>
          <w:tcPr>
            <w:tcW w:type="dxa" w:w="18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Monolithic self-editing agent</w:t>
            </w:r>
          </w:p>
        </w:tc>
        <w:tc>
          <w:tcPr>
            <w:tcW w:type="dxa" w:w="19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Whole agent or repository</w:t>
            </w:r>
          </w:p>
        </w:tc>
        <w:tc>
          <w:tcPr>
            <w:tcW w:type="dxa" w:w="18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Limited</w:t>
            </w:r>
          </w:p>
        </w:tc>
        <w:tc>
          <w:tcPr>
            <w:tcW w:type="dxa" w:w="19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Experiment logs</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Best observed candidate</w:t>
            </w:r>
          </w:p>
        </w:tc>
      </w:tr>
      <w:tr>
        <w:trPr>
          <w:cantSplit/>
        </w:trPr>
        <w:tc>
          <w:tcPr>
            <w:tcW w:type="dxa" w:w="1887"/>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4"/>
              </w:rPr>
              <w:t xml:space="preserve">Skill library</w:t>
            </w:r>
          </w:p>
        </w:tc>
        <w:tc>
          <w:tcPr>
            <w:tcW w:type="dxa" w:w="1987"/>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4"/>
              </w:rPr>
              <w:t xml:space="preserve">Skill artifact</w:t>
            </w:r>
          </w:p>
        </w:tc>
        <w:tc>
          <w:tcPr>
            <w:tcW w:type="dxa" w:w="1887"/>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4"/>
              </w:rPr>
              <w:t xml:space="preserve">Often interface-level</w:t>
            </w:r>
          </w:p>
        </w:tc>
        <w:tc>
          <w:tcPr>
            <w:tcW w:type="dxa" w:w="1987"/>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4"/>
              </w:rPr>
              <w:t xml:space="preserve">Skill storage and retrieval</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4"/>
              </w:rPr>
              <w:t xml:space="preserve">Retrieval by task similarity</w:t>
            </w:r>
          </w:p>
        </w:tc>
      </w:tr>
      <w:tr>
        <w:trPr>
          <w:cantSplit/>
        </w:trPr>
        <w:tc>
          <w:tcPr>
            <w:tcW w:type="dxa" w:w="18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Agent/package registry</w:t>
            </w:r>
          </w:p>
        </w:tc>
        <w:tc>
          <w:tcPr>
            <w:tcW w:type="dxa" w:w="19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Agent or server package</w:t>
            </w:r>
          </w:p>
        </w:tc>
        <w:tc>
          <w:tcPr>
            <w:tcW w:type="dxa" w:w="18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Manifest-level</w:t>
            </w:r>
          </w:p>
        </w:tc>
        <w:tc>
          <w:tcPr>
            <w:tcW w:type="dxa" w:w="19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Discovery and distribution</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Catalog or endpoint choice</w:t>
            </w:r>
          </w:p>
        </w:tc>
      </w:tr>
      <w:tr>
        <w:trPr>
          <w:cantSplit/>
        </w:trPr>
        <w:tc>
          <w:tcPr>
            <w:tcW w:type="dxa" w:w="1887"/>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4"/>
              </w:rPr>
              <w:t xml:space="preserve">Governed capability upgrade</w:t>
            </w:r>
          </w:p>
        </w:tc>
        <w:tc>
          <w:tcPr>
            <w:tcW w:type="dxa" w:w="1987"/>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4"/>
              </w:rPr>
              <w:t xml:space="preserve">Capability module</w:t>
            </w:r>
          </w:p>
        </w:tc>
        <w:tc>
          <w:tcPr>
            <w:tcW w:type="dxa" w:w="1887"/>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4"/>
              </w:rPr>
              <w:t xml:space="preserve">Interface, policy, behavior, recovery</w:t>
            </w:r>
          </w:p>
        </w:tc>
        <w:tc>
          <w:tcPr>
            <w:tcW w:type="dxa" w:w="1987"/>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4"/>
              </w:rPr>
              <w:t xml:space="preserve">Lifecycle and version records</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4"/>
              </w:rPr>
              <w:t xml:space="preserve">Usually one active family version</w:t>
            </w:r>
          </w:p>
        </w:tc>
      </w:tr>
      <w:tr>
        <w:trPr>
          <w:cantSplit/>
        </w:trPr>
        <w:tc>
          <w:tcPr>
            <w:tcW w:type="dxa" w:w="18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Stable Capability Field</w:t>
            </w:r>
          </w:p>
        </w:tc>
        <w:tc>
          <w:tcPr>
            <w:tcW w:type="dxa" w:w="19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Enduring capability identity</w:t>
            </w:r>
          </w:p>
        </w:tc>
        <w:tc>
          <w:tcPr>
            <w:tcW w:type="dxa" w:w="18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Semantic, temporal, state, effect, authority</w:t>
            </w:r>
          </w:p>
        </w:tc>
        <w:tc>
          <w:tcPr>
            <w:tcW w:type="dxa" w:w="1987"/>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Append-only evidence and consequence graph</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4"/>
              </w:rPr>
              <w:t xml:space="preserve">Profile-specific policy, ensemble, fallback</w:t>
            </w:r>
          </w:p>
        </w:tc>
      </w:tr>
    </w:tbl>
    <w:p>
      <w:pPr>
        <w:widowControl w:val="1"/>
      </w:pPr>
    </w:p>
    <w:p>
      <w:pPr>
        <w:pStyle w:val="TableCaption"/>
        <w:keepNext/>
        <w:spacing w:before="140" w:after="60"/>
        <w:jc w:val="left"/>
      </w:pPr>
      <w:r>
        <w:t>Table 3. Related-work comparison: authority, recovery, and abstraction evolution.</w:t>
      </w:r>
    </w:p>
    <w:tbl>
      <w:tblPr>
        <w:tblStyle w:val="Table"/>
        <w:tblW w:type="dxa" w:w="9936"/>
        <w:jc w:val="center"/>
        <w:tblLayout w:type="fixed"/>
        <w:tblLook w:firstRow="1" w:lastRow="0" w:firstColumn="0" w:lastColumn="0" w:noHBand="0" w:noVBand="0" w:val="0020"/>
      </w:tblPr>
      <w:tblGrid>
        <w:gridCol w:w="1980"/>
        <w:gridCol w:w="1980"/>
        <w:gridCol w:w="1980"/>
        <w:gridCol w:w="1980"/>
      </w:tblGrid>
      <w:tr>
        <w:trPr>
          <w:tblHeader w:val="on"/>
          <w:tblHeader w:val="true"/>
          <w:cantSplit/>
        </w:trPr>
        <w:tc>
          <w:tcPr>
            <w:tcW w:type="dxa" w:w="2384"/>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Approach</w:t>
            </w:r>
          </w:p>
        </w:tc>
        <w:tc>
          <w:tcPr>
            <w:tcW w:type="dxa" w:w="2682"/>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Authority and effects</w:t>
            </w:r>
          </w:p>
        </w:tc>
        <w:tc>
          <w:tcPr>
            <w:tcW w:type="dxa" w:w="2484"/>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State and recovery</w:t>
            </w:r>
          </w:p>
        </w:tc>
        <w:tc>
          <w:tcPr>
            <w:tcW w:type="dxa" w:w="2384"/>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Abstraction evolution</w:t>
            </w:r>
          </w:p>
        </w:tc>
      </w:tr>
      <w:tr>
        <w:trPr>
          <w:cantSplit/>
        </w:trPr>
        <w:tc>
          <w:tcPr>
            <w:tcW w:type="dxa" w:w="238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Monolithic self-editing agent</w:t>
            </w:r>
          </w:p>
        </w:tc>
        <w:tc>
          <w:tcPr>
            <w:tcW w:type="dxa" w:w="2682"/>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Mostly sandbox-level</w:t>
            </w:r>
          </w:p>
        </w:tc>
        <w:tc>
          <w:tcPr>
            <w:tcW w:type="dxa" w:w="248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Coarse repository rollback</w:t>
            </w:r>
          </w:p>
        </w:tc>
        <w:tc>
          <w:tcPr>
            <w:tcW w:type="dxa" w:w="238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Implicit</w:t>
            </w:r>
          </w:p>
        </w:tc>
      </w:tr>
      <w:tr>
        <w:trPr>
          <w:cantSplit/>
        </w:trPr>
        <w:tc>
          <w:tcPr>
            <w:tcW w:type="dxa" w:w="238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Skill library</w:t>
            </w:r>
          </w:p>
        </w:tc>
        <w:tc>
          <w:tcPr>
            <w:tcW w:type="dxa" w:w="2682"/>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Inherited from agent/tool layer</w:t>
            </w:r>
          </w:p>
        </w:tc>
        <w:tc>
          <w:tcPr>
            <w:tcW w:type="dxa" w:w="248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Usually limited</w:t>
            </w:r>
          </w:p>
        </w:tc>
        <w:tc>
          <w:tcPr>
            <w:tcW w:type="dxa" w:w="238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Usually implicit</w:t>
            </w:r>
          </w:p>
        </w:tc>
      </w:tr>
      <w:tr>
        <w:trPr>
          <w:cantSplit/>
        </w:trPr>
        <w:tc>
          <w:tcPr>
            <w:tcW w:type="dxa" w:w="238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Agent/package registry</w:t>
            </w:r>
          </w:p>
        </w:tc>
        <w:tc>
          <w:tcPr>
            <w:tcW w:type="dxa" w:w="2682"/>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Authentication and endpoint focused</w:t>
            </w:r>
          </w:p>
        </w:tc>
        <w:tc>
          <w:tcPr>
            <w:tcW w:type="dxa" w:w="248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Package/version dependent</w:t>
            </w:r>
          </w:p>
        </w:tc>
        <w:tc>
          <w:tcPr>
            <w:tcW w:type="dxa" w:w="238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Package schema only</w:t>
            </w:r>
          </w:p>
        </w:tc>
      </w:tr>
      <w:tr>
        <w:trPr>
          <w:cantSplit/>
        </w:trPr>
        <w:tc>
          <w:tcPr>
            <w:tcW w:type="dxa" w:w="238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Governed capability upgrade</w:t>
            </w:r>
          </w:p>
        </w:tc>
        <w:tc>
          <w:tcPr>
            <w:tcW w:type="dxa" w:w="2682"/>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Policy-aware</w:t>
            </w:r>
          </w:p>
        </w:tc>
        <w:tc>
          <w:tcPr>
            <w:tcW w:type="dxa" w:w="248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Explicit staged rollback</w:t>
            </w:r>
          </w:p>
        </w:tc>
        <w:tc>
          <w:tcPr>
            <w:tcW w:type="dxa" w:w="238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Limited scope</w:t>
            </w:r>
          </w:p>
        </w:tc>
      </w:tr>
      <w:tr>
        <w:trPr>
          <w:cantSplit/>
        </w:trPr>
        <w:tc>
          <w:tcPr>
            <w:tcW w:type="dxa" w:w="238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Stable Capability Field</w:t>
            </w:r>
          </w:p>
        </w:tc>
        <w:tc>
          <w:tcPr>
            <w:tcW w:type="dxa" w:w="2682"/>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Capability lattice and broker</w:t>
            </w:r>
          </w:p>
        </w:tc>
        <w:tc>
          <w:tcPr>
            <w:tcW w:type="dxa" w:w="248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State schemas, migrations, compensation</w:t>
            </w:r>
          </w:p>
        </w:tc>
        <w:tc>
          <w:tcPr>
            <w:tcW w:type="dxa" w:w="238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Versioned constitutional process</w:t>
            </w:r>
          </w:p>
        </w:tc>
      </w:tr>
    </w:tbl>
    <w:p>
      <w:pPr>
        <w:pStyle w:val="BodyText"/>
        <w:widowControl w:val="1"/>
      </w:pPr>
      <w:r>
        <w:rPr>
          <w:rFonts w:ascii="Noto Serif" w:hAnsi="Noto Serif" w:eastAsia="Noto Serif"/>
          <w:color w:val="1D2833"/>
          <w:sz w:val="20"/>
        </w:rPr>
        <w:t xml:space="preserve">The table is not a claim that SCF supersedes every listed approach. Rather, SCF is a synthesis intended to provide the missing system-level connective tissue among them.</w:t>
      </w:r>
    </w:p>
    <w:bookmarkEnd w:id="37"/>
    <w:bookmarkEnd w:id="38"/>
    <w:bookmarkStart w:id="46" w:name="formal-model"/>
    <w:p>
      <w:pPr>
        <w:pStyle w:val="Heading1"/>
        <w:widowControl w:val="1"/>
        <w:pBdr>
          <w:bottom w:val="single" w:sz="7" w:space="4" w:color="E8EEF3"/>
        </w:pBdr>
      </w:pPr>
      <w:r>
        <w:rPr>
          <w:rStyle w:val="SectionNumber"/>
        </w:rPr>
        <w:t xml:space="preserve">4</w:t>
      </w:r>
      <w:r>
        <w:tab/>
      </w:r>
      <w:r>
        <w:t xml:space="preserve">Formal model</w:t>
      </w:r>
    </w:p>
    <w:bookmarkStart w:id="39" w:name="field-definition"/>
    <w:p>
      <w:pPr>
        <w:pStyle w:val="Heading2"/>
        <w:widowControl w:val="1"/>
      </w:pPr>
      <w:r>
        <w:rPr>
          <w:rStyle w:val="SectionNumber"/>
        </w:rPr>
        <w:t xml:space="preserve">4.1</w:t>
      </w:r>
      <w:r>
        <w:tab/>
      </w:r>
      <w:r>
        <w:t xml:space="preserve">Field definition</w:t>
      </w:r>
    </w:p>
    <w:p>
      <w:pPr>
        <w:pStyle w:val="FirstParagraph"/>
        <w:widowControl w:val="1"/>
      </w:pPr>
      <w:r>
        <w:rPr>
          <w:rFonts w:ascii="Noto Serif" w:hAnsi="Noto Serif" w:eastAsia="Noto Serif"/>
          <w:color w:val="1D2833"/>
          <w:sz w:val="20"/>
        </w:rPr>
        <w:t xml:space="preserve">A Stable Capability Field is represented as:</w:t>
      </w:r>
    </w:p>
    <w:p>
      <w:pPr>
        <w:pStyle w:val="SourceCode"/>
        <w:keepLines w:val="0"/>
        <w:widowControl w:val="1"/>
        <w:shd w:fill="F4F6F7" w:val="clear"/>
        <w:pBdr>
          <w:left w:val="single" w:sz="12" w:space="5" w:color="355C78"/>
        </w:pBdr>
      </w:pPr>
      <w:r>
        <w:rPr>
          <w:rStyle w:val="VerbatimChar"/>
        </w:rPr>
        <w:t xml:space="preserve">F = &lt;id, C, I, E, S, A, M, P, O&gt;</w:t>
      </w:r>
    </w:p>
    <w:p>
      <w:pPr>
        <w:pStyle w:val="FirstParagraph"/>
        <w:widowControl w:val="1"/>
      </w:pPr>
      <w:r>
        <w:rPr>
          <w:rFonts w:ascii="Noto Serif" w:hAnsi="Noto Serif" w:eastAsia="Noto Serif"/>
          <w:color w:val="1D2833"/>
          <w:sz w:val="20"/>
        </w:rPr>
        <w:t xml:space="preserve">where:</w:t>
      </w:r>
    </w:p>
    <w:p>
      <w:pPr>
        <w:pStyle w:val="Compact"/>
        <w:numPr>
          <w:ilvl w:val="0"/>
          <w:numId w:val="1007"/>
        </w:numPr>
        <w:widowControl w:val="1"/>
      </w:pPr>
      <w:r>
        <w:rPr>
          <w:rStyle w:val="VerbatimChar"/>
          <w:rFonts w:ascii="Noto Serif" w:hAnsi="Noto Serif" w:eastAsia="Noto Serif"/>
          <w:color w:val="1D2833"/>
          <w:sz w:val="19"/>
        </w:rPr>
        <w:t xml:space="preserve">id</w:t>
      </w:r>
      <w:r>
        <w:rPr>
          <w:rFonts w:ascii="Noto Serif" w:hAnsi="Noto Serif" w:eastAsia="Noto Serif"/>
          <w:color w:val="1D2833"/>
          <w:sz w:val="19"/>
        </w:rPr>
        <w:t xml:space="preserve"> </w:t>
      </w:r>
      <w:r>
        <w:rPr>
          <w:rFonts w:ascii="Noto Serif" w:hAnsi="Noto Serif" w:eastAsia="Noto Serif"/>
          <w:color w:val="1D2833"/>
          <w:sz w:val="19"/>
        </w:rPr>
        <w:t xml:space="preserve">is a durable field identity;</w:t>
      </w:r>
    </w:p>
    <w:p>
      <w:pPr>
        <w:pStyle w:val="Compact"/>
        <w:numPr>
          <w:ilvl w:val="0"/>
          <w:numId w:val="1007"/>
        </w:numPr>
        <w:widowControl w:val="1"/>
      </w:pPr>
      <w:r>
        <w:rPr>
          <w:rStyle w:val="VerbatimChar"/>
          <w:rFonts w:ascii="Noto Serif" w:hAnsi="Noto Serif" w:eastAsia="Noto Serif"/>
          <w:color w:val="1D2833"/>
          <w:sz w:val="19"/>
        </w:rPr>
        <w:t xml:space="preserve">C</w:t>
      </w:r>
      <w:r>
        <w:rPr>
          <w:rFonts w:ascii="Noto Serif" w:hAnsi="Noto Serif" w:eastAsia="Noto Serif"/>
          <w:color w:val="1D2833"/>
          <w:sz w:val="19"/>
        </w:rPr>
        <w:t xml:space="preserve"> </w:t>
      </w:r>
      <w:r>
        <w:rPr>
          <w:rFonts w:ascii="Noto Serif" w:hAnsi="Noto Serif" w:eastAsia="Noto Serif"/>
          <w:color w:val="1D2833"/>
          <w:sz w:val="19"/>
        </w:rPr>
        <w:t xml:space="preserve">is a set of versioned semantic contracts;</w:t>
      </w:r>
    </w:p>
    <w:p>
      <w:pPr>
        <w:pStyle w:val="Compact"/>
        <w:numPr>
          <w:ilvl w:val="0"/>
          <w:numId w:val="1007"/>
        </w:numPr>
        <w:widowControl w:val="1"/>
      </w:pPr>
      <w:r>
        <w:rPr>
          <w:rStyle w:val="VerbatimChar"/>
          <w:rFonts w:ascii="Noto Serif" w:hAnsi="Noto Serif" w:eastAsia="Noto Serif"/>
          <w:color w:val="1D2833"/>
          <w:sz w:val="19"/>
        </w:rPr>
        <w:t xml:space="preserve">I</w:t>
      </w:r>
      <w:r>
        <w:rPr>
          <w:rFonts w:ascii="Noto Serif" w:hAnsi="Noto Serif" w:eastAsia="Noto Serif"/>
          <w:color w:val="1D2833"/>
          <w:sz w:val="19"/>
        </w:rPr>
        <w:t xml:space="preserve"> </w:t>
      </w:r>
      <w:r>
        <w:rPr>
          <w:rFonts w:ascii="Noto Serif" w:hAnsi="Noto Serif" w:eastAsia="Noto Serif"/>
          <w:color w:val="1D2833"/>
          <w:sz w:val="19"/>
        </w:rPr>
        <w:t xml:space="preserve">is a set of implementation revisions and implementation bundles;</w:t>
      </w:r>
    </w:p>
    <w:p>
      <w:pPr>
        <w:pStyle w:val="Compact"/>
        <w:numPr>
          <w:ilvl w:val="0"/>
          <w:numId w:val="1007"/>
        </w:numPr>
        <w:widowControl w:val="1"/>
      </w:pPr>
      <w:r>
        <w:rPr>
          <w:rStyle w:val="VerbatimChar"/>
          <w:rFonts w:ascii="Noto Serif" w:hAnsi="Noto Serif" w:eastAsia="Noto Serif"/>
          <w:color w:val="1D2833"/>
          <w:sz w:val="19"/>
        </w:rPr>
        <w:t xml:space="preserve">E</w:t>
      </w:r>
      <w:r>
        <w:rPr>
          <w:rFonts w:ascii="Noto Serif" w:hAnsi="Noto Serif" w:eastAsia="Noto Serif"/>
          <w:color w:val="1D2833"/>
          <w:sz w:val="19"/>
        </w:rPr>
        <w:t xml:space="preserve"> </w:t>
      </w:r>
      <w:r>
        <w:rPr>
          <w:rFonts w:ascii="Noto Serif" w:hAnsi="Noto Serif" w:eastAsia="Noto Serif"/>
          <w:color w:val="1D2833"/>
          <w:sz w:val="19"/>
        </w:rPr>
        <w:t xml:space="preserve">is a portfolio of evaluator revisions;</w:t>
      </w:r>
    </w:p>
    <w:p>
      <w:pPr>
        <w:pStyle w:val="Compact"/>
        <w:numPr>
          <w:ilvl w:val="0"/>
          <w:numId w:val="1007"/>
        </w:numPr>
        <w:widowControl w:val="1"/>
      </w:pPr>
      <w:r>
        <w:rPr>
          <w:rStyle w:val="VerbatimChar"/>
          <w:rFonts w:ascii="Noto Serif" w:hAnsi="Noto Serif" w:eastAsia="Noto Serif"/>
          <w:color w:val="1D2833"/>
          <w:sz w:val="19"/>
        </w:rPr>
        <w:t xml:space="preserve">S</w:t>
      </w:r>
      <w:r>
        <w:rPr>
          <w:rFonts w:ascii="Noto Serif" w:hAnsi="Noto Serif" w:eastAsia="Noto Serif"/>
          <w:color w:val="1D2833"/>
          <w:sz w:val="19"/>
        </w:rPr>
        <w:t xml:space="preserve"> </w:t>
      </w:r>
      <w:r>
        <w:rPr>
          <w:rFonts w:ascii="Noto Serif" w:hAnsi="Noto Serif" w:eastAsia="Noto Serif"/>
          <w:color w:val="1D2833"/>
          <w:sz w:val="19"/>
        </w:rPr>
        <w:t xml:space="preserve">is a set of state schemas and ownership rules;</w:t>
      </w:r>
    </w:p>
    <w:p>
      <w:pPr>
        <w:pStyle w:val="Compact"/>
        <w:numPr>
          <w:ilvl w:val="0"/>
          <w:numId w:val="1007"/>
        </w:numPr>
        <w:widowControl w:val="1"/>
      </w:pPr>
      <w:r>
        <w:rPr>
          <w:rStyle w:val="VerbatimChar"/>
          <w:rFonts w:ascii="Noto Serif" w:hAnsi="Noto Serif" w:eastAsia="Noto Serif"/>
          <w:color w:val="1D2833"/>
          <w:sz w:val="19"/>
        </w:rPr>
        <w:t xml:space="preserve">A</w:t>
      </w:r>
      <w:r>
        <w:rPr>
          <w:rFonts w:ascii="Noto Serif" w:hAnsi="Noto Serif" w:eastAsia="Noto Serif"/>
          <w:color w:val="1D2833"/>
          <w:sz w:val="19"/>
        </w:rPr>
        <w:t xml:space="preserve"> </w:t>
      </w:r>
      <w:r>
        <w:rPr>
          <w:rFonts w:ascii="Noto Serif" w:hAnsi="Noto Serif" w:eastAsia="Noto Serif"/>
          <w:color w:val="1D2833"/>
          <w:sz w:val="19"/>
        </w:rPr>
        <w:t xml:space="preserve">is an authority and effect policy;</w:t>
      </w:r>
    </w:p>
    <w:p>
      <w:pPr>
        <w:pStyle w:val="Compact"/>
        <w:numPr>
          <w:ilvl w:val="0"/>
          <w:numId w:val="1007"/>
        </w:numPr>
        <w:widowControl w:val="1"/>
      </w:pPr>
      <w:r>
        <w:rPr>
          <w:rStyle w:val="VerbatimChar"/>
          <w:rFonts w:ascii="Noto Serif" w:hAnsi="Noto Serif" w:eastAsia="Noto Serif"/>
          <w:color w:val="1D2833"/>
          <w:sz w:val="19"/>
        </w:rPr>
        <w:t xml:space="preserve">M</w:t>
      </w:r>
      <w:r>
        <w:rPr>
          <w:rFonts w:ascii="Noto Serif" w:hAnsi="Noto Serif" w:eastAsia="Noto Serif"/>
          <w:color w:val="1D2833"/>
          <w:sz w:val="19"/>
        </w:rPr>
        <w:t xml:space="preserve"> </w:t>
      </w:r>
      <w:r>
        <w:rPr>
          <w:rFonts w:ascii="Noto Serif" w:hAnsi="Noto Serif" w:eastAsia="Noto Serif"/>
          <w:color w:val="1D2833"/>
          <w:sz w:val="19"/>
        </w:rPr>
        <w:t xml:space="preserve">is a migration, adapter, fallback, and recovery graph;</w:t>
      </w:r>
    </w:p>
    <w:p>
      <w:pPr>
        <w:pStyle w:val="Compact"/>
        <w:numPr>
          <w:ilvl w:val="0"/>
          <w:numId w:val="1007"/>
        </w:numPr>
        <w:widowControl w:val="1"/>
      </w:pPr>
      <w:r>
        <w:rPr>
          <w:rStyle w:val="VerbatimChar"/>
          <w:rFonts w:ascii="Noto Serif" w:hAnsi="Noto Serif" w:eastAsia="Noto Serif"/>
          <w:color w:val="1D2833"/>
          <w:sz w:val="19"/>
        </w:rPr>
        <w:t xml:space="preserve">P</w:t>
      </w:r>
      <w:r>
        <w:rPr>
          <w:rFonts w:ascii="Noto Serif" w:hAnsi="Noto Serif" w:eastAsia="Noto Serif"/>
          <w:color w:val="1D2833"/>
          <w:sz w:val="19"/>
        </w:rPr>
        <w:t xml:space="preserve"> </w:t>
      </w:r>
      <w:r>
        <w:rPr>
          <w:rFonts w:ascii="Noto Serif" w:hAnsi="Noto Serif" w:eastAsia="Noto Serif"/>
          <w:color w:val="1D2833"/>
          <w:sz w:val="19"/>
        </w:rPr>
        <w:t xml:space="preserve">is the qualification, promotion, resolution, and retirement policy;</w:t>
      </w:r>
    </w:p>
    <w:p>
      <w:pPr>
        <w:pStyle w:val="Compact"/>
        <w:numPr>
          <w:ilvl w:val="0"/>
          <w:numId w:val="1007"/>
        </w:numPr>
        <w:widowControl w:val="1"/>
      </w:pPr>
      <w:r>
        <w:rPr>
          <w:rStyle w:val="VerbatimChar"/>
          <w:rFonts w:ascii="Noto Serif" w:hAnsi="Noto Serif" w:eastAsia="Noto Serif"/>
          <w:color w:val="1D2833"/>
          <w:sz w:val="19"/>
        </w:rPr>
        <w:t xml:space="preserve">O</w:t>
      </w:r>
      <w:r>
        <w:rPr>
          <w:rFonts w:ascii="Noto Serif" w:hAnsi="Noto Serif" w:eastAsia="Noto Serif"/>
          <w:color w:val="1D2833"/>
          <w:sz w:val="19"/>
        </w:rPr>
        <w:t xml:space="preserve"> </w:t>
      </w:r>
      <w:r>
        <w:rPr>
          <w:rFonts w:ascii="Noto Serif" w:hAnsi="Noto Serif" w:eastAsia="Noto Serif"/>
          <w:color w:val="1D2833"/>
          <w:sz w:val="19"/>
        </w:rPr>
        <w:t xml:space="preserve">is the observability and incident model.</w:t>
      </w:r>
    </w:p>
    <w:p>
      <w:pPr>
        <w:pStyle w:val="FirstParagraph"/>
        <w:widowControl w:val="1"/>
      </w:pPr>
      <w:r>
        <w:rPr>
          <w:rFonts w:ascii="Noto Serif" w:hAnsi="Noto Serif" w:eastAsia="Noto Serif"/>
          <w:color w:val="1D2833"/>
          <w:sz w:val="20"/>
        </w:rPr>
        <w:t xml:space="preserve">A field is not synonymous with an API. It is the smallest durable capability identity for which the system can make meaningful claims about substitution, evaluation, authority, state, and lifecycle. The field’s implementation may be distributed across processes or fused with other fields in one model. What matters is that the boundary supports a coherent contract and a governed change process.</w:t>
      </w:r>
    </w:p>
    <w:bookmarkEnd w:id="39"/>
    <w:bookmarkStart w:id="40" w:name="semantic-contract"/>
    <w:p>
      <w:pPr>
        <w:pStyle w:val="Heading2"/>
        <w:widowControl w:val="1"/>
      </w:pPr>
      <w:r>
        <w:rPr>
          <w:rStyle w:val="SectionNumber"/>
        </w:rPr>
        <w:t xml:space="preserve">4.2</w:t>
      </w:r>
      <w:r>
        <w:tab/>
      </w:r>
      <w:r>
        <w:t xml:space="preserve">Semantic contract</w:t>
      </w:r>
    </w:p>
    <w:p>
      <w:pPr>
        <w:pStyle w:val="FirstParagraph"/>
        <w:widowControl w:val="1"/>
      </w:pPr>
      <w:r>
        <w:rPr>
          <w:rFonts w:ascii="Noto Serif" w:hAnsi="Noto Serif" w:eastAsia="Noto Serif"/>
          <w:color w:val="1D2833"/>
          <w:sz w:val="20"/>
        </w:rPr>
        <w:t xml:space="preserve">A contract version is:</w:t>
      </w:r>
    </w:p>
    <w:p>
      <w:pPr>
        <w:pStyle w:val="SourceCode"/>
        <w:keepLines w:val="0"/>
        <w:widowControl w:val="1"/>
        <w:shd w:fill="F4F6F7" w:val="clear"/>
        <w:pBdr>
          <w:left w:val="single" w:sz="12" w:space="5" w:color="355C78"/>
        </w:pBdr>
      </w:pPr>
      <w:r>
        <w:rPr>
          <w:rStyle w:val="VerbatimChar"/>
        </w:rPr>
        <w:t xml:space="preserve">C^v = &lt;In, Out, Pre, Post, Inv, Proto, Eff, Auth, Res, Fail, State, Obs, U&gt;</w:t>
      </w:r>
    </w:p>
    <w:p>
      <w:pPr>
        <w:pStyle w:val="FirstParagraph"/>
        <w:widowControl w:val="1"/>
      </w:pPr>
      <w:r>
        <w:rPr>
          <w:rFonts w:ascii="Noto Serif" w:hAnsi="Noto Serif" w:eastAsia="Noto Serif"/>
          <w:color w:val="1D2833"/>
          <w:sz w:val="20"/>
        </w:rPr>
        <w:t xml:space="preserve">with:</w:t>
      </w:r>
    </w:p>
    <w:p>
      <w:pPr>
        <w:pStyle w:val="Compact"/>
        <w:numPr>
          <w:ilvl w:val="0"/>
          <w:numId w:val="1008"/>
        </w:numPr>
        <w:widowControl w:val="1"/>
      </w:pPr>
      <w:r>
        <w:rPr>
          <w:rStyle w:val="VerbatimChar"/>
          <w:rFonts w:ascii="Noto Serif" w:hAnsi="Noto Serif" w:eastAsia="Noto Serif"/>
          <w:color w:val="1D2833"/>
          <w:sz w:val="19"/>
        </w:rPr>
        <w:t xml:space="preserve">In</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Out</w:t>
      </w:r>
      <w:r>
        <w:rPr>
          <w:rFonts w:ascii="Noto Serif" w:hAnsi="Noto Serif" w:eastAsia="Noto Serif"/>
          <w:color w:val="1D2833"/>
          <w:sz w:val="19"/>
        </w:rPr>
        <w:t xml:space="preserve">: input and output schemas, including semantic units and references;</w:t>
      </w:r>
    </w:p>
    <w:p>
      <w:pPr>
        <w:pStyle w:val="Compact"/>
        <w:numPr>
          <w:ilvl w:val="0"/>
          <w:numId w:val="1008"/>
        </w:numPr>
        <w:widowControl w:val="1"/>
      </w:pPr>
      <w:r>
        <w:rPr>
          <w:rStyle w:val="VerbatimChar"/>
          <w:rFonts w:ascii="Noto Serif" w:hAnsi="Noto Serif" w:eastAsia="Noto Serif"/>
          <w:color w:val="1D2833"/>
          <w:sz w:val="19"/>
        </w:rPr>
        <w:t xml:space="preserve">Pre</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Post</w:t>
      </w:r>
      <w:r>
        <w:rPr>
          <w:rFonts w:ascii="Noto Serif" w:hAnsi="Noto Serif" w:eastAsia="Noto Serif"/>
          <w:color w:val="1D2833"/>
          <w:sz w:val="19"/>
        </w:rPr>
        <w:t xml:space="preserve">: preconditions and postconditions;</w:t>
      </w:r>
    </w:p>
    <w:p>
      <w:pPr>
        <w:pStyle w:val="Compact"/>
        <w:numPr>
          <w:ilvl w:val="0"/>
          <w:numId w:val="1008"/>
        </w:numPr>
        <w:widowControl w:val="1"/>
      </w:pPr>
      <w:r>
        <w:rPr>
          <w:rStyle w:val="VerbatimChar"/>
          <w:rFonts w:ascii="Noto Serif" w:hAnsi="Noto Serif" w:eastAsia="Noto Serif"/>
          <w:color w:val="1D2833"/>
          <w:sz w:val="19"/>
        </w:rPr>
        <w:t xml:space="preserve">Inv</w:t>
      </w:r>
      <w:r>
        <w:rPr>
          <w:rFonts w:ascii="Noto Serif" w:hAnsi="Noto Serif" w:eastAsia="Noto Serif"/>
          <w:color w:val="1D2833"/>
          <w:sz w:val="19"/>
        </w:rPr>
        <w:t xml:space="preserve">: invariants that must hold across executions;</w:t>
      </w:r>
    </w:p>
    <w:p>
      <w:pPr>
        <w:pStyle w:val="Compact"/>
        <w:numPr>
          <w:ilvl w:val="0"/>
          <w:numId w:val="1008"/>
        </w:numPr>
        <w:widowControl w:val="1"/>
      </w:pPr>
      <w:r>
        <w:rPr>
          <w:rStyle w:val="VerbatimChar"/>
          <w:rFonts w:ascii="Noto Serif" w:hAnsi="Noto Serif" w:eastAsia="Noto Serif"/>
          <w:color w:val="1D2833"/>
          <w:sz w:val="19"/>
        </w:rPr>
        <w:t xml:space="preserve">Proto</w:t>
      </w:r>
      <w:r>
        <w:rPr>
          <w:rFonts w:ascii="Noto Serif" w:hAnsi="Noto Serif" w:eastAsia="Noto Serif"/>
          <w:color w:val="1D2833"/>
          <w:sz w:val="19"/>
        </w:rPr>
        <w:t xml:space="preserve">: temporal and interaction protocol, including allowed call sequences;</w:t>
      </w:r>
    </w:p>
    <w:p>
      <w:pPr>
        <w:pStyle w:val="Compact"/>
        <w:numPr>
          <w:ilvl w:val="0"/>
          <w:numId w:val="1008"/>
        </w:numPr>
        <w:widowControl w:val="1"/>
      </w:pPr>
      <w:r>
        <w:rPr>
          <w:rStyle w:val="VerbatimChar"/>
          <w:rFonts w:ascii="Noto Serif" w:hAnsi="Noto Serif" w:eastAsia="Noto Serif"/>
          <w:color w:val="1D2833"/>
          <w:sz w:val="19"/>
        </w:rPr>
        <w:t xml:space="preserve">Eff</w:t>
      </w:r>
      <w:r>
        <w:rPr>
          <w:rFonts w:ascii="Noto Serif" w:hAnsi="Noto Serif" w:eastAsia="Noto Serif"/>
          <w:color w:val="1D2833"/>
          <w:sz w:val="19"/>
        </w:rPr>
        <w:t xml:space="preserve">: declared side-effect classes;</w:t>
      </w:r>
    </w:p>
    <w:p>
      <w:pPr>
        <w:pStyle w:val="Compact"/>
        <w:numPr>
          <w:ilvl w:val="0"/>
          <w:numId w:val="1008"/>
        </w:numPr>
        <w:widowControl w:val="1"/>
      </w:pPr>
      <w:r>
        <w:rPr>
          <w:rStyle w:val="VerbatimChar"/>
          <w:rFonts w:ascii="Noto Serif" w:hAnsi="Noto Serif" w:eastAsia="Noto Serif"/>
          <w:color w:val="1D2833"/>
          <w:sz w:val="19"/>
        </w:rPr>
        <w:t xml:space="preserve">Auth</w:t>
      </w:r>
      <w:r>
        <w:rPr>
          <w:rFonts w:ascii="Noto Serif" w:hAnsi="Noto Serif" w:eastAsia="Noto Serif"/>
          <w:color w:val="1D2833"/>
          <w:sz w:val="19"/>
        </w:rPr>
        <w:t xml:space="preserve">: maximum authority and delegation constraints;</w:t>
      </w:r>
    </w:p>
    <w:p>
      <w:pPr>
        <w:pStyle w:val="Compact"/>
        <w:numPr>
          <w:ilvl w:val="0"/>
          <w:numId w:val="1008"/>
        </w:numPr>
        <w:widowControl w:val="1"/>
      </w:pPr>
      <w:r>
        <w:rPr>
          <w:rStyle w:val="VerbatimChar"/>
          <w:rFonts w:ascii="Noto Serif" w:hAnsi="Noto Serif" w:eastAsia="Noto Serif"/>
          <w:color w:val="1D2833"/>
          <w:sz w:val="19"/>
        </w:rPr>
        <w:t xml:space="preserve">Res</w:t>
      </w:r>
      <w:r>
        <w:rPr>
          <w:rFonts w:ascii="Noto Serif" w:hAnsi="Noto Serif" w:eastAsia="Noto Serif"/>
          <w:color w:val="1D2833"/>
          <w:sz w:val="19"/>
        </w:rPr>
        <w:t xml:space="preserve">: resource budgets and denial behavior;</w:t>
      </w:r>
    </w:p>
    <w:p>
      <w:pPr>
        <w:pStyle w:val="Compact"/>
        <w:numPr>
          <w:ilvl w:val="0"/>
          <w:numId w:val="1008"/>
        </w:numPr>
        <w:widowControl w:val="1"/>
      </w:pPr>
      <w:r>
        <w:rPr>
          <w:rStyle w:val="VerbatimChar"/>
          <w:rFonts w:ascii="Noto Serif" w:hAnsi="Noto Serif" w:eastAsia="Noto Serif"/>
          <w:color w:val="1D2833"/>
          <w:sz w:val="19"/>
        </w:rPr>
        <w:t xml:space="preserve">Fail</w:t>
      </w:r>
      <w:r>
        <w:rPr>
          <w:rFonts w:ascii="Noto Serif" w:hAnsi="Noto Serif" w:eastAsia="Noto Serif"/>
          <w:color w:val="1D2833"/>
          <w:sz w:val="19"/>
        </w:rPr>
        <w:t xml:space="preserve">: typed failures, abstention, partial results, and retry semantics;</w:t>
      </w:r>
    </w:p>
    <w:p>
      <w:pPr>
        <w:pStyle w:val="Compact"/>
        <w:numPr>
          <w:ilvl w:val="0"/>
          <w:numId w:val="1008"/>
        </w:numPr>
        <w:widowControl w:val="1"/>
      </w:pPr>
      <w:r>
        <w:rPr>
          <w:rStyle w:val="VerbatimChar"/>
          <w:rFonts w:ascii="Noto Serif" w:hAnsi="Noto Serif" w:eastAsia="Noto Serif"/>
          <w:color w:val="1D2833"/>
          <w:sz w:val="19"/>
        </w:rPr>
        <w:t xml:space="preserve">State</w:t>
      </w:r>
      <w:r>
        <w:rPr>
          <w:rFonts w:ascii="Noto Serif" w:hAnsi="Noto Serif" w:eastAsia="Noto Serif"/>
          <w:color w:val="1D2833"/>
          <w:sz w:val="19"/>
        </w:rPr>
        <w:t xml:space="preserve">: durable and ephemeral state semantics;</w:t>
      </w:r>
    </w:p>
    <w:p>
      <w:pPr>
        <w:pStyle w:val="Compact"/>
        <w:numPr>
          <w:ilvl w:val="0"/>
          <w:numId w:val="1008"/>
        </w:numPr>
        <w:widowControl w:val="1"/>
      </w:pPr>
      <w:r>
        <w:rPr>
          <w:rStyle w:val="VerbatimChar"/>
          <w:rFonts w:ascii="Noto Serif" w:hAnsi="Noto Serif" w:eastAsia="Noto Serif"/>
          <w:color w:val="1D2833"/>
          <w:sz w:val="19"/>
        </w:rPr>
        <w:t xml:space="preserve">Obs</w:t>
      </w:r>
      <w:r>
        <w:rPr>
          <w:rFonts w:ascii="Noto Serif" w:hAnsi="Noto Serif" w:eastAsia="Noto Serif"/>
          <w:color w:val="1D2833"/>
          <w:sz w:val="19"/>
        </w:rPr>
        <w:t xml:space="preserve">: required telemetry, provenance, and audit outputs;</w:t>
      </w:r>
    </w:p>
    <w:p>
      <w:pPr>
        <w:pStyle w:val="Compact"/>
        <w:numPr>
          <w:ilvl w:val="0"/>
          <w:numId w:val="1008"/>
        </w:numPr>
        <w:widowControl w:val="1"/>
      </w:pPr>
      <w:r>
        <w:rPr>
          <w:rStyle w:val="VerbatimChar"/>
          <w:rFonts w:ascii="Noto Serif" w:hAnsi="Noto Serif" w:eastAsia="Noto Serif"/>
          <w:color w:val="1D2833"/>
          <w:sz w:val="19"/>
        </w:rPr>
        <w:t xml:space="preserve">U</w:t>
      </w:r>
      <w:r>
        <w:rPr>
          <w:rFonts w:ascii="Noto Serif" w:hAnsi="Noto Serif" w:eastAsia="Noto Serif"/>
          <w:color w:val="1D2833"/>
          <w:sz w:val="19"/>
        </w:rPr>
        <w:t xml:space="preserve">: uncertainty and confidence semantics.</w:t>
      </w:r>
    </w:p>
    <w:p>
      <w:pPr>
        <w:pStyle w:val="FirstParagraph"/>
        <w:widowControl w:val="1"/>
      </w:pPr>
      <w:r>
        <w:rPr>
          <w:rFonts w:ascii="Noto Serif" w:hAnsi="Noto Serif" w:eastAsia="Noto Serif"/>
          <w:color w:val="1D2833"/>
          <w:sz w:val="20"/>
        </w:rPr>
        <w:t xml:space="preserve">A contract may include executable schemas, temporal logic, policy rules, natural-language rationale, reference tests, and machine-checkable invariants. No single representation is assumed to be complete. Normative elements must be distinguished from explanatory text, and each normative clause should identify how conformance can be tested or monitored.</w:t>
      </w:r>
    </w:p>
    <w:bookmarkEnd w:id="40"/>
    <w:bookmarkStart w:id="41" w:name="implementation-revision"/>
    <w:p>
      <w:pPr>
        <w:pStyle w:val="Heading2"/>
        <w:widowControl w:val="1"/>
      </w:pPr>
      <w:r>
        <w:rPr>
          <w:rStyle w:val="SectionNumber"/>
        </w:rPr>
        <w:t xml:space="preserve">4.3</w:t>
      </w:r>
      <w:r>
        <w:tab/>
      </w:r>
      <w:r>
        <w:t xml:space="preserve">Implementation revision</w:t>
      </w:r>
    </w:p>
    <w:p>
      <w:pPr>
        <w:pStyle w:val="FirstParagraph"/>
        <w:widowControl w:val="1"/>
      </w:pPr>
      <w:r>
        <w:rPr>
          <w:rFonts w:ascii="Noto Serif" w:hAnsi="Noto Serif" w:eastAsia="Noto Serif"/>
          <w:color w:val="1D2833"/>
          <w:sz w:val="20"/>
        </w:rPr>
        <w:t xml:space="preserve">An implementation revision is an immutable, content-addressed object:</w:t>
      </w:r>
    </w:p>
    <w:p>
      <w:pPr>
        <w:pStyle w:val="SourceCode"/>
        <w:keepLines w:val="0"/>
        <w:widowControl w:val="1"/>
        <w:shd w:fill="F4F6F7" w:val="clear"/>
        <w:pBdr>
          <w:left w:val="single" w:sz="12" w:space="5" w:color="355C78"/>
        </w:pBdr>
      </w:pPr>
      <w:r>
        <w:rPr>
          <w:rStyle w:val="VerbatimChar"/>
        </w:rPr>
        <w:t xml:space="preserve">i = &lt;artifact, build, model, prompt, data, deps, state, auth_req,</w:t>
      </w:r>
      <w:r>
        <w:br/>
      </w:r>
      <w:r>
        <w:rPr>
          <w:rStyle w:val="VerbatimChar"/>
        </w:rPr>
        <w:t xml:space="preserve">     effects, config, provenance, lineage, limits&gt;</w:t>
      </w:r>
    </w:p>
    <w:p>
      <w:pPr>
        <w:pStyle w:val="FirstParagraph"/>
        <w:widowControl w:val="1"/>
      </w:pPr>
      <w:r>
        <w:rPr>
          <w:rFonts w:ascii="Noto Serif" w:hAnsi="Noto Serif" w:eastAsia="Noto Serif"/>
          <w:color w:val="1D2833"/>
          <w:sz w:val="20"/>
        </w:rPr>
        <w:t xml:space="preserve">An implementation may consist of:</w:t>
      </w:r>
    </w:p>
    <w:p>
      <w:pPr>
        <w:pStyle w:val="Compact"/>
        <w:numPr>
          <w:ilvl w:val="0"/>
          <w:numId w:val="1009"/>
        </w:numPr>
        <w:widowControl w:val="1"/>
      </w:pPr>
      <w:r>
        <w:rPr>
          <w:rFonts w:ascii="Noto Serif" w:hAnsi="Noto Serif" w:eastAsia="Noto Serif"/>
          <w:color w:val="1D2833"/>
          <w:sz w:val="19"/>
        </w:rPr>
        <w:t xml:space="preserve">ordinary source code or binaries;</w:t>
      </w:r>
    </w:p>
    <w:p>
      <w:pPr>
        <w:pStyle w:val="Compact"/>
        <w:numPr>
          <w:ilvl w:val="0"/>
          <w:numId w:val="1009"/>
        </w:numPr>
        <w:widowControl w:val="1"/>
      </w:pPr>
      <w:r>
        <w:rPr>
          <w:rFonts w:ascii="Noto Serif" w:hAnsi="Noto Serif" w:eastAsia="Noto Serif"/>
          <w:color w:val="1D2833"/>
          <w:sz w:val="19"/>
        </w:rPr>
        <w:t xml:space="preserve">prompts, examples, retrieval policies, or LM programs;</w:t>
      </w:r>
    </w:p>
    <w:p>
      <w:pPr>
        <w:pStyle w:val="Compact"/>
        <w:numPr>
          <w:ilvl w:val="0"/>
          <w:numId w:val="1009"/>
        </w:numPr>
        <w:widowControl w:val="1"/>
      </w:pPr>
      <w:r>
        <w:rPr>
          <w:rFonts w:ascii="Noto Serif" w:hAnsi="Noto Serif" w:eastAsia="Noto Serif"/>
          <w:color w:val="1D2833"/>
          <w:sz w:val="19"/>
        </w:rPr>
        <w:t xml:space="preserve">model weights, adapters, or a training recipe;</w:t>
      </w:r>
    </w:p>
    <w:p>
      <w:pPr>
        <w:pStyle w:val="Compact"/>
        <w:numPr>
          <w:ilvl w:val="0"/>
          <w:numId w:val="1009"/>
        </w:numPr>
        <w:widowControl w:val="1"/>
      </w:pPr>
      <w:r>
        <w:rPr>
          <w:rFonts w:ascii="Noto Serif" w:hAnsi="Noto Serif" w:eastAsia="Noto Serif"/>
          <w:color w:val="1D2833"/>
          <w:sz w:val="19"/>
        </w:rPr>
        <w:t xml:space="preserve">a hosted model endpoint with pinned provider and configuration claims;</w:t>
      </w:r>
    </w:p>
    <w:p>
      <w:pPr>
        <w:pStyle w:val="Compact"/>
        <w:numPr>
          <w:ilvl w:val="0"/>
          <w:numId w:val="1009"/>
        </w:numPr>
        <w:widowControl w:val="1"/>
      </w:pPr>
      <w:r>
        <w:rPr>
          <w:rFonts w:ascii="Noto Serif" w:hAnsi="Noto Serif" w:eastAsia="Noto Serif"/>
          <w:color w:val="1D2833"/>
          <w:sz w:val="19"/>
        </w:rPr>
        <w:t xml:space="preserve">an agent or multi-agent graph;</w:t>
      </w:r>
    </w:p>
    <w:p>
      <w:pPr>
        <w:pStyle w:val="Compact"/>
        <w:numPr>
          <w:ilvl w:val="0"/>
          <w:numId w:val="1009"/>
        </w:numPr>
        <w:widowControl w:val="1"/>
      </w:pPr>
      <w:r>
        <w:rPr>
          <w:rFonts w:ascii="Noto Serif" w:hAnsi="Noto Serif" w:eastAsia="Noto Serif"/>
          <w:color w:val="1D2833"/>
          <w:sz w:val="19"/>
        </w:rPr>
        <w:t xml:space="preserve">a policy, verifier, planner, database, or context compiler;</w:t>
      </w:r>
    </w:p>
    <w:p>
      <w:pPr>
        <w:pStyle w:val="Compact"/>
        <w:numPr>
          <w:ilvl w:val="0"/>
          <w:numId w:val="1009"/>
        </w:numPr>
        <w:widowControl w:val="1"/>
      </w:pPr>
      <w:r>
        <w:rPr>
          <w:rFonts w:ascii="Noto Serif" w:hAnsi="Noto Serif" w:eastAsia="Noto Serif"/>
          <w:color w:val="1D2833"/>
          <w:sz w:val="19"/>
        </w:rPr>
        <w:t xml:space="preserve">a composite bundle implementing several fields atomically.</w:t>
      </w:r>
    </w:p>
    <w:p>
      <w:pPr>
        <w:pStyle w:val="FirstParagraph"/>
        <w:widowControl w:val="1"/>
      </w:pPr>
      <w:r>
        <w:rPr>
          <w:rFonts w:ascii="Noto Serif" w:hAnsi="Noto Serif" w:eastAsia="Noto Serif"/>
          <w:color w:val="1D2833"/>
          <w:sz w:val="20"/>
        </w:rPr>
        <w:t xml:space="preserve">The immutable revision is distinct from a mutable deployment instance. Online learning, cache accumulation, or stateful adaptation must either remain within a contractually bounded adaptation envelope or create a new revision and corresponding evidence. Otherwise the registry’s qualification claim silently ceases to identify the running behavior.</w:t>
      </w:r>
    </w:p>
    <w:bookmarkEnd w:id="41"/>
    <w:bookmarkStart w:id="42" w:name="deployment-profile"/>
    <w:p>
      <w:pPr>
        <w:pStyle w:val="Heading2"/>
        <w:widowControl w:val="1"/>
      </w:pPr>
      <w:r>
        <w:rPr>
          <w:rStyle w:val="SectionNumber"/>
        </w:rPr>
        <w:t xml:space="preserve">4.4</w:t>
      </w:r>
      <w:r>
        <w:tab/>
      </w:r>
      <w:r>
        <w:t xml:space="preserve">Deployment profile</w:t>
      </w:r>
    </w:p>
    <w:p>
      <w:pPr>
        <w:pStyle w:val="FirstParagraph"/>
        <w:widowControl w:val="1"/>
      </w:pPr>
      <w:r>
        <w:rPr>
          <w:rFonts w:ascii="Noto Serif" w:hAnsi="Noto Serif" w:eastAsia="Noto Serif"/>
          <w:color w:val="1D2833"/>
          <w:sz w:val="20"/>
        </w:rPr>
        <w:t xml:space="preserve">A deployment profile captures the context in which qualification is claimed:</w:t>
      </w:r>
    </w:p>
    <w:p>
      <w:pPr>
        <w:pStyle w:val="SourceCode"/>
        <w:keepLines w:val="0"/>
        <w:widowControl w:val="1"/>
        <w:shd w:fill="F4F6F7" w:val="clear"/>
        <w:pBdr>
          <w:left w:val="single" w:sz="12" w:space="5" w:color="355C78"/>
        </w:pBdr>
      </w:pPr>
      <w:r>
        <w:rPr>
          <w:rStyle w:val="VerbatimChar"/>
        </w:rPr>
        <w:t xml:space="preserve">d = &lt;task_dist, environment, risk, authority_grant, data_class,</w:t>
      </w:r>
      <w:r>
        <w:br/>
      </w:r>
      <w:r>
        <w:rPr>
          <w:rStyle w:val="VerbatimChar"/>
        </w:rPr>
        <w:t xml:space="preserve">     latency, cost, reliability, jurisdiction, operator_policy&gt;</w:t>
      </w:r>
    </w:p>
    <w:p>
      <w:pPr>
        <w:pStyle w:val="FirstParagraph"/>
        <w:widowControl w:val="1"/>
      </w:pPr>
      <w:r>
        <w:rPr>
          <w:rFonts w:ascii="Noto Serif" w:hAnsi="Noto Serif" w:eastAsia="Noto Serif"/>
          <w:color w:val="1D2833"/>
          <w:sz w:val="20"/>
        </w:rPr>
        <w:t xml:space="preserve">Examples include</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low-risk interactive planning with no external effects,</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high-consequence medical summarization with mandatory source citations,</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or</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autonomous code maintenance inside a network-isolated repository sandbox.</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Profiles may be hierarchical, but broad profiles should not be used to conceal untested heterogeneity.</w:t>
      </w:r>
    </w:p>
    <w:bookmarkEnd w:id="42"/>
    <w:bookmarkStart w:id="43" w:name="evidence-and-qualification"/>
    <w:p>
      <w:pPr>
        <w:pStyle w:val="Heading2"/>
        <w:widowControl w:val="1"/>
      </w:pPr>
      <w:r>
        <w:rPr>
          <w:rStyle w:val="SectionNumber"/>
        </w:rPr>
        <w:t xml:space="preserve">4.5</w:t>
      </w:r>
      <w:r>
        <w:tab/>
      </w:r>
      <w:r>
        <w:t xml:space="preserve">Evidence and qualification</w:t>
      </w:r>
    </w:p>
    <w:p>
      <w:pPr>
        <w:pStyle w:val="FirstParagraph"/>
        <w:widowControl w:val="1"/>
      </w:pPr>
      <w:r>
        <w:rPr>
          <w:rFonts w:ascii="Noto Serif" w:hAnsi="Noto Serif" w:eastAsia="Noto Serif"/>
          <w:color w:val="1D2833"/>
          <w:sz w:val="20"/>
        </w:rPr>
        <w:t xml:space="preserve">An evidence bundle is:</w:t>
      </w:r>
    </w:p>
    <w:p>
      <w:pPr>
        <w:pStyle w:val="SourceCode"/>
        <w:keepLines w:val="0"/>
        <w:widowControl w:val="1"/>
        <w:shd w:fill="F4F6F7" w:val="clear"/>
        <w:pBdr>
          <w:left w:val="single" w:sz="12" w:space="5" w:color="355C78"/>
        </w:pBdr>
      </w:pPr>
      <w:r>
        <w:rPr>
          <w:rStyle w:val="VerbatimChar"/>
        </w:rPr>
        <w:t xml:space="preserve">e = &lt;candidate, contract, profile, evaluator_set, datasets, scenarios,</w:t>
      </w:r>
      <w:r>
        <w:br/>
      </w:r>
      <w:r>
        <w:rPr>
          <w:rStyle w:val="VerbatimChar"/>
        </w:rPr>
        <w:t xml:space="preserve">     environment_hash, seeds, metrics, uncertainty, traces,</w:t>
      </w:r>
      <w:r>
        <w:br/>
      </w:r>
      <w:r>
        <w:rPr>
          <w:rStyle w:val="VerbatimChar"/>
        </w:rPr>
        <w:t xml:space="preserve">     provenance, timestamp, signers&gt;</w:t>
      </w:r>
    </w:p>
    <w:p>
      <w:pPr>
        <w:pStyle w:val="FirstParagraph"/>
        <w:widowControl w:val="1"/>
      </w:pPr>
      <w:r>
        <w:rPr>
          <w:rFonts w:ascii="Noto Serif" w:hAnsi="Noto Serif" w:eastAsia="Noto Serif"/>
          <w:color w:val="1D2833"/>
          <w:sz w:val="20"/>
        </w:rPr>
        <w:t xml:space="preserve">A qualification claim is scoped:</w:t>
      </w:r>
    </w:p>
    <w:p>
      <w:pPr>
        <w:pStyle w:val="SourceCode"/>
        <w:keepLines w:val="0"/>
        <w:widowControl w:val="1"/>
        <w:shd w:fill="F4F6F7" w:val="clear"/>
        <w:pBdr>
          <w:left w:val="single" w:sz="12" w:space="5" w:color="355C78"/>
        </w:pBdr>
      </w:pPr>
      <w:r>
        <w:rPr>
          <w:rStyle w:val="VerbatimChar"/>
        </w:rPr>
        <w:t xml:space="preserve">q = Qual(i, C^v, d, D, t) -&gt; status</w:t>
      </w:r>
    </w:p>
    <w:p>
      <w:pPr>
        <w:pStyle w:val="FirstParagraph"/>
        <w:widowControl w:val="1"/>
      </w:pPr>
      <w:r>
        <w:rPr>
          <w:rFonts w:ascii="Noto Serif" w:hAnsi="Noto Serif" w:eastAsia="Noto Serif"/>
          <w:color w:val="1D2833"/>
          <w:sz w:val="20"/>
        </w:rPr>
        <w:t xml:space="preserve">where</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D</w:t>
      </w:r>
      <w:r>
        <w:rPr>
          <w:rFonts w:ascii="Noto Serif" w:hAnsi="Noto Serif" w:eastAsia="Noto Serif"/>
          <w:color w:val="1D2833"/>
          <w:sz w:val="20"/>
        </w:rPr>
        <w:t xml:space="preserve"> </w:t>
      </w:r>
      <w:r>
        <w:rPr>
          <w:rFonts w:ascii="Noto Serif" w:hAnsi="Noto Serif" w:eastAsia="Noto Serif"/>
          <w:color w:val="1D2833"/>
          <w:sz w:val="20"/>
        </w:rPr>
        <w:t xml:space="preserve">is the qualified dependency closure and</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t</w:t>
      </w:r>
      <w:r>
        <w:rPr>
          <w:rFonts w:ascii="Noto Serif" w:hAnsi="Noto Serif" w:eastAsia="Noto Serif"/>
          <w:color w:val="1D2833"/>
          <w:sz w:val="20"/>
        </w:rPr>
        <w:t xml:space="preserve"> </w:t>
      </w:r>
      <w:r>
        <w:rPr>
          <w:rFonts w:ascii="Noto Serif" w:hAnsi="Noto Serif" w:eastAsia="Noto Serif"/>
          <w:color w:val="1D2833"/>
          <w:sz w:val="20"/>
        </w:rPr>
        <w:t xml:space="preserve">is the validity interval. Status is not Boolean. A useful lattice is:</w:t>
      </w:r>
    </w:p>
    <w:p>
      <w:pPr>
        <w:pStyle w:val="SourceCode"/>
        <w:keepLines w:val="0"/>
        <w:widowControl w:val="1"/>
        <w:shd w:fill="F4F6F7" w:val="clear"/>
        <w:pBdr>
          <w:left w:val="single" w:sz="12" w:space="5" w:color="355C78"/>
        </w:pBdr>
      </w:pPr>
      <w:r>
        <w:rPr>
          <w:rStyle w:val="VerbatimChar"/>
        </w:rPr>
        <w:t xml:space="preserve">rejected &lt; sandbox &lt; shadow &lt; canary &lt; active</w:t>
      </w:r>
      <w:r>
        <w:br/>
      </w:r>
      <w:r>
        <w:rPr>
          <w:rStyle w:val="VerbatimChar"/>
        </w:rPr>
        <w:t xml:space="preserve">                         \-&gt; restricted</w:t>
      </w:r>
      <w:r>
        <w:br/>
      </w:r>
      <w:r>
        <w:rPr>
          <w:rStyle w:val="VerbatimChar"/>
        </w:rPr>
        <w:t xml:space="preserve">active -&gt; fallback -&gt; retired</w:t>
      </w:r>
      <w:r>
        <w:br/>
      </w:r>
      <w:r>
        <w:rPr>
          <w:rStyle w:val="VerbatimChar"/>
        </w:rPr>
        <w:t xml:space="preserve">any -&gt; quarantined</w:t>
      </w:r>
    </w:p>
    <w:p>
      <w:pPr>
        <w:pStyle w:val="FirstParagraph"/>
        <w:widowControl w:val="1"/>
      </w:pPr>
      <w:r>
        <w:rPr>
          <w:rFonts w:ascii="Noto Serif" w:hAnsi="Noto Serif" w:eastAsia="Noto Serif"/>
          <w:color w:val="1D2833"/>
          <w:sz w:val="20"/>
        </w:rPr>
        <w:t xml:space="preserve">The ordering is partly procedural rather than purely mathematical; for example,</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restricted</w:t>
      </w:r>
      <w:r>
        <w:rPr>
          <w:rFonts w:ascii="Noto Serif" w:hAnsi="Noto Serif" w:eastAsia="Noto Serif"/>
          <w:color w:val="1D2833"/>
          <w:sz w:val="20"/>
        </w:rPr>
        <w:t xml:space="preserve"> </w:t>
      </w:r>
      <w:r>
        <w:rPr>
          <w:rFonts w:ascii="Noto Serif" w:hAnsi="Noto Serif" w:eastAsia="Noto Serif"/>
          <w:color w:val="1D2833"/>
          <w:sz w:val="20"/>
        </w:rPr>
        <w:t xml:space="preserve">and</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fallback</w:t>
      </w:r>
      <w:r>
        <w:rPr>
          <w:rFonts w:ascii="Noto Serif" w:hAnsi="Noto Serif" w:eastAsia="Noto Serif"/>
          <w:color w:val="1D2833"/>
          <w:sz w:val="20"/>
        </w:rPr>
        <w:t xml:space="preserve"> </w:t>
      </w:r>
      <w:r>
        <w:rPr>
          <w:rFonts w:ascii="Noto Serif" w:hAnsi="Noto Serif" w:eastAsia="Noto Serif"/>
          <w:color w:val="1D2833"/>
          <w:sz w:val="20"/>
        </w:rPr>
        <w:t xml:space="preserve">are operational roles. The key principle is that evidence supports a precise claim, not an unqualified label of safety or quality.</w:t>
      </w:r>
    </w:p>
    <w:p>
      <w:pPr>
        <w:pStyle w:val="BodyText"/>
        <w:widowControl w:val="1"/>
      </w:pPr>
      <w:r>
        <w:rPr>
          <w:rFonts w:ascii="Noto Serif" w:hAnsi="Noto Serif" w:eastAsia="Noto Serif"/>
          <w:color w:val="1D2833"/>
          <w:sz w:val="20"/>
        </w:rPr>
        <w:t xml:space="preserve">Qualification should require hard constraints before optimization:</w:t>
      </w:r>
    </w:p>
    <w:p>
      <w:pPr>
        <w:pStyle w:val="Compact"/>
        <w:numPr>
          <w:ilvl w:val="0"/>
          <w:numId w:val="1010"/>
        </w:numPr>
        <w:widowControl w:val="1"/>
      </w:pPr>
      <w:r>
        <w:rPr>
          <w:rFonts w:ascii="Noto Serif" w:hAnsi="Noto Serif" w:eastAsia="Noto Serif"/>
          <w:color w:val="1D2833"/>
          <w:sz w:val="19"/>
        </w:rPr>
        <w:t xml:space="preserve">contract conformance within the limits of available methods;</w:t>
      </w:r>
    </w:p>
    <w:p>
      <w:pPr>
        <w:pStyle w:val="Compact"/>
        <w:numPr>
          <w:ilvl w:val="0"/>
          <w:numId w:val="1010"/>
        </w:numPr>
        <w:widowControl w:val="1"/>
      </w:pPr>
      <w:r>
        <w:rPr>
          <w:rFonts w:ascii="Noto Serif" w:hAnsi="Noto Serif" w:eastAsia="Noto Serif"/>
          <w:color w:val="1D2833"/>
          <w:sz w:val="19"/>
        </w:rPr>
        <w:t xml:space="preserve">provenance and artifact integrity;</w:t>
      </w:r>
    </w:p>
    <w:p>
      <w:pPr>
        <w:pStyle w:val="Compact"/>
        <w:numPr>
          <w:ilvl w:val="0"/>
          <w:numId w:val="1010"/>
        </w:numPr>
        <w:widowControl w:val="1"/>
      </w:pPr>
      <w:r>
        <w:rPr>
          <w:rFonts w:ascii="Noto Serif" w:hAnsi="Noto Serif" w:eastAsia="Noto Serif"/>
          <w:color w:val="1D2833"/>
          <w:sz w:val="19"/>
        </w:rPr>
        <w:t xml:space="preserve">effective authority within contract and deployment bounds;</w:t>
      </w:r>
    </w:p>
    <w:p>
      <w:pPr>
        <w:pStyle w:val="Compact"/>
        <w:numPr>
          <w:ilvl w:val="0"/>
          <w:numId w:val="1010"/>
        </w:numPr>
        <w:widowControl w:val="1"/>
      </w:pPr>
      <w:r>
        <w:rPr>
          <w:rFonts w:ascii="Noto Serif" w:hAnsi="Noto Serif" w:eastAsia="Noto Serif"/>
          <w:color w:val="1D2833"/>
          <w:sz w:val="19"/>
        </w:rPr>
        <w:t xml:space="preserve">qualified dependencies and valid state transitions;</w:t>
      </w:r>
    </w:p>
    <w:p>
      <w:pPr>
        <w:pStyle w:val="Compact"/>
        <w:numPr>
          <w:ilvl w:val="0"/>
          <w:numId w:val="1010"/>
        </w:numPr>
        <w:widowControl w:val="1"/>
      </w:pPr>
      <w:r>
        <w:rPr>
          <w:rFonts w:ascii="Noto Serif" w:hAnsi="Noto Serif" w:eastAsia="Noto Serif"/>
          <w:color w:val="1D2833"/>
          <w:sz w:val="19"/>
        </w:rPr>
        <w:t xml:space="preserve">migration and containment readiness;</w:t>
      </w:r>
    </w:p>
    <w:p>
      <w:pPr>
        <w:pStyle w:val="Compact"/>
        <w:numPr>
          <w:ilvl w:val="0"/>
          <w:numId w:val="1010"/>
        </w:numPr>
        <w:widowControl w:val="1"/>
      </w:pPr>
      <w:r>
        <w:rPr>
          <w:rFonts w:ascii="Noto Serif" w:hAnsi="Noto Serif" w:eastAsia="Noto Serif"/>
          <w:color w:val="1D2833"/>
          <w:sz w:val="19"/>
        </w:rPr>
        <w:t xml:space="preserve">evaluator independence and evidence freshness;</w:t>
      </w:r>
    </w:p>
    <w:p>
      <w:pPr>
        <w:pStyle w:val="Compact"/>
        <w:numPr>
          <w:ilvl w:val="0"/>
          <w:numId w:val="1010"/>
        </w:numPr>
        <w:widowControl w:val="1"/>
      </w:pPr>
      <w:r>
        <w:rPr>
          <w:rFonts w:ascii="Noto Serif" w:hAnsi="Noto Serif" w:eastAsia="Noto Serif"/>
          <w:color w:val="1D2833"/>
          <w:sz w:val="19"/>
        </w:rPr>
        <w:t xml:space="preserve">context-specific performance improvement or justified tradeoff.</w:t>
      </w:r>
    </w:p>
    <w:p>
      <w:pPr>
        <w:pStyle w:val="FirstParagraph"/>
        <w:widowControl w:val="1"/>
      </w:pPr>
      <w:r>
        <w:rPr>
          <w:rFonts w:ascii="Noto Serif" w:hAnsi="Noto Serif" w:eastAsia="Noto Serif"/>
          <w:color w:val="1D2833"/>
          <w:sz w:val="20"/>
        </w:rPr>
        <w:t xml:space="preserve">Only after the hard constraints pass should the system consider Pareto tradeoffs among capability, cost, latency, reliability, interpretability, and future improvement potential. A single aggregate score can be useful for search, but it should not erase veto constraints or uncertainty.</w:t>
      </w:r>
    </w:p>
    <w:bookmarkEnd w:id="43"/>
    <w:bookmarkStart w:id="44" w:name="contextual-resolution"/>
    <w:p>
      <w:pPr>
        <w:pStyle w:val="Heading2"/>
        <w:widowControl w:val="1"/>
      </w:pPr>
      <w:r>
        <w:rPr>
          <w:rStyle w:val="SectionNumber"/>
        </w:rPr>
        <w:t xml:space="preserve">4.6</w:t>
      </w:r>
      <w:r>
        <w:tab/>
      </w:r>
      <w:r>
        <w:t xml:space="preserve">Contextual resolution</w:t>
      </w:r>
    </w:p>
    <w:p>
      <w:pPr>
        <w:pStyle w:val="FirstParagraph"/>
        <w:widowControl w:val="1"/>
      </w:pPr>
      <w:r>
        <w:rPr>
          <w:rFonts w:ascii="Noto Serif" w:hAnsi="Noto Serif" w:eastAsia="Noto Serif"/>
          <w:color w:val="1D2833"/>
          <w:sz w:val="20"/>
        </w:rPr>
        <w:t xml:space="preserve">The runtime resolver computes a policy rather than a single implementation:</w:t>
      </w:r>
    </w:p>
    <w:p>
      <w:pPr>
        <w:pStyle w:val="SourceCode"/>
        <w:keepLines w:val="0"/>
        <w:widowControl w:val="1"/>
        <w:shd w:fill="F4F6F7" w:val="clear"/>
        <w:pBdr>
          <w:left w:val="single" w:sz="12" w:space="5" w:color="355C78"/>
        </w:pBdr>
      </w:pPr>
      <w:r>
        <w:rPr>
          <w:rStyle w:val="VerbatimChar"/>
        </w:rPr>
        <w:t xml:space="preserve">rho(F, request, d, R_t) -&gt; pi(I_F)</w:t>
      </w:r>
    </w:p>
    <w:p>
      <w:pPr>
        <w:pStyle w:val="FirstParagraph"/>
        <w:widowControl w:val="1"/>
      </w:pPr>
      <w:r>
        <w:rPr>
          <w:rFonts w:ascii="Noto Serif" w:hAnsi="Noto Serif" w:eastAsia="Noto Serif"/>
          <w:color w:val="1D2833"/>
          <w:sz w:val="20"/>
        </w:rPr>
        <w:t xml:space="preserve">where</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R_t</w:t>
      </w:r>
      <w:r>
        <w:rPr>
          <w:rFonts w:ascii="Noto Serif" w:hAnsi="Noto Serif" w:eastAsia="Noto Serif"/>
          <w:color w:val="1D2833"/>
          <w:sz w:val="20"/>
        </w:rPr>
        <w:t xml:space="preserve"> </w:t>
      </w:r>
      <w:r>
        <w:rPr>
          <w:rFonts w:ascii="Noto Serif" w:hAnsi="Noto Serif" w:eastAsia="Noto Serif"/>
          <w:color w:val="1D2833"/>
          <w:sz w:val="20"/>
        </w:rPr>
        <w:t xml:space="preserve">is the registry view at time</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t</w:t>
      </w:r>
      <w:r>
        <w:rPr>
          <w:rFonts w:ascii="Noto Serif" w:hAnsi="Noto Serif" w:eastAsia="Noto Serif"/>
          <w:color w:val="1D2833"/>
          <w:sz w:val="20"/>
        </w:rPr>
        <w:t xml:space="preserve">, and</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pi(I_F)</w:t>
      </w:r>
      <w:r>
        <w:rPr>
          <w:rFonts w:ascii="Noto Serif" w:hAnsi="Noto Serif" w:eastAsia="Noto Serif"/>
          <w:color w:val="1D2833"/>
          <w:sz w:val="20"/>
        </w:rPr>
        <w:t xml:space="preserve"> </w:t>
      </w:r>
      <w:r>
        <w:rPr>
          <w:rFonts w:ascii="Noto Serif" w:hAnsi="Noto Serif" w:eastAsia="Noto Serif"/>
          <w:color w:val="1D2833"/>
          <w:sz w:val="20"/>
        </w:rPr>
        <w:t xml:space="preserve">may include:</w:t>
      </w:r>
    </w:p>
    <w:p>
      <w:pPr>
        <w:pStyle w:val="Compact"/>
        <w:numPr>
          <w:ilvl w:val="0"/>
          <w:numId w:val="1011"/>
        </w:numPr>
        <w:widowControl w:val="1"/>
      </w:pPr>
      <w:r>
        <w:rPr>
          <w:rFonts w:ascii="Noto Serif" w:hAnsi="Noto Serif" w:eastAsia="Noto Serif"/>
          <w:color w:val="1D2833"/>
          <w:sz w:val="19"/>
        </w:rPr>
        <w:t xml:space="preserve">a primary implementation;</w:t>
      </w:r>
    </w:p>
    <w:p>
      <w:pPr>
        <w:pStyle w:val="Compact"/>
        <w:numPr>
          <w:ilvl w:val="0"/>
          <w:numId w:val="1011"/>
        </w:numPr>
        <w:widowControl w:val="1"/>
      </w:pPr>
      <w:r>
        <w:rPr>
          <w:rFonts w:ascii="Noto Serif" w:hAnsi="Noto Serif" w:eastAsia="Noto Serif"/>
          <w:color w:val="1D2833"/>
          <w:sz w:val="19"/>
        </w:rPr>
        <w:t xml:space="preserve">a fallback implementation;</w:t>
      </w:r>
    </w:p>
    <w:p>
      <w:pPr>
        <w:pStyle w:val="Compact"/>
        <w:numPr>
          <w:ilvl w:val="0"/>
          <w:numId w:val="1011"/>
        </w:numPr>
        <w:widowControl w:val="1"/>
      </w:pPr>
      <w:r>
        <w:rPr>
          <w:rFonts w:ascii="Noto Serif" w:hAnsi="Noto Serif" w:eastAsia="Noto Serif"/>
          <w:color w:val="1D2833"/>
          <w:sz w:val="19"/>
        </w:rPr>
        <w:t xml:space="preserve">an ensemble or judge arrangement;</w:t>
      </w:r>
    </w:p>
    <w:p>
      <w:pPr>
        <w:pStyle w:val="Compact"/>
        <w:numPr>
          <w:ilvl w:val="0"/>
          <w:numId w:val="1011"/>
        </w:numPr>
        <w:widowControl w:val="1"/>
      </w:pPr>
      <w:r>
        <w:rPr>
          <w:rFonts w:ascii="Noto Serif" w:hAnsi="Noto Serif" w:eastAsia="Noto Serif"/>
          <w:color w:val="1D2833"/>
          <w:sz w:val="19"/>
        </w:rPr>
        <w:t xml:space="preserve">a shadow implementation receiving mirrored inputs;</w:t>
      </w:r>
    </w:p>
    <w:p>
      <w:pPr>
        <w:pStyle w:val="Compact"/>
        <w:numPr>
          <w:ilvl w:val="0"/>
          <w:numId w:val="1011"/>
        </w:numPr>
        <w:widowControl w:val="1"/>
      </w:pPr>
      <w:r>
        <w:rPr>
          <w:rFonts w:ascii="Noto Serif" w:hAnsi="Noto Serif" w:eastAsia="Noto Serif"/>
          <w:color w:val="1D2833"/>
          <w:sz w:val="19"/>
        </w:rPr>
        <w:t xml:space="preserve">escalation or abstention rules;</w:t>
      </w:r>
    </w:p>
    <w:p>
      <w:pPr>
        <w:pStyle w:val="Compact"/>
        <w:numPr>
          <w:ilvl w:val="0"/>
          <w:numId w:val="1011"/>
        </w:numPr>
        <w:widowControl w:val="1"/>
      </w:pPr>
      <w:r>
        <w:rPr>
          <w:rFonts w:ascii="Noto Serif" w:hAnsi="Noto Serif" w:eastAsia="Noto Serif"/>
          <w:color w:val="1D2833"/>
          <w:sz w:val="19"/>
        </w:rPr>
        <w:t xml:space="preserve">resource and authority bindings.</w:t>
      </w:r>
    </w:p>
    <w:p>
      <w:pPr>
        <w:pStyle w:val="FirstParagraph"/>
        <w:widowControl w:val="1"/>
      </w:pPr>
      <w:r>
        <w:rPr>
          <w:rFonts w:ascii="Noto Serif" w:hAnsi="Noto Serif" w:eastAsia="Noto Serif"/>
          <w:color w:val="1D2833"/>
          <w:sz w:val="20"/>
        </w:rPr>
        <w:t xml:space="preserve">The resolver filters by qualification, compatibility, authority, and current incidents before ranking. Its policy must be deterministic or at least replayable given the same registry snapshot and request features. The resolver itself is a high-trust field and should have a conservative fallback that does not depend on the candidate it is routing.</w:t>
      </w:r>
    </w:p>
    <w:bookmarkEnd w:id="44"/>
    <w:bookmarkStart w:id="45" w:name="effective-authority"/>
    <w:p>
      <w:pPr>
        <w:pStyle w:val="Heading2"/>
        <w:widowControl w:val="1"/>
      </w:pPr>
      <w:r>
        <w:rPr>
          <w:rStyle w:val="SectionNumber"/>
        </w:rPr>
        <w:t xml:space="preserve">4.7</w:t>
      </w:r>
      <w:r>
        <w:tab/>
      </w:r>
      <w:r>
        <w:t xml:space="preserve">Effective authority</w:t>
      </w:r>
    </w:p>
    <w:p>
      <w:pPr>
        <w:pStyle w:val="FirstParagraph"/>
        <w:widowControl w:val="1"/>
      </w:pPr>
      <w:r>
        <w:rPr>
          <w:rFonts w:ascii="Noto Serif" w:hAnsi="Noto Serif" w:eastAsia="Noto Serif"/>
          <w:color w:val="1D2833"/>
          <w:sz w:val="20"/>
        </w:rPr>
        <w:t xml:space="preserve">Let</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A_req(i)</w:t>
      </w:r>
      <w:r>
        <w:rPr>
          <w:rFonts w:ascii="Noto Serif" w:hAnsi="Noto Serif" w:eastAsia="Noto Serif"/>
          <w:color w:val="1D2833"/>
          <w:sz w:val="20"/>
        </w:rPr>
        <w:t xml:space="preserve"> </w:t>
      </w:r>
      <w:r>
        <w:rPr>
          <w:rFonts w:ascii="Noto Serif" w:hAnsi="Noto Serif" w:eastAsia="Noto Serif"/>
          <w:color w:val="1D2833"/>
          <w:sz w:val="20"/>
        </w:rPr>
        <w:t xml:space="preserve">be the authority requested by implementation</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i</w:t>
      </w:r>
      <w:r>
        <w:rPr>
          <w:rFonts w:ascii="Noto Serif" w:hAnsi="Noto Serif" w:eastAsia="Noto Serif"/>
          <w:color w:val="1D2833"/>
          <w:sz w:val="20"/>
        </w:rPr>
        <w:t xml:space="preserve">,</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A_max(C^v)</w:t>
      </w:r>
      <w:r>
        <w:rPr>
          <w:rFonts w:ascii="Noto Serif" w:hAnsi="Noto Serif" w:eastAsia="Noto Serif"/>
          <w:color w:val="1D2833"/>
          <w:sz w:val="20"/>
        </w:rPr>
        <w:t xml:space="preserve"> </w:t>
      </w:r>
      <w:r>
        <w:rPr>
          <w:rFonts w:ascii="Noto Serif" w:hAnsi="Noto Serif" w:eastAsia="Noto Serif"/>
          <w:color w:val="1D2833"/>
          <w:sz w:val="20"/>
        </w:rPr>
        <w:t xml:space="preserve">the maximum allowed by the contract, and</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A_grant(d)</w:t>
      </w:r>
      <w:r>
        <w:rPr>
          <w:rFonts w:ascii="Noto Serif" w:hAnsi="Noto Serif" w:eastAsia="Noto Serif"/>
          <w:color w:val="1D2833"/>
          <w:sz w:val="20"/>
        </w:rPr>
        <w:t xml:space="preserve"> </w:t>
      </w:r>
      <w:r>
        <w:rPr>
          <w:rFonts w:ascii="Noto Serif" w:hAnsi="Noto Serif" w:eastAsia="Noto Serif"/>
          <w:color w:val="1D2833"/>
          <w:sz w:val="20"/>
        </w:rPr>
        <w:t xml:space="preserve">the deployment grant. Effective authority is their meet in a capability lattice:</w:t>
      </w:r>
    </w:p>
    <w:p>
      <w:pPr>
        <w:pStyle w:val="SourceCode"/>
        <w:keepLines w:val="0"/>
        <w:widowControl w:val="1"/>
        <w:shd w:fill="F4F6F7" w:val="clear"/>
        <w:pBdr>
          <w:left w:val="single" w:sz="12" w:space="5" w:color="355C78"/>
        </w:pBdr>
      </w:pPr>
      <w:r>
        <w:rPr>
          <w:rStyle w:val="VerbatimChar"/>
        </w:rPr>
        <w:t xml:space="preserve">A_eff(i, C^v, d) = A_req(i) meet A_max(C^v) meet A_grant(d)</w:t>
      </w:r>
    </w:p>
    <w:p>
      <w:pPr>
        <w:pStyle w:val="FirstParagraph"/>
        <w:widowControl w:val="1"/>
      </w:pPr>
      <w:r>
        <w:rPr>
          <w:rFonts w:ascii="Noto Serif" w:hAnsi="Noto Serif" w:eastAsia="Noto Serif"/>
          <w:color w:val="1D2833"/>
          <w:sz w:val="20"/>
        </w:rPr>
        <w:t xml:space="preserve">If the requested authority cannot be safely attenuated, qualification fails. The authority model should include not only named tools but effect types, data sensitivity, destinations, quotas, delegation depth, and combinations. Reading secrets and sending arbitrary network traffic may each be allowed separately while their composition is prohibited.</w:t>
      </w:r>
    </w:p>
    <w:bookmarkEnd w:id="45"/>
    <w:bookmarkEnd w:id="46"/>
    <w:bookmarkStart w:id="51" w:name="the-field-contract-as-a-semantic-abi"/>
    <w:p>
      <w:pPr>
        <w:pStyle w:val="Heading1"/>
        <w:widowControl w:val="1"/>
        <w:pBdr>
          <w:bottom w:val="single" w:sz="7" w:space="4" w:color="E8EEF3"/>
        </w:pBdr>
      </w:pPr>
      <w:r>
        <w:rPr>
          <w:rStyle w:val="SectionNumber"/>
        </w:rPr>
        <w:t xml:space="preserve">5</w:t>
      </w:r>
      <w:r>
        <w:tab/>
      </w:r>
      <w:r>
        <w:t xml:space="preserve">The field contract as a semantic ABI</w:t>
      </w:r>
    </w:p>
    <w:bookmarkStart w:id="47" w:name="why-schemas-are-insufficient"/>
    <w:p>
      <w:pPr>
        <w:pStyle w:val="Heading2"/>
        <w:widowControl w:val="1"/>
      </w:pPr>
      <w:r>
        <w:rPr>
          <w:rStyle w:val="SectionNumber"/>
        </w:rPr>
        <w:t xml:space="preserve">5.1</w:t>
      </w:r>
      <w:r>
        <w:tab/>
      </w:r>
      <w:r>
        <w:t xml:space="preserve">Why schemas are insufficient</w:t>
      </w:r>
    </w:p>
    <w:p>
      <w:pPr>
        <w:pStyle w:val="FirstParagraph"/>
        <w:widowControl w:val="1"/>
      </w:pPr>
      <w:r>
        <w:rPr>
          <w:rFonts w:ascii="Noto Serif" w:hAnsi="Noto Serif" w:eastAsia="Noto Serif"/>
          <w:color w:val="1D2833"/>
          <w:sz w:val="20"/>
        </w:rPr>
        <w:t xml:space="preserve">An input/output schema is a syntactic interface. A stable field requires a semantic application binary interface: enough shared meaning that callers, evaluators, and replacements can reason about compatibility. For AI components, schema-compatible substitutions can still fail because they differ in:</w:t>
      </w:r>
    </w:p>
    <w:p>
      <w:pPr>
        <w:pStyle w:val="Compact"/>
        <w:numPr>
          <w:ilvl w:val="0"/>
          <w:numId w:val="1012"/>
        </w:numPr>
        <w:widowControl w:val="1"/>
      </w:pPr>
      <w:r>
        <w:rPr>
          <w:rFonts w:ascii="Noto Serif" w:hAnsi="Noto Serif" w:eastAsia="Noto Serif"/>
          <w:color w:val="1D2833"/>
          <w:sz w:val="19"/>
        </w:rPr>
        <w:t xml:space="preserve">whether a result is a proposal or an authorized action;</w:t>
      </w:r>
    </w:p>
    <w:p>
      <w:pPr>
        <w:pStyle w:val="Compact"/>
        <w:numPr>
          <w:ilvl w:val="0"/>
          <w:numId w:val="1012"/>
        </w:numPr>
        <w:widowControl w:val="1"/>
      </w:pPr>
      <w:r>
        <w:rPr>
          <w:rFonts w:ascii="Noto Serif" w:hAnsi="Noto Serif" w:eastAsia="Noto Serif"/>
          <w:color w:val="1D2833"/>
          <w:sz w:val="19"/>
        </w:rPr>
        <w:t xml:space="preserve">how uncertainty is calibrated and represented;</w:t>
      </w:r>
    </w:p>
    <w:p>
      <w:pPr>
        <w:pStyle w:val="Compact"/>
        <w:numPr>
          <w:ilvl w:val="0"/>
          <w:numId w:val="1012"/>
        </w:numPr>
        <w:widowControl w:val="1"/>
      </w:pPr>
      <w:r>
        <w:rPr>
          <w:rFonts w:ascii="Noto Serif" w:hAnsi="Noto Serif" w:eastAsia="Noto Serif"/>
          <w:color w:val="1D2833"/>
          <w:sz w:val="19"/>
        </w:rPr>
        <w:t xml:space="preserve">whether omitted information means</w:t>
      </w:r>
      <w:r>
        <w:rPr>
          <w:rFonts w:ascii="Noto Serif" w:hAnsi="Noto Serif" w:eastAsia="Noto Serif"/>
          <w:color w:val="1D2833"/>
          <w:sz w:val="19"/>
        </w:rPr>
        <w:t xml:space="preserve"> </w:t>
      </w:r>
      <w:r>
        <w:rPr>
          <w:rFonts w:ascii="Noto Serif" w:hAnsi="Noto Serif" w:eastAsia="Noto Serif"/>
          <w:color w:val="1D2833"/>
          <w:sz w:val="19"/>
        </w:rPr>
        <w:t xml:space="preserve">“</w:t>
      </w:r>
      <w:r>
        <w:rPr>
          <w:rFonts w:ascii="Noto Serif" w:hAnsi="Noto Serif" w:eastAsia="Noto Serif"/>
          <w:color w:val="1D2833"/>
          <w:sz w:val="19"/>
        </w:rPr>
        <w:t xml:space="preserve">not found,</w:t>
      </w:r>
      <w:r>
        <w:rPr>
          <w:rFonts w:ascii="Noto Serif" w:hAnsi="Noto Serif" w:eastAsia="Noto Serif"/>
          <w:color w:val="1D2833"/>
          <w:sz w:val="19"/>
        </w:rPr>
        <w:t xml:space="preserve">”</w:t>
      </w:r>
      <w:r>
        <w:rPr>
          <w:rFonts w:ascii="Noto Serif" w:hAnsi="Noto Serif" w:eastAsia="Noto Serif"/>
          <w:color w:val="1D2833"/>
          <w:sz w:val="19"/>
        </w:rPr>
        <w:t xml:space="preserve"> </w:t>
      </w:r>
      <w:r>
        <w:rPr>
          <w:rFonts w:ascii="Noto Serif" w:hAnsi="Noto Serif" w:eastAsia="Noto Serif"/>
          <w:color w:val="1D2833"/>
          <w:sz w:val="19"/>
        </w:rPr>
        <w:t xml:space="preserve">“</w:t>
      </w:r>
      <w:r>
        <w:rPr>
          <w:rFonts w:ascii="Noto Serif" w:hAnsi="Noto Serif" w:eastAsia="Noto Serif"/>
          <w:color w:val="1D2833"/>
          <w:sz w:val="19"/>
        </w:rPr>
        <w:t xml:space="preserve">not checked,</w:t>
      </w:r>
      <w:r>
        <w:rPr>
          <w:rFonts w:ascii="Noto Serif" w:hAnsi="Noto Serif" w:eastAsia="Noto Serif"/>
          <w:color w:val="1D2833"/>
          <w:sz w:val="19"/>
        </w:rPr>
        <w:t xml:space="preserve">”</w:t>
      </w:r>
      <w:r>
        <w:rPr>
          <w:rFonts w:ascii="Noto Serif" w:hAnsi="Noto Serif" w:eastAsia="Noto Serif"/>
          <w:color w:val="1D2833"/>
          <w:sz w:val="19"/>
        </w:rPr>
        <w:t xml:space="preserve"> </w:t>
      </w:r>
      <w:r>
        <w:rPr>
          <w:rFonts w:ascii="Noto Serif" w:hAnsi="Noto Serif" w:eastAsia="Noto Serif"/>
          <w:color w:val="1D2833"/>
          <w:sz w:val="19"/>
        </w:rPr>
        <w:t xml:space="preserve">or</w:t>
      </w:r>
      <w:r>
        <w:rPr>
          <w:rFonts w:ascii="Noto Serif" w:hAnsi="Noto Serif" w:eastAsia="Noto Serif"/>
          <w:color w:val="1D2833"/>
          <w:sz w:val="19"/>
        </w:rPr>
        <w:t xml:space="preserve"> </w:t>
      </w:r>
      <w:r>
        <w:rPr>
          <w:rFonts w:ascii="Noto Serif" w:hAnsi="Noto Serif" w:eastAsia="Noto Serif"/>
          <w:color w:val="1D2833"/>
          <w:sz w:val="19"/>
        </w:rPr>
        <w:t xml:space="preserve">“</w:t>
      </w:r>
      <w:r>
        <w:rPr>
          <w:rFonts w:ascii="Noto Serif" w:hAnsi="Noto Serif" w:eastAsia="Noto Serif"/>
          <w:color w:val="1D2833"/>
          <w:sz w:val="19"/>
        </w:rPr>
        <w:t xml:space="preserve">not applicable</w:t>
      </w:r>
      <w:r>
        <w:rPr>
          <w:rFonts w:ascii="Noto Serif" w:hAnsi="Noto Serif" w:eastAsia="Noto Serif"/>
          <w:color w:val="1D2833"/>
          <w:sz w:val="19"/>
        </w:rPr>
        <w:t xml:space="preserve">”</w:t>
      </w:r>
      <w:r>
        <w:rPr>
          <w:rFonts w:ascii="Noto Serif" w:hAnsi="Noto Serif" w:eastAsia="Noto Serif"/>
          <w:color w:val="1D2833"/>
          <w:sz w:val="19"/>
        </w:rPr>
        <w:t xml:space="preserve">;</w:t>
      </w:r>
    </w:p>
    <w:p>
      <w:pPr>
        <w:pStyle w:val="Compact"/>
        <w:numPr>
          <w:ilvl w:val="0"/>
          <w:numId w:val="1012"/>
        </w:numPr>
        <w:widowControl w:val="1"/>
      </w:pPr>
      <w:r>
        <w:rPr>
          <w:rFonts w:ascii="Noto Serif" w:hAnsi="Noto Serif" w:eastAsia="Noto Serif"/>
          <w:color w:val="1D2833"/>
          <w:sz w:val="19"/>
        </w:rPr>
        <w:t xml:space="preserve">whether retries are idempotent;</w:t>
      </w:r>
    </w:p>
    <w:p>
      <w:pPr>
        <w:pStyle w:val="Compact"/>
        <w:numPr>
          <w:ilvl w:val="0"/>
          <w:numId w:val="1012"/>
        </w:numPr>
        <w:widowControl w:val="1"/>
      </w:pPr>
      <w:r>
        <w:rPr>
          <w:rFonts w:ascii="Noto Serif" w:hAnsi="Noto Serif" w:eastAsia="Noto Serif"/>
          <w:color w:val="1D2833"/>
          <w:sz w:val="19"/>
        </w:rPr>
        <w:t xml:space="preserve">which data may be retained;</w:t>
      </w:r>
    </w:p>
    <w:p>
      <w:pPr>
        <w:pStyle w:val="Compact"/>
        <w:numPr>
          <w:ilvl w:val="0"/>
          <w:numId w:val="1012"/>
        </w:numPr>
        <w:widowControl w:val="1"/>
      </w:pPr>
      <w:r>
        <w:rPr>
          <w:rFonts w:ascii="Noto Serif" w:hAnsi="Noto Serif" w:eastAsia="Noto Serif"/>
          <w:color w:val="1D2833"/>
          <w:sz w:val="19"/>
        </w:rPr>
        <w:t xml:space="preserve">whether a tool call is an observable effect or an internal computation;</w:t>
      </w:r>
    </w:p>
    <w:p>
      <w:pPr>
        <w:pStyle w:val="Compact"/>
        <w:numPr>
          <w:ilvl w:val="0"/>
          <w:numId w:val="1012"/>
        </w:numPr>
        <w:widowControl w:val="1"/>
      </w:pPr>
      <w:r>
        <w:rPr>
          <w:rFonts w:ascii="Noto Serif" w:hAnsi="Noto Serif" w:eastAsia="Noto Serif"/>
          <w:color w:val="1D2833"/>
          <w:sz w:val="19"/>
        </w:rPr>
        <w:t xml:space="preserve">whether a plan is linear, conditional, or partially ordered;</w:t>
      </w:r>
    </w:p>
    <w:p>
      <w:pPr>
        <w:pStyle w:val="Compact"/>
        <w:numPr>
          <w:ilvl w:val="0"/>
          <w:numId w:val="1012"/>
        </w:numPr>
        <w:widowControl w:val="1"/>
      </w:pPr>
      <w:r>
        <w:rPr>
          <w:rFonts w:ascii="Noto Serif" w:hAnsi="Noto Serif" w:eastAsia="Noto Serif"/>
          <w:color w:val="1D2833"/>
          <w:sz w:val="19"/>
        </w:rPr>
        <w:t xml:space="preserve">which invariants must survive state updates;</w:t>
      </w:r>
    </w:p>
    <w:p>
      <w:pPr>
        <w:pStyle w:val="Compact"/>
        <w:numPr>
          <w:ilvl w:val="0"/>
          <w:numId w:val="1012"/>
        </w:numPr>
        <w:widowControl w:val="1"/>
      </w:pPr>
      <w:r>
        <w:rPr>
          <w:rFonts w:ascii="Noto Serif" w:hAnsi="Noto Serif" w:eastAsia="Noto Serif"/>
          <w:color w:val="1D2833"/>
          <w:sz w:val="19"/>
        </w:rPr>
        <w:t xml:space="preserve">how partial failures are surfaced;</w:t>
      </w:r>
    </w:p>
    <w:p>
      <w:pPr>
        <w:pStyle w:val="Compact"/>
        <w:numPr>
          <w:ilvl w:val="0"/>
          <w:numId w:val="1012"/>
        </w:numPr>
        <w:widowControl w:val="1"/>
      </w:pPr>
      <w:r>
        <w:rPr>
          <w:rFonts w:ascii="Noto Serif" w:hAnsi="Noto Serif" w:eastAsia="Noto Serif"/>
          <w:color w:val="1D2833"/>
          <w:sz w:val="19"/>
        </w:rPr>
        <w:t xml:space="preserve">which assumptions a caller may rely upon.</w:t>
      </w:r>
    </w:p>
    <w:p>
      <w:pPr>
        <w:pStyle w:val="FirstParagraph"/>
        <w:widowControl w:val="1"/>
      </w:pPr>
      <w:r>
        <w:rPr>
          <w:rFonts w:ascii="Noto Serif" w:hAnsi="Noto Serif" w:eastAsia="Noto Serif"/>
          <w:color w:val="1D2833"/>
          <w:sz w:val="20"/>
        </w:rPr>
        <w:t xml:space="preserve">Contracts should therefore specify both values and obligations.</w:t>
      </w:r>
    </w:p>
    <w:bookmarkEnd w:id="47"/>
    <w:bookmarkStart w:id="48" w:name="contract-dimensions"/>
    <w:p>
      <w:pPr>
        <w:pStyle w:val="Heading2"/>
        <w:widowControl w:val="1"/>
      </w:pPr>
      <w:r>
        <w:rPr>
          <w:rStyle w:val="SectionNumber"/>
        </w:rPr>
        <w:t xml:space="preserve">5.2</w:t>
      </w:r>
      <w:r>
        <w:tab/>
      </w:r>
      <w:r>
        <w:t xml:space="preserve">Contract dimensions</w:t>
      </w:r>
    </w:p>
    <w:p>
      <w:pPr>
        <w:pStyle w:val="TableCaption"/>
        <w:keepNext/>
        <w:spacing w:before="140" w:after="60"/>
        <w:jc w:val="left"/>
      </w:pPr>
      <w:r>
        <w:t>Table 4. Semantic contract dimensions and representative enforcement mechanisms.</w:t>
      </w:r>
    </w:p>
    <w:tbl>
      <w:tblPr>
        <w:tblStyle w:val="Table"/>
        <w:tblW w:type="dxa" w:w="9936"/>
        <w:jc w:val="center"/>
        <w:tblLayout w:type="fixed"/>
        <w:tblLook w:firstRow="1" w:lastRow="0" w:firstColumn="0" w:lastColumn="0" w:noHBand="0" w:noVBand="0" w:val="0020"/>
      </w:tblPr>
      <w:tblGrid>
        <w:gridCol w:w="2640"/>
        <w:gridCol w:w="2640"/>
        <w:gridCol w:w="2640"/>
      </w:tblGrid>
      <w:tr>
        <w:trPr>
          <w:tblHeader w:val="on"/>
          <w:tblHeader w:val="true"/>
          <w:cantSplit/>
        </w:trPr>
        <w:tc>
          <w:tcPr>
            <w:tcW w:type="dxa" w:w="2285"/>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Dimension</w:t>
            </w:r>
          </w:p>
        </w:tc>
        <w:tc>
          <w:tcPr>
            <w:tcW w:type="dxa" w:w="3825"/>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Questions the contract must answer</w:t>
            </w:r>
          </w:p>
        </w:tc>
        <w:tc>
          <w:tcPr>
            <w:tcW w:type="dxa" w:w="3825"/>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Typical enforcement</w:t>
            </w:r>
          </w:p>
        </w:tc>
      </w:tr>
      <w:tr>
        <w:trPr>
          <w:cantSplit/>
        </w:trPr>
        <w:tc>
          <w:tcPr>
            <w:tcW w:type="dxa" w:w="22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Data semantics</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What do fields mean? Which units, identifiers, and provenance are required?</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Schema validators, reference examples, semantic tests</w:t>
            </w:r>
          </w:p>
        </w:tc>
      </w:tr>
      <w:tr>
        <w:trPr>
          <w:cantSplit/>
        </w:trPr>
        <w:tc>
          <w:tcPr>
            <w:tcW w:type="dxa" w:w="22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Preconditions</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Under what inputs and environment may the field be invoked?</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Runtime guards, static policy checks</w:t>
            </w:r>
          </w:p>
        </w:tc>
      </w:tr>
      <w:tr>
        <w:trPr>
          <w:cantSplit/>
        </w:trPr>
        <w:tc>
          <w:tcPr>
            <w:tcW w:type="dxa" w:w="22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Postconditions</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What must be true on success, abstention, and failure?</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Deterministic tests, formal checks, statistical tests</w:t>
            </w:r>
          </w:p>
        </w:tc>
      </w:tr>
      <w:tr>
        <w:trPr>
          <w:cantSplit/>
        </w:trPr>
        <w:tc>
          <w:tcPr>
            <w:tcW w:type="dxa" w:w="22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Temporal protocol</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Which sequences, retries, cancellations, and callbacks are valid?</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State machines, interface automata, trace monitors</w:t>
            </w:r>
          </w:p>
        </w:tc>
      </w:tr>
      <w:tr>
        <w:trPr>
          <w:cantSplit/>
        </w:trPr>
        <w:tc>
          <w:tcPr>
            <w:tcW w:type="dxa" w:w="22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Effects</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Which files, networks, APIs, actuators, or records may change?</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Capability broker, sandbox, effect receipts</w:t>
            </w:r>
          </w:p>
        </w:tc>
      </w:tr>
      <w:tr>
        <w:trPr>
          <w:cantSplit/>
        </w:trPr>
        <w:tc>
          <w:tcPr>
            <w:tcW w:type="dxa" w:w="22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Authority</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What powers may be requested, delegated, or composed?</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Capability lattice, reference monitor</w:t>
            </w:r>
          </w:p>
        </w:tc>
      </w:tr>
      <w:tr>
        <w:trPr>
          <w:cantSplit/>
        </w:trPr>
        <w:tc>
          <w:tcPr>
            <w:tcW w:type="dxa" w:w="22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State</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What is owned, durable, shareable, migratable, and deletable?</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Schema registry, transactions, snapshots</w:t>
            </w:r>
          </w:p>
        </w:tc>
      </w:tr>
      <w:tr>
        <w:trPr>
          <w:cantSplit/>
        </w:trPr>
        <w:tc>
          <w:tcPr>
            <w:tcW w:type="dxa" w:w="22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Resources</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What are the compute, token, time, energy, and spend limits?</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Quotas, schedulers, budget monitors</w:t>
            </w:r>
          </w:p>
        </w:tc>
      </w:tr>
      <w:tr>
        <w:trPr>
          <w:cantSplit/>
        </w:trPr>
        <w:tc>
          <w:tcPr>
            <w:tcW w:type="dxa" w:w="22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Failure semantics</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How are partial results, uncertainty, refusal, and retry represented?</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Typed outcomes, circuit breakers</w:t>
            </w:r>
          </w:p>
        </w:tc>
      </w:tr>
      <w:tr>
        <w:trPr>
          <w:cantSplit/>
        </w:trPr>
        <w:tc>
          <w:tcPr>
            <w:tcW w:type="dxa" w:w="22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Observability</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Which traces and identifiers are mandatory without exposing private reasoning?</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Structured events, signed logs</w:t>
            </w:r>
          </w:p>
        </w:tc>
      </w:tr>
      <w:tr>
        <w:trPr>
          <w:cantSplit/>
        </w:trPr>
        <w:tc>
          <w:tcPr>
            <w:tcW w:type="dxa" w:w="22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Uncertainty</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What does confidence mean and how is it evaluated?</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Calibration tests, conformal or empirical intervals</w:t>
            </w:r>
          </w:p>
        </w:tc>
      </w:tr>
      <w:tr>
        <w:trPr>
          <w:cantSplit/>
        </w:trPr>
        <w:tc>
          <w:tcPr>
            <w:tcW w:type="dxa" w:w="22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Security and privacy</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Which data classes and trust zones are permitted?</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Information-flow policy, redaction, access controls</w:t>
            </w:r>
          </w:p>
        </w:tc>
      </w:tr>
    </w:tbl>
    <w:bookmarkEnd w:id="48"/>
    <w:bookmarkStart w:id="49" w:name="contracts-should-not-contain-domain-work"/>
    <w:p>
      <w:pPr>
        <w:pStyle w:val="Heading2"/>
        <w:widowControl w:val="1"/>
      </w:pPr>
      <w:r>
        <w:rPr>
          <w:rStyle w:val="SectionNumber"/>
        </w:rPr>
        <w:t xml:space="preserve">5.3</w:t>
      </w:r>
      <w:r>
        <w:tab/>
      </w:r>
      <w:r>
        <w:t xml:space="preserve">Contracts should not contain domain work</w:t>
      </w:r>
    </w:p>
    <w:p>
      <w:pPr>
        <w:pStyle w:val="FirstParagraph"/>
        <w:widowControl w:val="1"/>
      </w:pPr>
      <w:r>
        <w:rPr>
          <w:rFonts w:ascii="Noto Serif" w:hAnsi="Noto Serif" w:eastAsia="Noto Serif"/>
          <w:color w:val="1D2833"/>
          <w:sz w:val="20"/>
        </w:rPr>
        <w:t xml:space="preserve">The abstraction layer should not perform the capability’s substantive work. Otherwise implementations cannot be meaningfully replaced because the old behavior remains embedded in the interface. A planner contract should not contain a hidden planner; a memory contract should not contain a hidden retrieval heuristic.</w:t>
      </w:r>
    </w:p>
    <w:p>
      <w:pPr>
        <w:pStyle w:val="BodyText"/>
        <w:widowControl w:val="1"/>
      </w:pPr>
      <w:r>
        <w:rPr>
          <w:rFonts w:ascii="Noto Serif" w:hAnsi="Noto Serif" w:eastAsia="Noto Serif"/>
          <w:color w:val="1D2833"/>
          <w:sz w:val="20"/>
        </w:rPr>
        <w:t xml:space="preserve">However,</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no domain work</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does not mean</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no executable logic.</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The field boundary may validate requests, attenuate authority, enforce budgets, normalize representations, route to an implementation, verify output structure, emit telemetry, and reject violations. These are mediation functions. The distinction is:</w:t>
      </w:r>
    </w:p>
    <w:p>
      <w:pPr>
        <w:pStyle w:val="Compact"/>
        <w:numPr>
          <w:ilvl w:val="0"/>
          <w:numId w:val="1013"/>
        </w:numPr>
        <w:widowControl w:val="1"/>
      </w:pPr>
      <w:r>
        <w:rPr>
          <w:rFonts w:ascii="Noto Serif" w:hAnsi="Noto Serif" w:eastAsia="Noto Serif"/>
          <w:b/>
          <w:bCs/>
          <w:color w:val="1D2833"/>
          <w:sz w:val="19"/>
        </w:rPr>
        <w:t xml:space="preserve">domain work:</w:t>
      </w:r>
      <w:r>
        <w:rPr>
          <w:rFonts w:ascii="Noto Serif" w:hAnsi="Noto Serif" w:eastAsia="Noto Serif"/>
          <w:color w:val="1D2833"/>
          <w:sz w:val="19"/>
        </w:rPr>
        <w:t xml:space="preserve"> </w:t>
      </w:r>
      <w:r>
        <w:rPr>
          <w:rFonts w:ascii="Noto Serif" w:hAnsi="Noto Serif" w:eastAsia="Noto Serif"/>
          <w:color w:val="1D2833"/>
          <w:sz w:val="19"/>
        </w:rPr>
        <w:t xml:space="preserve">solving the planning, retrieval, synthesis, or control problem;</w:t>
      </w:r>
    </w:p>
    <w:p>
      <w:pPr>
        <w:pStyle w:val="Compact"/>
        <w:numPr>
          <w:ilvl w:val="0"/>
          <w:numId w:val="1013"/>
        </w:numPr>
        <w:widowControl w:val="1"/>
      </w:pPr>
      <w:r>
        <w:rPr>
          <w:rFonts w:ascii="Noto Serif" w:hAnsi="Noto Serif" w:eastAsia="Noto Serif"/>
          <w:b/>
          <w:bCs/>
          <w:color w:val="1D2833"/>
          <w:sz w:val="19"/>
        </w:rPr>
        <w:t xml:space="preserve">constitutional mediation:</w:t>
      </w:r>
      <w:r>
        <w:rPr>
          <w:rFonts w:ascii="Noto Serif" w:hAnsi="Noto Serif" w:eastAsia="Noto Serif"/>
          <w:color w:val="1D2833"/>
          <w:sz w:val="19"/>
        </w:rPr>
        <w:t xml:space="preserve"> </w:t>
      </w:r>
      <w:r>
        <w:rPr>
          <w:rFonts w:ascii="Noto Serif" w:hAnsi="Noto Serif" w:eastAsia="Noto Serif"/>
          <w:color w:val="1D2833"/>
          <w:sz w:val="19"/>
        </w:rPr>
        <w:t xml:space="preserve">ensuring that whichever implementation performs the work does so under the field’s rules.</w:t>
      </w:r>
    </w:p>
    <w:bookmarkEnd w:id="49"/>
    <w:bookmarkStart w:id="50" w:name="contract-refinement-and-substitutability"/>
    <w:p>
      <w:pPr>
        <w:pStyle w:val="Heading2"/>
        <w:widowControl w:val="1"/>
      </w:pPr>
      <w:r>
        <w:rPr>
          <w:rStyle w:val="SectionNumber"/>
        </w:rPr>
        <w:t xml:space="preserve">5.4</w:t>
      </w:r>
      <w:r>
        <w:tab/>
      </w:r>
      <w:r>
        <w:t xml:space="preserve">Contract refinement and substitutability</w:t>
      </w:r>
    </w:p>
    <w:p>
      <w:pPr>
        <w:pStyle w:val="FirstParagraph"/>
        <w:widowControl w:val="1"/>
      </w:pPr>
      <w:r>
        <w:rPr>
          <w:rFonts w:ascii="Noto Serif" w:hAnsi="Noto Serif" w:eastAsia="Noto Serif"/>
          <w:color w:val="1D2833"/>
          <w:sz w:val="20"/>
        </w:rPr>
        <w:t xml:space="preserve">A replacement should preserve the guarantees on which callers rely. In the spirit of behavioral subtyping [24], a candidate should not strengthen caller preconditions, weaken promised postconditions, introduce undeclared effects, or alter failure meanings within the same compatible contract version.</w:t>
      </w:r>
    </w:p>
    <w:p>
      <w:pPr>
        <w:pStyle w:val="BodyText"/>
        <w:widowControl w:val="1"/>
      </w:pPr>
      <w:r>
        <w:rPr>
          <w:rFonts w:ascii="Noto Serif" w:hAnsi="Noto Serif" w:eastAsia="Noto Serif"/>
          <w:color w:val="1D2833"/>
          <w:sz w:val="20"/>
        </w:rPr>
        <w:t xml:space="preserve">Exact substitutability is often too strong for stochastic systems. SCF therefore separates:</w:t>
      </w:r>
    </w:p>
    <w:p>
      <w:pPr>
        <w:pStyle w:val="Compact"/>
        <w:numPr>
          <w:ilvl w:val="0"/>
          <w:numId w:val="1014"/>
        </w:numPr>
        <w:widowControl w:val="1"/>
      </w:pPr>
      <w:r>
        <w:rPr>
          <w:rFonts w:ascii="Noto Serif" w:hAnsi="Noto Serif" w:eastAsia="Noto Serif"/>
          <w:b/>
          <w:bCs/>
          <w:color w:val="1D2833"/>
          <w:sz w:val="19"/>
        </w:rPr>
        <w:t xml:space="preserve">hard semantic compatibility:</w:t>
      </w:r>
      <w:r>
        <w:rPr>
          <w:rFonts w:ascii="Noto Serif" w:hAnsi="Noto Serif" w:eastAsia="Noto Serif"/>
          <w:color w:val="1D2833"/>
          <w:sz w:val="19"/>
        </w:rPr>
        <w:t xml:space="preserve"> </w:t>
      </w:r>
      <w:r>
        <w:rPr>
          <w:rFonts w:ascii="Noto Serif" w:hAnsi="Noto Serif" w:eastAsia="Noto Serif"/>
          <w:color w:val="1D2833"/>
          <w:sz w:val="19"/>
        </w:rPr>
        <w:t xml:space="preserve">invariants, authority, effect classes, protocol, state, and failure meanings;</w:t>
      </w:r>
    </w:p>
    <w:p>
      <w:pPr>
        <w:pStyle w:val="Compact"/>
        <w:numPr>
          <w:ilvl w:val="0"/>
          <w:numId w:val="1014"/>
        </w:numPr>
        <w:widowControl w:val="1"/>
      </w:pPr>
      <w:r>
        <w:rPr>
          <w:rFonts w:ascii="Noto Serif" w:hAnsi="Noto Serif" w:eastAsia="Noto Serif"/>
          <w:b/>
          <w:bCs/>
          <w:color w:val="1D2833"/>
          <w:sz w:val="19"/>
        </w:rPr>
        <w:t xml:space="preserve">statistical behavioral envelopes:</w:t>
      </w:r>
      <w:r>
        <w:rPr>
          <w:rFonts w:ascii="Noto Serif" w:hAnsi="Noto Serif" w:eastAsia="Noto Serif"/>
          <w:color w:val="1D2833"/>
          <w:sz w:val="19"/>
        </w:rPr>
        <w:t xml:space="preserve"> </w:t>
      </w:r>
      <w:r>
        <w:rPr>
          <w:rFonts w:ascii="Noto Serif" w:hAnsi="Noto Serif" w:eastAsia="Noto Serif"/>
          <w:color w:val="1D2833"/>
          <w:sz w:val="19"/>
        </w:rPr>
        <w:t xml:space="preserve">accuracy, calibration, latency, cost, and error distributions over declared profiles;</w:t>
      </w:r>
    </w:p>
    <w:p>
      <w:pPr>
        <w:pStyle w:val="Compact"/>
        <w:numPr>
          <w:ilvl w:val="0"/>
          <w:numId w:val="1014"/>
        </w:numPr>
        <w:widowControl w:val="1"/>
      </w:pPr>
      <w:r>
        <w:rPr>
          <w:rFonts w:ascii="Noto Serif" w:hAnsi="Noto Serif" w:eastAsia="Noto Serif"/>
          <w:b/>
          <w:bCs/>
          <w:color w:val="1D2833"/>
          <w:sz w:val="19"/>
        </w:rPr>
        <w:t xml:space="preserve">operational policy:</w:t>
      </w:r>
      <w:r>
        <w:rPr>
          <w:rFonts w:ascii="Noto Serif" w:hAnsi="Noto Serif" w:eastAsia="Noto Serif"/>
          <w:color w:val="1D2833"/>
          <w:sz w:val="19"/>
        </w:rPr>
        <w:t xml:space="preserve"> </w:t>
      </w:r>
      <w:r>
        <w:rPr>
          <w:rFonts w:ascii="Noto Serif" w:hAnsi="Noto Serif" w:eastAsia="Noto Serif"/>
          <w:color w:val="1D2833"/>
          <w:sz w:val="19"/>
        </w:rPr>
        <w:t xml:space="preserve">which tradeoffs are acceptable for a particular deployment.</w:t>
      </w:r>
    </w:p>
    <w:p>
      <w:pPr>
        <w:pStyle w:val="FirstParagraph"/>
        <w:widowControl w:val="1"/>
      </w:pPr>
      <w:r>
        <w:rPr>
          <w:rFonts w:ascii="Noto Serif" w:hAnsi="Noto Serif" w:eastAsia="Noto Serif"/>
          <w:color w:val="1D2833"/>
          <w:sz w:val="20"/>
        </w:rPr>
        <w:t xml:space="preserve">This prevents performance variation from being mistaken for a breaking semantic change while still making it visible and governable.</w:t>
      </w:r>
    </w:p>
    <w:bookmarkEnd w:id="50"/>
    <w:bookmarkEnd w:id="51"/>
    <w:bookmarkStart w:id="57" w:name="X7602b9b6d6ef2ab0b9c60c299a8a3b71ab5fe67"/>
    <w:p>
      <w:pPr>
        <w:pStyle w:val="Heading1"/>
        <w:widowControl w:val="1"/>
        <w:pBdr>
          <w:bottom w:val="single" w:sz="7" w:space="4" w:color="E8EEF3"/>
        </w:pBdr>
      </w:pPr>
      <w:r>
        <w:rPr>
          <w:rStyle w:val="SectionNumber"/>
        </w:rPr>
        <w:t xml:space="preserve">6</w:t>
      </w:r>
      <w:r>
        <w:tab/>
      </w:r>
      <w:r>
        <w:t xml:space="preserve">Implementation model, state, and granularity</w:t>
      </w:r>
    </w:p>
    <w:bookmarkStart w:id="52" w:name="implementation-heterogeneity"/>
    <w:p>
      <w:pPr>
        <w:pStyle w:val="Heading2"/>
        <w:widowControl w:val="1"/>
      </w:pPr>
      <w:r>
        <w:rPr>
          <w:rStyle w:val="SectionNumber"/>
        </w:rPr>
        <w:t xml:space="preserve">6.1</w:t>
      </w:r>
      <w:r>
        <w:tab/>
      </w:r>
      <w:r>
        <w:t xml:space="preserve">Implementation heterogeneity</w:t>
      </w:r>
    </w:p>
    <w:p>
      <w:pPr>
        <w:pStyle w:val="FirstParagraph"/>
        <w:widowControl w:val="1"/>
      </w:pPr>
      <w:r>
        <w:rPr>
          <w:rFonts w:ascii="Noto Serif" w:hAnsi="Noto Serif" w:eastAsia="Noto Serif"/>
          <w:color w:val="1D2833"/>
          <w:sz w:val="20"/>
        </w:rPr>
        <w:t xml:space="preserve">A field is intentionally neutral about its realization. A reasoning field might be implemented by a prompt, a fine-tuned model, a symbolic planner, a search procedure, a remote service, or a committee of agents. A memory field may combine an event log, vector index, summarizer, and retrieval policy. A tool-routing field may be a learned policy wrapped by deterministic authorization.</w:t>
      </w:r>
    </w:p>
    <w:p>
      <w:pPr>
        <w:pStyle w:val="BodyText"/>
        <w:widowControl w:val="1"/>
      </w:pPr>
      <w:r>
        <w:rPr>
          <w:rFonts w:ascii="Noto Serif" w:hAnsi="Noto Serif" w:eastAsia="Noto Serif"/>
          <w:color w:val="1D2833"/>
          <w:sz w:val="20"/>
        </w:rPr>
        <w:t xml:space="preserve">This heterogeneity is essential for self-improvement. It allows the search process to cross representational boundaries rather than merely tune parameters within one design. It also means that the registry must identify more than a package version: it must capture the complete operational closure required to reproduce or characterize behavior.</w:t>
      </w:r>
    </w:p>
    <w:bookmarkEnd w:id="52"/>
    <w:bookmarkStart w:id="53" w:name="implementation-bundles"/>
    <w:p>
      <w:pPr>
        <w:pStyle w:val="Heading2"/>
        <w:widowControl w:val="1"/>
      </w:pPr>
      <w:r>
        <w:rPr>
          <w:rStyle w:val="SectionNumber"/>
        </w:rPr>
        <w:t xml:space="preserve">6.2</w:t>
      </w:r>
      <w:r>
        <w:tab/>
      </w:r>
      <w:r>
        <w:t xml:space="preserve">Implementation bundles</w:t>
      </w:r>
    </w:p>
    <w:p>
      <w:pPr>
        <w:pStyle w:val="FirstParagraph"/>
        <w:widowControl w:val="1"/>
      </w:pPr>
      <w:r>
        <w:rPr>
          <w:rFonts w:ascii="Noto Serif" w:hAnsi="Noto Serif" w:eastAsia="Noto Serif"/>
          <w:color w:val="1D2833"/>
          <w:sz w:val="20"/>
        </w:rPr>
        <w:t xml:space="preserve">Neural systems do not always factor cleanly. A single weight update may change planning, code generation, tool selection, and evaluation behavior simultaneously. Forcing a fictitious physical decomposition would make evidence misleading.</w:t>
      </w:r>
    </w:p>
    <w:p>
      <w:pPr>
        <w:pStyle w:val="BodyText"/>
        <w:widowControl w:val="1"/>
      </w:pPr>
      <w:r>
        <w:rPr>
          <w:rFonts w:ascii="Noto Serif" w:hAnsi="Noto Serif" w:eastAsia="Noto Serif"/>
          <w:color w:val="1D2833"/>
          <w:sz w:val="20"/>
        </w:rPr>
        <w:t xml:space="preserve">SCF supports an</w:t>
      </w:r>
      <w:r>
        <w:rPr>
          <w:rFonts w:ascii="Noto Serif" w:hAnsi="Noto Serif" w:eastAsia="Noto Serif"/>
          <w:color w:val="1D2833"/>
          <w:sz w:val="20"/>
        </w:rPr>
        <w:t xml:space="preserve"> </w:t>
      </w:r>
      <w:r>
        <w:rPr>
          <w:rFonts w:ascii="Noto Serif" w:hAnsi="Noto Serif" w:eastAsia="Noto Serif"/>
          <w:b/>
          <w:bCs/>
          <w:color w:val="1D2833"/>
          <w:sz w:val="20"/>
        </w:rPr>
        <w:t xml:space="preserve">implementation bundle</w:t>
      </w:r>
      <w:r>
        <w:rPr>
          <w:rFonts w:ascii="Noto Serif" w:hAnsi="Noto Serif" w:eastAsia="Noto Serif"/>
          <w:color w:val="1D2833"/>
          <w:sz w:val="20"/>
        </w:rPr>
        <w:t xml:space="preserve">: one immutable revision that implements multiple field contracts atomically. The bundle declares:</w:t>
      </w:r>
    </w:p>
    <w:p>
      <w:pPr>
        <w:pStyle w:val="Compact"/>
        <w:numPr>
          <w:ilvl w:val="0"/>
          <w:numId w:val="1015"/>
        </w:numPr>
        <w:widowControl w:val="1"/>
      </w:pPr>
      <w:r>
        <w:rPr>
          <w:rFonts w:ascii="Noto Serif" w:hAnsi="Noto Serif" w:eastAsia="Noto Serif"/>
          <w:color w:val="1D2833"/>
          <w:sz w:val="19"/>
        </w:rPr>
        <w:t xml:space="preserve">the fields and contract versions it implements;</w:t>
      </w:r>
    </w:p>
    <w:p>
      <w:pPr>
        <w:pStyle w:val="Compact"/>
        <w:numPr>
          <w:ilvl w:val="0"/>
          <w:numId w:val="1015"/>
        </w:numPr>
        <w:widowControl w:val="1"/>
      </w:pPr>
      <w:r>
        <w:rPr>
          <w:rFonts w:ascii="Noto Serif" w:hAnsi="Noto Serif" w:eastAsia="Noto Serif"/>
          <w:color w:val="1D2833"/>
          <w:sz w:val="19"/>
        </w:rPr>
        <w:t xml:space="preserve">shared weights and internal dependencies;</w:t>
      </w:r>
    </w:p>
    <w:p>
      <w:pPr>
        <w:pStyle w:val="Compact"/>
        <w:numPr>
          <w:ilvl w:val="0"/>
          <w:numId w:val="1015"/>
        </w:numPr>
        <w:widowControl w:val="1"/>
      </w:pPr>
      <w:r>
        <w:rPr>
          <w:rFonts w:ascii="Noto Serif" w:hAnsi="Noto Serif" w:eastAsia="Noto Serif"/>
          <w:color w:val="1D2833"/>
          <w:sz w:val="19"/>
        </w:rPr>
        <w:t xml:space="preserve">which field-level observables remain available;</w:t>
      </w:r>
    </w:p>
    <w:p>
      <w:pPr>
        <w:pStyle w:val="Compact"/>
        <w:numPr>
          <w:ilvl w:val="0"/>
          <w:numId w:val="1015"/>
        </w:numPr>
        <w:widowControl w:val="1"/>
      </w:pPr>
      <w:r>
        <w:rPr>
          <w:rFonts w:ascii="Noto Serif" w:hAnsi="Noto Serif" w:eastAsia="Noto Serif"/>
          <w:color w:val="1D2833"/>
          <w:sz w:val="19"/>
        </w:rPr>
        <w:t xml:space="preserve">the joint qualification suite;</w:t>
      </w:r>
    </w:p>
    <w:p>
      <w:pPr>
        <w:pStyle w:val="Compact"/>
        <w:numPr>
          <w:ilvl w:val="0"/>
          <w:numId w:val="1015"/>
        </w:numPr>
        <w:widowControl w:val="1"/>
      </w:pPr>
      <w:r>
        <w:rPr>
          <w:rFonts w:ascii="Noto Serif" w:hAnsi="Noto Serif" w:eastAsia="Noto Serif"/>
          <w:color w:val="1D2833"/>
          <w:sz w:val="19"/>
        </w:rPr>
        <w:t xml:space="preserve">the blast radius of activation and rollback.</w:t>
      </w:r>
    </w:p>
    <w:p>
      <w:pPr>
        <w:pStyle w:val="FirstParagraph"/>
        <w:widowControl w:val="1"/>
      </w:pPr>
      <w:r>
        <w:rPr>
          <w:rFonts w:ascii="Noto Serif" w:hAnsi="Noto Serif" w:eastAsia="Noto Serif"/>
          <w:color w:val="1D2833"/>
          <w:sz w:val="20"/>
        </w:rPr>
        <w:t xml:space="preserve">A bundle may still expose field-level boundaries to callers even though its internals are fused. Any update to shared weights invalidates qualification claims for every affected field unless the update is demonstrably behavior-preserving under the relevant contracts.</w:t>
      </w:r>
    </w:p>
    <w:bookmarkEnd w:id="53"/>
    <w:bookmarkStart w:id="54" w:name="field-granularity"/>
    <w:p>
      <w:pPr>
        <w:pStyle w:val="Heading2"/>
        <w:widowControl w:val="1"/>
      </w:pPr>
      <w:r>
        <w:rPr>
          <w:rStyle w:val="SectionNumber"/>
        </w:rPr>
        <w:t xml:space="preserve">6.3</w:t>
      </w:r>
      <w:r>
        <w:tab/>
      </w:r>
      <w:r>
        <w:t xml:space="preserve">Field granularity</w:t>
      </w:r>
    </w:p>
    <w:p>
      <w:pPr>
        <w:pStyle w:val="FirstParagraph"/>
        <w:widowControl w:val="1"/>
      </w:pPr>
      <w:r>
        <w:rPr>
          <w:rFonts w:ascii="Noto Serif" w:hAnsi="Noto Serif" w:eastAsia="Noto Serif"/>
          <w:color w:val="1D2833"/>
          <w:sz w:val="20"/>
        </w:rPr>
        <w:t xml:space="preserve">Field boundaries should be chosen where there is a useful substitution and governance boundary, not merely where the code has a class. A candidate field is well-formed when it has:</w:t>
      </w:r>
    </w:p>
    <w:p>
      <w:pPr>
        <w:pStyle w:val="Compact"/>
        <w:numPr>
          <w:ilvl w:val="0"/>
          <w:numId w:val="1016"/>
        </w:numPr>
        <w:widowControl w:val="1"/>
      </w:pPr>
      <w:r>
        <w:rPr>
          <w:rFonts w:ascii="Noto Serif" w:hAnsi="Noto Serif" w:eastAsia="Noto Serif"/>
          <w:color w:val="1D2833"/>
          <w:sz w:val="19"/>
        </w:rPr>
        <w:t xml:space="preserve">a coherent semantic responsibility;</w:t>
      </w:r>
    </w:p>
    <w:p>
      <w:pPr>
        <w:pStyle w:val="Compact"/>
        <w:numPr>
          <w:ilvl w:val="0"/>
          <w:numId w:val="1016"/>
        </w:numPr>
        <w:widowControl w:val="1"/>
      </w:pPr>
      <w:r>
        <w:rPr>
          <w:rFonts w:ascii="Noto Serif" w:hAnsi="Noto Serif" w:eastAsia="Noto Serif"/>
          <w:color w:val="1D2833"/>
          <w:sz w:val="19"/>
        </w:rPr>
        <w:t xml:space="preserve">a contract that callers can use without knowing the implementation;</w:t>
      </w:r>
    </w:p>
    <w:p>
      <w:pPr>
        <w:pStyle w:val="Compact"/>
        <w:numPr>
          <w:ilvl w:val="0"/>
          <w:numId w:val="1016"/>
        </w:numPr>
        <w:widowControl w:val="1"/>
      </w:pPr>
      <w:r>
        <w:rPr>
          <w:rFonts w:ascii="Noto Serif" w:hAnsi="Noto Serif" w:eastAsia="Noto Serif"/>
          <w:color w:val="1D2833"/>
          <w:sz w:val="19"/>
        </w:rPr>
        <w:t xml:space="preserve">an independently meaningful evaluation portfolio;</w:t>
      </w:r>
    </w:p>
    <w:p>
      <w:pPr>
        <w:pStyle w:val="Compact"/>
        <w:numPr>
          <w:ilvl w:val="0"/>
          <w:numId w:val="1016"/>
        </w:numPr>
        <w:widowControl w:val="1"/>
      </w:pPr>
      <w:r>
        <w:rPr>
          <w:rFonts w:ascii="Noto Serif" w:hAnsi="Noto Serif" w:eastAsia="Noto Serif"/>
          <w:color w:val="1D2833"/>
          <w:sz w:val="19"/>
        </w:rPr>
        <w:t xml:space="preserve">bounded authority and effects;</w:t>
      </w:r>
    </w:p>
    <w:p>
      <w:pPr>
        <w:pStyle w:val="Compact"/>
        <w:numPr>
          <w:ilvl w:val="0"/>
          <w:numId w:val="1016"/>
        </w:numPr>
        <w:widowControl w:val="1"/>
      </w:pPr>
      <w:r>
        <w:rPr>
          <w:rFonts w:ascii="Noto Serif" w:hAnsi="Noto Serif" w:eastAsia="Noto Serif"/>
          <w:color w:val="1D2833"/>
          <w:sz w:val="19"/>
        </w:rPr>
        <w:t xml:space="preserve">identifiable state ownership;</w:t>
      </w:r>
    </w:p>
    <w:p>
      <w:pPr>
        <w:pStyle w:val="Compact"/>
        <w:numPr>
          <w:ilvl w:val="0"/>
          <w:numId w:val="1016"/>
        </w:numPr>
        <w:widowControl w:val="1"/>
      </w:pPr>
      <w:r>
        <w:rPr>
          <w:rFonts w:ascii="Noto Serif" w:hAnsi="Noto Serif" w:eastAsia="Noto Serif"/>
          <w:color w:val="1D2833"/>
          <w:sz w:val="19"/>
        </w:rPr>
        <w:t xml:space="preserve">a failure boundary worth containing;</w:t>
      </w:r>
    </w:p>
    <w:p>
      <w:pPr>
        <w:pStyle w:val="Compact"/>
        <w:numPr>
          <w:ilvl w:val="0"/>
          <w:numId w:val="1016"/>
        </w:numPr>
        <w:widowControl w:val="1"/>
      </w:pPr>
      <w:r>
        <w:rPr>
          <w:rFonts w:ascii="Noto Serif" w:hAnsi="Noto Serif" w:eastAsia="Noto Serif"/>
          <w:color w:val="1D2833"/>
          <w:sz w:val="19"/>
        </w:rPr>
        <w:t xml:space="preserve">sufficient reuse or independent evolution to justify registry overhead.</w:t>
      </w:r>
    </w:p>
    <w:p>
      <w:pPr>
        <w:pStyle w:val="FirstParagraph"/>
        <w:widowControl w:val="1"/>
      </w:pPr>
      <w:r>
        <w:rPr>
          <w:rFonts w:ascii="Noto Serif" w:hAnsi="Noto Serif" w:eastAsia="Noto Serif"/>
          <w:color w:val="1D2833"/>
          <w:sz w:val="20"/>
        </w:rPr>
        <w:t xml:space="preserve">Too-fine fields create orchestration cost, excessive qualification edges, and semantic fragmentation. Too-coarse fields make evaluation non-local, rollback destructive, and authority difficult to attenuate. Granularity is therefore an empirical design parameter. Field split and merge operations are constitutional changes because they alter dependency, state, and authority boundaries.</w:t>
      </w:r>
    </w:p>
    <w:bookmarkEnd w:id="54"/>
    <w:bookmarkStart w:id="55" w:name="state-classes"/>
    <w:p>
      <w:pPr>
        <w:pStyle w:val="Heading2"/>
        <w:widowControl w:val="1"/>
      </w:pPr>
      <w:r>
        <w:rPr>
          <w:rStyle w:val="SectionNumber"/>
        </w:rPr>
        <w:t xml:space="preserve">6.4</w:t>
      </w:r>
      <w:r>
        <w:tab/>
      </w:r>
      <w:r>
        <w:t xml:space="preserve">State classes</w:t>
      </w:r>
    </w:p>
    <w:p>
      <w:pPr>
        <w:pStyle w:val="FirstParagraph"/>
        <w:widowControl w:val="1"/>
      </w:pPr>
      <w:r>
        <w:rPr>
          <w:rFonts w:ascii="Noto Serif" w:hAnsi="Noto Serif" w:eastAsia="Noto Serif"/>
          <w:color w:val="1D2833"/>
          <w:sz w:val="20"/>
        </w:rPr>
        <w:t xml:space="preserve">SCF distinguishes at least four state classes:</w:t>
      </w:r>
    </w:p>
    <w:p>
      <w:pPr>
        <w:pStyle w:val="Compact"/>
        <w:numPr>
          <w:ilvl w:val="0"/>
          <w:numId w:val="1017"/>
        </w:numPr>
        <w:widowControl w:val="1"/>
      </w:pPr>
      <w:r>
        <w:rPr>
          <w:rFonts w:ascii="Noto Serif" w:hAnsi="Noto Serif" w:eastAsia="Noto Serif"/>
          <w:b/>
          <w:bCs/>
          <w:color w:val="1D2833"/>
          <w:sz w:val="19"/>
        </w:rPr>
        <w:t xml:space="preserve">Ephemeral execution state:</w:t>
      </w:r>
      <w:r>
        <w:rPr>
          <w:rFonts w:ascii="Noto Serif" w:hAnsi="Noto Serif" w:eastAsia="Noto Serif"/>
          <w:color w:val="1D2833"/>
          <w:sz w:val="19"/>
        </w:rPr>
        <w:t xml:space="preserve"> </w:t>
      </w:r>
      <w:r>
        <w:rPr>
          <w:rFonts w:ascii="Noto Serif" w:hAnsi="Noto Serif" w:eastAsia="Noto Serif"/>
          <w:color w:val="1D2833"/>
          <w:sz w:val="19"/>
        </w:rPr>
        <w:t xml:space="preserve">discarded at the end of a request; generally safe to replace.</w:t>
      </w:r>
    </w:p>
    <w:p>
      <w:pPr>
        <w:pStyle w:val="Compact"/>
        <w:numPr>
          <w:ilvl w:val="0"/>
          <w:numId w:val="1017"/>
        </w:numPr>
        <w:widowControl w:val="1"/>
      </w:pPr>
      <w:r>
        <w:rPr>
          <w:rFonts w:ascii="Noto Serif" w:hAnsi="Noto Serif" w:eastAsia="Noto Serif"/>
          <w:b/>
          <w:bCs/>
          <w:color w:val="1D2833"/>
          <w:sz w:val="19"/>
        </w:rPr>
        <w:t xml:space="preserve">Cache state:</w:t>
      </w:r>
      <w:r>
        <w:rPr>
          <w:rFonts w:ascii="Noto Serif" w:hAnsi="Noto Serif" w:eastAsia="Noto Serif"/>
          <w:color w:val="1D2833"/>
          <w:sz w:val="19"/>
        </w:rPr>
        <w:t xml:space="preserve"> </w:t>
      </w:r>
      <w:r>
        <w:rPr>
          <w:rFonts w:ascii="Noto Serif" w:hAnsi="Noto Serif" w:eastAsia="Noto Serif"/>
          <w:color w:val="1D2833"/>
          <w:sz w:val="19"/>
        </w:rPr>
        <w:t xml:space="preserve">reconstructible but performance-relevant; may be invalidated without semantic loss.</w:t>
      </w:r>
    </w:p>
    <w:p>
      <w:pPr>
        <w:pStyle w:val="Compact"/>
        <w:numPr>
          <w:ilvl w:val="0"/>
          <w:numId w:val="1017"/>
        </w:numPr>
        <w:widowControl w:val="1"/>
      </w:pPr>
      <w:r>
        <w:rPr>
          <w:rFonts w:ascii="Noto Serif" w:hAnsi="Noto Serif" w:eastAsia="Noto Serif"/>
          <w:b/>
          <w:bCs/>
          <w:color w:val="1D2833"/>
          <w:sz w:val="19"/>
        </w:rPr>
        <w:t xml:space="preserve">Durable field state:</w:t>
      </w:r>
      <w:r>
        <w:rPr>
          <w:rFonts w:ascii="Noto Serif" w:hAnsi="Noto Serif" w:eastAsia="Noto Serif"/>
          <w:color w:val="1D2833"/>
          <w:sz w:val="19"/>
        </w:rPr>
        <w:t xml:space="preserve"> </w:t>
      </w:r>
      <w:r>
        <w:rPr>
          <w:rFonts w:ascii="Noto Serif" w:hAnsi="Noto Serif" w:eastAsia="Noto Serif"/>
          <w:color w:val="1D2833"/>
          <w:sz w:val="19"/>
        </w:rPr>
        <w:t xml:space="preserve">part of the capability’s continuity, such as memory records, learned indexes, policy histories, or task graphs.</w:t>
      </w:r>
    </w:p>
    <w:p>
      <w:pPr>
        <w:pStyle w:val="Compact"/>
        <w:numPr>
          <w:ilvl w:val="0"/>
          <w:numId w:val="1017"/>
        </w:numPr>
        <w:widowControl w:val="1"/>
      </w:pPr>
      <w:r>
        <w:rPr>
          <w:rFonts w:ascii="Noto Serif" w:hAnsi="Noto Serif" w:eastAsia="Noto Serif"/>
          <w:b/>
          <w:bCs/>
          <w:color w:val="1D2833"/>
          <w:sz w:val="19"/>
        </w:rPr>
        <w:t xml:space="preserve">External effect state:</w:t>
      </w:r>
      <w:r>
        <w:rPr>
          <w:rFonts w:ascii="Noto Serif" w:hAnsi="Noto Serif" w:eastAsia="Noto Serif"/>
          <w:color w:val="1D2833"/>
          <w:sz w:val="19"/>
        </w:rPr>
        <w:t xml:space="preserve"> </w:t>
      </w:r>
      <w:r>
        <w:rPr>
          <w:rFonts w:ascii="Noto Serif" w:hAnsi="Noto Serif" w:eastAsia="Noto Serif"/>
          <w:color w:val="1D2833"/>
          <w:sz w:val="19"/>
        </w:rPr>
        <w:t xml:space="preserve">changes outside the field, such as files, financial transactions, messages, or physical actions.</w:t>
      </w:r>
    </w:p>
    <w:p>
      <w:pPr>
        <w:pStyle w:val="FirstParagraph"/>
        <w:widowControl w:val="1"/>
      </w:pPr>
      <w:r>
        <w:rPr>
          <w:rFonts w:ascii="Noto Serif" w:hAnsi="Noto Serif" w:eastAsia="Noto Serif"/>
          <w:color w:val="1D2833"/>
          <w:sz w:val="20"/>
        </w:rPr>
        <w:t xml:space="preserve">The state contract identifies the owner, schema, retention, privacy class, consistency model, and permitted migrations for each class. External effect state cannot be</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rolled back</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by swapping an implementation. It requires prevention, escrow, two-phase commitment, compensation, or human intervention.</w:t>
      </w:r>
    </w:p>
    <w:bookmarkEnd w:id="55"/>
    <w:bookmarkStart w:id="56" w:name="adaptation-envelopes"/>
    <w:p>
      <w:pPr>
        <w:pStyle w:val="Heading2"/>
        <w:widowControl w:val="1"/>
      </w:pPr>
      <w:r>
        <w:rPr>
          <w:rStyle w:val="SectionNumber"/>
        </w:rPr>
        <w:t xml:space="preserve">6.5</w:t>
      </w:r>
      <w:r>
        <w:tab/>
      </w:r>
      <w:r>
        <w:t xml:space="preserve">Adaptation envelopes</w:t>
      </w:r>
    </w:p>
    <w:p>
      <w:pPr>
        <w:pStyle w:val="FirstParagraph"/>
        <w:widowControl w:val="1"/>
      </w:pPr>
      <w:r>
        <w:rPr>
          <w:rFonts w:ascii="Noto Serif" w:hAnsi="Noto Serif" w:eastAsia="Noto Serif"/>
          <w:color w:val="1D2833"/>
          <w:sz w:val="20"/>
        </w:rPr>
        <w:t xml:space="preserve">Some implementations adapt online. Treating every gradient step or cache update as a new release may be impractical, but ignoring adaptation destroys artifact identity. A field may therefore define an adaptation envelope containing:</w:t>
      </w:r>
    </w:p>
    <w:p>
      <w:pPr>
        <w:pStyle w:val="Compact"/>
        <w:numPr>
          <w:ilvl w:val="0"/>
          <w:numId w:val="1018"/>
        </w:numPr>
        <w:widowControl w:val="1"/>
      </w:pPr>
      <w:r>
        <w:rPr>
          <w:rFonts w:ascii="Noto Serif" w:hAnsi="Noto Serif" w:eastAsia="Noto Serif"/>
          <w:color w:val="1D2833"/>
          <w:sz w:val="19"/>
        </w:rPr>
        <w:t xml:space="preserve">parameters allowed to change;</w:t>
      </w:r>
    </w:p>
    <w:p>
      <w:pPr>
        <w:pStyle w:val="Compact"/>
        <w:numPr>
          <w:ilvl w:val="0"/>
          <w:numId w:val="1018"/>
        </w:numPr>
        <w:widowControl w:val="1"/>
      </w:pPr>
      <w:r>
        <w:rPr>
          <w:rFonts w:ascii="Noto Serif" w:hAnsi="Noto Serif" w:eastAsia="Noto Serif"/>
          <w:color w:val="1D2833"/>
          <w:sz w:val="19"/>
        </w:rPr>
        <w:t xml:space="preserve">bounded update magnitude or policy class;</w:t>
      </w:r>
    </w:p>
    <w:p>
      <w:pPr>
        <w:pStyle w:val="Compact"/>
        <w:numPr>
          <w:ilvl w:val="0"/>
          <w:numId w:val="1018"/>
        </w:numPr>
        <w:widowControl w:val="1"/>
      </w:pPr>
      <w:r>
        <w:rPr>
          <w:rFonts w:ascii="Noto Serif" w:hAnsi="Noto Serif" w:eastAsia="Noto Serif"/>
          <w:color w:val="1D2833"/>
          <w:sz w:val="19"/>
        </w:rPr>
        <w:t xml:space="preserve">approved data sources;</w:t>
      </w:r>
    </w:p>
    <w:p>
      <w:pPr>
        <w:pStyle w:val="Compact"/>
        <w:numPr>
          <w:ilvl w:val="0"/>
          <w:numId w:val="1018"/>
        </w:numPr>
        <w:widowControl w:val="1"/>
      </w:pPr>
      <w:r>
        <w:rPr>
          <w:rFonts w:ascii="Noto Serif" w:hAnsi="Noto Serif" w:eastAsia="Noto Serif"/>
          <w:color w:val="1D2833"/>
          <w:sz w:val="19"/>
        </w:rPr>
        <w:t xml:space="preserve">update frequency and budget;</w:t>
      </w:r>
    </w:p>
    <w:p>
      <w:pPr>
        <w:pStyle w:val="Compact"/>
        <w:numPr>
          <w:ilvl w:val="0"/>
          <w:numId w:val="1018"/>
        </w:numPr>
        <w:widowControl w:val="1"/>
      </w:pPr>
      <w:r>
        <w:rPr>
          <w:rFonts w:ascii="Noto Serif" w:hAnsi="Noto Serif" w:eastAsia="Noto Serif"/>
          <w:color w:val="1D2833"/>
          <w:sz w:val="19"/>
        </w:rPr>
        <w:t xml:space="preserve">invariant checks before commit;</w:t>
      </w:r>
    </w:p>
    <w:p>
      <w:pPr>
        <w:pStyle w:val="Compact"/>
        <w:numPr>
          <w:ilvl w:val="0"/>
          <w:numId w:val="1018"/>
        </w:numPr>
        <w:widowControl w:val="1"/>
      </w:pPr>
      <w:r>
        <w:rPr>
          <w:rFonts w:ascii="Noto Serif" w:hAnsi="Noto Serif" w:eastAsia="Noto Serif"/>
          <w:color w:val="1D2833"/>
          <w:sz w:val="19"/>
        </w:rPr>
        <w:t xml:space="preserve">telemetry and checkpoint requirements;</w:t>
      </w:r>
    </w:p>
    <w:p>
      <w:pPr>
        <w:pStyle w:val="Compact"/>
        <w:numPr>
          <w:ilvl w:val="0"/>
          <w:numId w:val="1018"/>
        </w:numPr>
        <w:widowControl w:val="1"/>
      </w:pPr>
      <w:r>
        <w:rPr>
          <w:rFonts w:ascii="Noto Serif" w:hAnsi="Noto Serif" w:eastAsia="Noto Serif"/>
          <w:color w:val="1D2833"/>
          <w:sz w:val="19"/>
        </w:rPr>
        <w:t xml:space="preserve">conditions that force a new registered revision.</w:t>
      </w:r>
    </w:p>
    <w:p>
      <w:pPr>
        <w:pStyle w:val="FirstParagraph"/>
        <w:widowControl w:val="1"/>
      </w:pPr>
      <w:r>
        <w:rPr>
          <w:rFonts w:ascii="Noto Serif" w:hAnsi="Noto Serif" w:eastAsia="Noto Serif"/>
          <w:color w:val="1D2833"/>
          <w:sz w:val="20"/>
        </w:rPr>
        <w:t xml:space="preserve">The envelope itself is part of the contract and qualification evidence. Behavior outside it is an unregistered implementation.</w:t>
      </w:r>
    </w:p>
    <w:bookmarkEnd w:id="56"/>
    <w:bookmarkEnd w:id="57"/>
    <w:bookmarkStart w:id="66" w:name="the-evidence-registry"/>
    <w:p>
      <w:pPr>
        <w:pStyle w:val="Heading1"/>
        <w:widowControl w:val="1"/>
        <w:pBdr>
          <w:bottom w:val="single" w:sz="7" w:space="4" w:color="E8EEF3"/>
        </w:pBdr>
      </w:pPr>
      <w:r>
        <w:rPr>
          <w:rStyle w:val="SectionNumber"/>
        </w:rPr>
        <w:t xml:space="preserve">7</w:t>
      </w:r>
      <w:r>
        <w:tab/>
      </w:r>
      <w:r>
        <w:t xml:space="preserve">The evidence registry</w:t>
      </w:r>
    </w:p>
    <w:bookmarkStart w:id="61" w:name="registry-as-a-typed-evidence-graph"/>
    <w:p>
      <w:pPr>
        <w:pStyle w:val="Heading2"/>
        <w:widowControl w:val="1"/>
      </w:pPr>
      <w:r>
        <w:rPr>
          <w:rStyle w:val="SectionNumber"/>
        </w:rPr>
        <w:t xml:space="preserve">7.1</w:t>
      </w:r>
      <w:r>
        <w:tab/>
      </w:r>
      <w:r>
        <w:t xml:space="preserve">Registry as a typed evidence graph</w:t>
      </w:r>
    </w:p>
    <w:p>
      <w:pPr>
        <w:pStyle w:val="FirstParagraph"/>
        <w:widowControl w:val="1"/>
      </w:pPr>
      <w:r>
        <w:rPr>
          <w:rFonts w:ascii="Noto Serif" w:hAnsi="Noto Serif" w:eastAsia="Noto Serif"/>
          <w:color w:val="1D2833"/>
          <w:sz w:val="20"/>
        </w:rPr>
        <w:t xml:space="preserve">The registry is the memory and immune system of governed evolution. It should be logically append-only. Corrections, revocations, and invalidations are new signed events, not destructive edits to history. Operational views can be materialized for speed, but every active route must be traceable to the event sequence that authorized it.</w:t>
      </w:r>
    </w:p>
    <w:p>
      <w:pPr>
        <w:pStyle w:val="BodyText"/>
        <w:widowControl w:val="1"/>
      </w:pPr>
      <w:r>
        <w:rPr>
          <w:rFonts w:ascii="Noto Serif" w:hAnsi="Noto Serif" w:eastAsia="Noto Serif"/>
          <w:color w:val="1D2833"/>
          <w:sz w:val="20"/>
        </w:rPr>
        <w:t xml:space="preserve">Core node types include:</w:t>
      </w:r>
    </w:p>
    <w:p>
      <w:pPr>
        <w:pStyle w:val="Compact"/>
        <w:numPr>
          <w:ilvl w:val="0"/>
          <w:numId w:val="1019"/>
        </w:numPr>
        <w:widowControl w:val="1"/>
      </w:pPr>
      <w:r>
        <w:rPr>
          <w:rFonts w:ascii="Noto Serif" w:hAnsi="Noto Serif" w:eastAsia="Noto Serif"/>
          <w:color w:val="1D2833"/>
          <w:sz w:val="19"/>
        </w:rPr>
        <w:t xml:space="preserve">Field Identity and Contract Version;</w:t>
      </w:r>
    </w:p>
    <w:p>
      <w:pPr>
        <w:pStyle w:val="Compact"/>
        <w:numPr>
          <w:ilvl w:val="0"/>
          <w:numId w:val="1019"/>
        </w:numPr>
        <w:widowControl w:val="1"/>
      </w:pPr>
      <w:r>
        <w:rPr>
          <w:rFonts w:ascii="Noto Serif" w:hAnsi="Noto Serif" w:eastAsia="Noto Serif"/>
          <w:color w:val="1D2833"/>
          <w:sz w:val="19"/>
        </w:rPr>
        <w:t xml:space="preserve">Implementation Artifact and Implementation Bundle;</w:t>
      </w:r>
    </w:p>
    <w:p>
      <w:pPr>
        <w:pStyle w:val="Compact"/>
        <w:numPr>
          <w:ilvl w:val="0"/>
          <w:numId w:val="1019"/>
        </w:numPr>
        <w:widowControl w:val="1"/>
      </w:pPr>
      <w:r>
        <w:rPr>
          <w:rFonts w:ascii="Noto Serif" w:hAnsi="Noto Serif" w:eastAsia="Noto Serif"/>
          <w:color w:val="1D2833"/>
          <w:sz w:val="19"/>
        </w:rPr>
        <w:t xml:space="preserve">Build Recipe, Training Recipe, Model Revision, Prompt Revision, and Configuration;</w:t>
      </w:r>
    </w:p>
    <w:p>
      <w:pPr>
        <w:pStyle w:val="Compact"/>
        <w:numPr>
          <w:ilvl w:val="0"/>
          <w:numId w:val="1019"/>
        </w:numPr>
        <w:widowControl w:val="1"/>
      </w:pPr>
      <w:r>
        <w:rPr>
          <w:rFonts w:ascii="Noto Serif" w:hAnsi="Noto Serif" w:eastAsia="Noto Serif"/>
          <w:color w:val="1D2833"/>
          <w:sz w:val="19"/>
        </w:rPr>
        <w:t xml:space="preserve">Dependency and External Service Claim;</w:t>
      </w:r>
    </w:p>
    <w:p>
      <w:pPr>
        <w:pStyle w:val="Compact"/>
        <w:numPr>
          <w:ilvl w:val="0"/>
          <w:numId w:val="1019"/>
        </w:numPr>
        <w:widowControl w:val="1"/>
      </w:pPr>
      <w:r>
        <w:rPr>
          <w:rFonts w:ascii="Noto Serif" w:hAnsi="Noto Serif" w:eastAsia="Noto Serif"/>
          <w:color w:val="1D2833"/>
          <w:sz w:val="19"/>
        </w:rPr>
        <w:t xml:space="preserve">State Schema, Snapshot, Adapter, Migration, and Recovery Procedure;</w:t>
      </w:r>
    </w:p>
    <w:p>
      <w:pPr>
        <w:pStyle w:val="Compact"/>
        <w:numPr>
          <w:ilvl w:val="0"/>
          <w:numId w:val="1019"/>
        </w:numPr>
        <w:widowControl w:val="1"/>
      </w:pPr>
      <w:r>
        <w:rPr>
          <w:rFonts w:ascii="Noto Serif" w:hAnsi="Noto Serif" w:eastAsia="Noto Serif"/>
          <w:color w:val="1D2833"/>
          <w:sz w:val="19"/>
        </w:rPr>
        <w:t xml:space="preserve">Tool, Effect Class, Authority Policy, and Deployment Grant;</w:t>
      </w:r>
    </w:p>
    <w:p>
      <w:pPr>
        <w:pStyle w:val="Compact"/>
        <w:numPr>
          <w:ilvl w:val="0"/>
          <w:numId w:val="1019"/>
        </w:numPr>
        <w:widowControl w:val="1"/>
      </w:pPr>
      <w:r>
        <w:rPr>
          <w:rFonts w:ascii="Noto Serif" w:hAnsi="Noto Serif" w:eastAsia="Noto Serif"/>
          <w:color w:val="1D2833"/>
          <w:sz w:val="19"/>
        </w:rPr>
        <w:t xml:space="preserve">Evaluator, Dataset, Scenario Set, Formal Specification, and Monitor;</w:t>
      </w:r>
    </w:p>
    <w:p>
      <w:pPr>
        <w:pStyle w:val="Compact"/>
        <w:numPr>
          <w:ilvl w:val="0"/>
          <w:numId w:val="1019"/>
        </w:numPr>
        <w:widowControl w:val="1"/>
      </w:pPr>
      <w:r>
        <w:rPr>
          <w:rFonts w:ascii="Noto Serif" w:hAnsi="Noto Serif" w:eastAsia="Noto Serif"/>
          <w:color w:val="1D2833"/>
          <w:sz w:val="19"/>
        </w:rPr>
        <w:t xml:space="preserve">Experiment Run and Evidence Bundle;</w:t>
      </w:r>
    </w:p>
    <w:p>
      <w:pPr>
        <w:pStyle w:val="Compact"/>
        <w:numPr>
          <w:ilvl w:val="0"/>
          <w:numId w:val="1019"/>
        </w:numPr>
        <w:widowControl w:val="1"/>
      </w:pPr>
      <w:r>
        <w:rPr>
          <w:rFonts w:ascii="Noto Serif" w:hAnsi="Noto Serif" w:eastAsia="Noto Serif"/>
          <w:color w:val="1D2833"/>
          <w:sz w:val="19"/>
        </w:rPr>
        <w:t xml:space="preserve">Deployment Profile and Qualification Claim;</w:t>
      </w:r>
    </w:p>
    <w:p>
      <w:pPr>
        <w:pStyle w:val="Compact"/>
        <w:numPr>
          <w:ilvl w:val="0"/>
          <w:numId w:val="1019"/>
        </w:numPr>
        <w:widowControl w:val="1"/>
      </w:pPr>
      <w:r>
        <w:rPr>
          <w:rFonts w:ascii="Noto Serif" w:hAnsi="Noto Serif" w:eastAsia="Noto Serif"/>
          <w:color w:val="1D2833"/>
          <w:sz w:val="19"/>
        </w:rPr>
        <w:t xml:space="preserve">Routing Policy and Activation Event;</w:t>
      </w:r>
    </w:p>
    <w:p>
      <w:pPr>
        <w:pStyle w:val="Compact"/>
        <w:numPr>
          <w:ilvl w:val="0"/>
          <w:numId w:val="1019"/>
        </w:numPr>
        <w:widowControl w:val="1"/>
      </w:pPr>
      <w:r>
        <w:rPr>
          <w:rFonts w:ascii="Noto Serif" w:hAnsi="Noto Serif" w:eastAsia="Noto Serif"/>
          <w:color w:val="1D2833"/>
          <w:sz w:val="19"/>
        </w:rPr>
        <w:t xml:space="preserve">Approval, Threshold Signature, Exception, and Expiry;</w:t>
      </w:r>
    </w:p>
    <w:p>
      <w:pPr>
        <w:pStyle w:val="Compact"/>
        <w:numPr>
          <w:ilvl w:val="0"/>
          <w:numId w:val="1019"/>
        </w:numPr>
        <w:widowControl w:val="1"/>
      </w:pPr>
      <w:r>
        <w:rPr>
          <w:rFonts w:ascii="Noto Serif" w:hAnsi="Noto Serif" w:eastAsia="Noto Serif"/>
          <w:color w:val="1D2833"/>
          <w:sz w:val="19"/>
        </w:rPr>
        <w:t xml:space="preserve">Incident, Drift Signal, Quarantine, Rollback, and Audit Closure;</w:t>
      </w:r>
    </w:p>
    <w:p>
      <w:pPr>
        <w:pStyle w:val="Compact"/>
        <w:numPr>
          <w:ilvl w:val="0"/>
          <w:numId w:val="1019"/>
        </w:numPr>
        <w:widowControl w:val="1"/>
      </w:pPr>
      <w:r>
        <w:rPr>
          <w:rFonts w:ascii="Noto Serif" w:hAnsi="Noto Serif" w:eastAsia="Noto Serif"/>
          <w:color w:val="1D2833"/>
          <w:sz w:val="19"/>
        </w:rPr>
        <w:t xml:space="preserve">Kernel Version and Trust-Root Revision.</w:t>
      </w:r>
    </w:p>
    <w:p>
      <w:pPr>
        <w:pStyle w:val="FirstParagraph"/>
        <w:widowControl w:val="1"/>
      </w:pPr>
      <w:r>
        <w:rPr>
          <w:rFonts w:ascii="Noto Serif" w:hAnsi="Noto Serif" w:eastAsia="Noto Serif"/>
          <w:color w:val="1D2833"/>
          <w:sz w:val="20"/>
        </w:rPr>
        <w:t xml:space="preserve">Representative edges include:</w:t>
      </w:r>
    </w:p>
    <w:p>
      <w:pPr>
        <w:pStyle w:val="Compact"/>
        <w:numPr>
          <w:ilvl w:val="0"/>
          <w:numId w:val="1020"/>
        </w:numPr>
        <w:widowControl w:val="1"/>
      </w:pPr>
      <w:r>
        <w:rPr>
          <w:rStyle w:val="VerbatimChar"/>
          <w:rFonts w:ascii="Noto Serif" w:hAnsi="Noto Serif" w:eastAsia="Noto Serif"/>
          <w:color w:val="1D2833"/>
          <w:sz w:val="19"/>
        </w:rPr>
        <w:t xml:space="preserve">implements</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supersedes</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derived_from</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shares_weights_with</w:t>
      </w:r>
      <w:r>
        <w:rPr>
          <w:rFonts w:ascii="Noto Serif" w:hAnsi="Noto Serif" w:eastAsia="Noto Serif"/>
          <w:color w:val="1D2833"/>
          <w:sz w:val="19"/>
        </w:rPr>
        <w:t xml:space="preserve">;</w:t>
      </w:r>
    </w:p>
    <w:p>
      <w:pPr>
        <w:pStyle w:val="Compact"/>
        <w:numPr>
          <w:ilvl w:val="0"/>
          <w:numId w:val="1020"/>
        </w:numPr>
        <w:widowControl w:val="1"/>
      </w:pPr>
      <w:r>
        <w:rPr>
          <w:rStyle w:val="VerbatimChar"/>
          <w:rFonts w:ascii="Noto Serif" w:hAnsi="Noto Serif" w:eastAsia="Noto Serif"/>
          <w:color w:val="1D2833"/>
          <w:sz w:val="19"/>
        </w:rPr>
        <w:t xml:space="preserve">depends_on</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compatible_with</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requires_tool</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requests_authority</w:t>
      </w:r>
      <w:r>
        <w:rPr>
          <w:rFonts w:ascii="Noto Serif" w:hAnsi="Noto Serif" w:eastAsia="Noto Serif"/>
          <w:color w:val="1D2833"/>
          <w:sz w:val="19"/>
        </w:rPr>
        <w:t xml:space="preserve">;</w:t>
      </w:r>
    </w:p>
    <w:p>
      <w:pPr>
        <w:pStyle w:val="Compact"/>
        <w:numPr>
          <w:ilvl w:val="0"/>
          <w:numId w:val="1020"/>
        </w:numPr>
        <w:widowControl w:val="1"/>
      </w:pPr>
      <w:r>
        <w:rPr>
          <w:rStyle w:val="VerbatimChar"/>
          <w:rFonts w:ascii="Noto Serif" w:hAnsi="Noto Serif" w:eastAsia="Noto Serif"/>
          <w:color w:val="1D2833"/>
          <w:sz w:val="19"/>
        </w:rPr>
        <w:t xml:space="preserve">reads_state</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writes_state</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migrates_to</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fallback_to</w:t>
      </w:r>
      <w:r>
        <w:rPr>
          <w:rFonts w:ascii="Noto Serif" w:hAnsi="Noto Serif" w:eastAsia="Noto Serif"/>
          <w:color w:val="1D2833"/>
          <w:sz w:val="19"/>
        </w:rPr>
        <w:t xml:space="preserve">;</w:t>
      </w:r>
    </w:p>
    <w:p>
      <w:pPr>
        <w:pStyle w:val="Compact"/>
        <w:numPr>
          <w:ilvl w:val="0"/>
          <w:numId w:val="1020"/>
        </w:numPr>
        <w:widowControl w:val="1"/>
      </w:pPr>
      <w:r>
        <w:rPr>
          <w:rStyle w:val="VerbatimChar"/>
          <w:rFonts w:ascii="Noto Serif" w:hAnsi="Noto Serif" w:eastAsia="Noto Serif"/>
          <w:color w:val="1D2833"/>
          <w:sz w:val="19"/>
        </w:rPr>
        <w:t xml:space="preserve">evaluated_by</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tested_on</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produced_evidence</w:t>
      </w:r>
      <w:r>
        <w:rPr>
          <w:rFonts w:ascii="Noto Serif" w:hAnsi="Noto Serif" w:eastAsia="Noto Serif"/>
          <w:color w:val="1D2833"/>
          <w:sz w:val="19"/>
        </w:rPr>
        <w:t xml:space="preserve">;</w:t>
      </w:r>
    </w:p>
    <w:p>
      <w:pPr>
        <w:pStyle w:val="Compact"/>
        <w:numPr>
          <w:ilvl w:val="0"/>
          <w:numId w:val="1020"/>
        </w:numPr>
        <w:widowControl w:val="1"/>
      </w:pPr>
      <w:r>
        <w:rPr>
          <w:rStyle w:val="VerbatimChar"/>
          <w:rFonts w:ascii="Noto Serif" w:hAnsi="Noto Serif" w:eastAsia="Noto Serif"/>
          <w:color w:val="1D2833"/>
          <w:sz w:val="19"/>
        </w:rPr>
        <w:t xml:space="preserve">qualifies_for</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rejected_for</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restricted_under</w:t>
      </w:r>
      <w:r>
        <w:rPr>
          <w:rFonts w:ascii="Noto Serif" w:hAnsi="Noto Serif" w:eastAsia="Noto Serif"/>
          <w:color w:val="1D2833"/>
          <w:sz w:val="19"/>
        </w:rPr>
        <w:t xml:space="preserve">;</w:t>
      </w:r>
    </w:p>
    <w:p>
      <w:pPr>
        <w:pStyle w:val="Compact"/>
        <w:numPr>
          <w:ilvl w:val="0"/>
          <w:numId w:val="1020"/>
        </w:numPr>
        <w:widowControl w:val="1"/>
      </w:pPr>
      <w:r>
        <w:rPr>
          <w:rStyle w:val="VerbatimChar"/>
          <w:rFonts w:ascii="Noto Serif" w:hAnsi="Noto Serif" w:eastAsia="Noto Serif"/>
          <w:color w:val="1D2833"/>
          <w:sz w:val="19"/>
        </w:rPr>
        <w:t xml:space="preserve">active_under</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shadow_under</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routed_by</w:t>
      </w:r>
      <w:r>
        <w:rPr>
          <w:rFonts w:ascii="Noto Serif" w:hAnsi="Noto Serif" w:eastAsia="Noto Serif"/>
          <w:color w:val="1D2833"/>
          <w:sz w:val="19"/>
        </w:rPr>
        <w:t xml:space="preserve">;</w:t>
      </w:r>
    </w:p>
    <w:p>
      <w:pPr>
        <w:pStyle w:val="Compact"/>
        <w:numPr>
          <w:ilvl w:val="0"/>
          <w:numId w:val="1020"/>
        </w:numPr>
        <w:widowControl w:val="1"/>
      </w:pPr>
      <w:r>
        <w:rPr>
          <w:rStyle w:val="VerbatimChar"/>
          <w:rFonts w:ascii="Noto Serif" w:hAnsi="Noto Serif" w:eastAsia="Noto Serif"/>
          <w:color w:val="1D2833"/>
          <w:sz w:val="19"/>
        </w:rPr>
        <w:t xml:space="preserve">approved_by</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invalidated_by</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implicated_in</w:t>
      </w:r>
      <w:r>
        <w:rPr>
          <w:rFonts w:ascii="Noto Serif" w:hAnsi="Noto Serif" w:eastAsia="Noto Serif"/>
          <w:color w:val="1D2833"/>
          <w:sz w:val="19"/>
        </w:rPr>
        <w:t xml:space="preserve">,</w:t>
      </w:r>
      <w:r>
        <w:rPr>
          <w:rFonts w:ascii="Noto Serif" w:hAnsi="Noto Serif" w:eastAsia="Noto Serif"/>
          <w:color w:val="1D2833"/>
          <w:sz w:val="19"/>
        </w:rPr>
        <w:t xml:space="preserve"> </w:t>
      </w:r>
      <w:r>
        <w:rPr>
          <w:rStyle w:val="VerbatimChar"/>
          <w:rFonts w:ascii="Noto Serif" w:hAnsi="Noto Serif" w:eastAsia="Noto Serif"/>
          <w:color w:val="1D2833"/>
          <w:sz w:val="19"/>
        </w:rPr>
        <w:t xml:space="preserve">recovered_by</w:t>
      </w:r>
      <w:r>
        <w:rPr>
          <w:rFonts w:ascii="Noto Serif" w:hAnsi="Noto Serif" w:eastAsia="Noto Serif"/>
          <w:color w:val="1D2833"/>
          <w:sz w:val="19"/>
        </w:rPr>
        <w:t xml:space="preserve">.</w:t>
      </w:r>
    </w:p>
    <w:p>
      <w:pPr>
        <w:pStyle w:val="FirstParagraph"/>
        <w:keepNext/>
        <w:widowControl w:val="1"/>
        <w:spacing w:before="100" w:after="20"/>
        <w:jc w:val="center"/>
      </w:pPr>
      <w:r>
        <w:rPr>
          <w:rFonts w:ascii="Noto Serif" w:hAnsi="Noto Serif" w:eastAsia="Noto Serif"/>
          <w:color w:val="1D2833"/>
          <w:sz w:val="20"/>
        </w:rPr>
        <w:drawing>
          <wp:inline>
            <wp:extent cx="5067300" cy="4463966"/>
            <wp:effectExtent b="0" l="0" r="0" t="0"/>
            <wp:docPr descr="Diagram showing normative field objects and immutable evidence leading to scoped qualification claims, routing policies, lifecycle decisions, incidents, and rollback." title="SCF evidence registry" id="59" name="Picture"/>
            <a:graphic>
              <a:graphicData uri="http://schemas.openxmlformats.org/drawingml/2006/picture">
                <pic:pic>
                  <pic:nvPicPr>
                    <pic:cNvPr descr="/mnt/data/scf_paper/figures/registry.png" id="60" name="Picture"/>
                    <pic:cNvPicPr>
                      <a:picLocks noChangeArrowheads="1" noChangeAspect="1"/>
                    </pic:cNvPicPr>
                  </pic:nvPicPr>
                  <pic:blipFill>
                    <a:blip r:embed="rId58"/>
                    <a:stretch>
                      <a:fillRect/>
                    </a:stretch>
                  </pic:blipFill>
                  <pic:spPr bwMode="auto">
                    <a:xfrm>
                      <a:off x="0" y="0"/>
                      <a:ext cx="5067300" cy="4463966"/>
                    </a:xfrm>
                    <a:prstGeom prst="rect">
                      <a:avLst/>
                    </a:prstGeom>
                    <a:noFill/>
                    <a:ln w="9525">
                      <a:noFill/>
                      <a:headEnd/>
                      <a:tailEnd/>
                    </a:ln>
                  </pic:spPr>
                </pic:pic>
              </a:graphicData>
            </a:graphic>
          </wp:inline>
        </w:drawing>
      </w:r>
    </w:p>
    <w:p>
      <w:pPr>
        <w:pStyle w:val="Caption"/>
        <w:widowControl w:val="1"/>
      </w:pPr>
      <w:r>
        <w:rPr>
          <w:i/>
          <w:iCs/>
        </w:rPr>
        <w:t xml:space="preserve">Figure 1. The registry is not a name-to-version map. It is an append-only evidence graph whose materialized views answer context-specific operational questions.</w:t>
      </w:r>
    </w:p>
    <w:bookmarkEnd w:id="61"/>
    <w:bookmarkStart w:id="62" w:name="artifact-identity-and-provenance"/>
    <w:p>
      <w:pPr>
        <w:pStyle w:val="Heading2"/>
        <w:widowControl w:val="1"/>
      </w:pPr>
      <w:r>
        <w:rPr>
          <w:rStyle w:val="SectionNumber"/>
        </w:rPr>
        <w:t xml:space="preserve">7.2</w:t>
      </w:r>
      <w:r>
        <w:tab/>
      </w:r>
      <w:r>
        <w:t xml:space="preserve">Artifact identity and provenance</w:t>
      </w:r>
    </w:p>
    <w:p>
      <w:pPr>
        <w:pStyle w:val="FirstParagraph"/>
        <w:widowControl w:val="1"/>
      </w:pPr>
      <w:r>
        <w:rPr>
          <w:rFonts w:ascii="Noto Serif" w:hAnsi="Noto Serif" w:eastAsia="Noto Serif"/>
          <w:color w:val="1D2833"/>
          <w:sz w:val="20"/>
        </w:rPr>
        <w:t xml:space="preserve">Every artifact that materially affects behavior should be content-addressed where possible. The evidence bundle should bind:</w:t>
      </w:r>
    </w:p>
    <w:p>
      <w:pPr>
        <w:pStyle w:val="Compact"/>
        <w:numPr>
          <w:ilvl w:val="0"/>
          <w:numId w:val="1021"/>
        </w:numPr>
        <w:widowControl w:val="1"/>
      </w:pPr>
      <w:r>
        <w:rPr>
          <w:rFonts w:ascii="Noto Serif" w:hAnsi="Noto Serif" w:eastAsia="Noto Serif"/>
          <w:color w:val="1D2833"/>
          <w:sz w:val="19"/>
        </w:rPr>
        <w:t xml:space="preserve">source and binary hashes;</w:t>
      </w:r>
    </w:p>
    <w:p>
      <w:pPr>
        <w:pStyle w:val="Compact"/>
        <w:numPr>
          <w:ilvl w:val="0"/>
          <w:numId w:val="1021"/>
        </w:numPr>
        <w:widowControl w:val="1"/>
      </w:pPr>
      <w:r>
        <w:rPr>
          <w:rFonts w:ascii="Noto Serif" w:hAnsi="Noto Serif" w:eastAsia="Noto Serif"/>
          <w:color w:val="1D2833"/>
          <w:sz w:val="19"/>
        </w:rPr>
        <w:t xml:space="preserve">model and adapter identifiers;</w:t>
      </w:r>
    </w:p>
    <w:p>
      <w:pPr>
        <w:pStyle w:val="Compact"/>
        <w:numPr>
          <w:ilvl w:val="0"/>
          <w:numId w:val="1021"/>
        </w:numPr>
        <w:widowControl w:val="1"/>
      </w:pPr>
      <w:r>
        <w:rPr>
          <w:rFonts w:ascii="Noto Serif" w:hAnsi="Noto Serif" w:eastAsia="Noto Serif"/>
          <w:color w:val="1D2833"/>
          <w:sz w:val="19"/>
        </w:rPr>
        <w:t xml:space="preserve">prompt and tool-description hashes;</w:t>
      </w:r>
    </w:p>
    <w:p>
      <w:pPr>
        <w:pStyle w:val="Compact"/>
        <w:numPr>
          <w:ilvl w:val="0"/>
          <w:numId w:val="1021"/>
        </w:numPr>
        <w:widowControl w:val="1"/>
      </w:pPr>
      <w:r>
        <w:rPr>
          <w:rFonts w:ascii="Noto Serif" w:hAnsi="Noto Serif" w:eastAsia="Noto Serif"/>
          <w:color w:val="1D2833"/>
          <w:sz w:val="19"/>
        </w:rPr>
        <w:t xml:space="preserve">training or optimization data identities and policies;</w:t>
      </w:r>
    </w:p>
    <w:p>
      <w:pPr>
        <w:pStyle w:val="Compact"/>
        <w:numPr>
          <w:ilvl w:val="0"/>
          <w:numId w:val="1021"/>
        </w:numPr>
        <w:widowControl w:val="1"/>
      </w:pPr>
      <w:r>
        <w:rPr>
          <w:rFonts w:ascii="Noto Serif" w:hAnsi="Noto Serif" w:eastAsia="Noto Serif"/>
          <w:color w:val="1D2833"/>
          <w:sz w:val="19"/>
        </w:rPr>
        <w:t xml:space="preserve">build environment and dependency lockfiles;</w:t>
      </w:r>
    </w:p>
    <w:p>
      <w:pPr>
        <w:pStyle w:val="Compact"/>
        <w:numPr>
          <w:ilvl w:val="0"/>
          <w:numId w:val="1021"/>
        </w:numPr>
        <w:widowControl w:val="1"/>
      </w:pPr>
      <w:r>
        <w:rPr>
          <w:rFonts w:ascii="Noto Serif" w:hAnsi="Noto Serif" w:eastAsia="Noto Serif"/>
          <w:color w:val="1D2833"/>
          <w:sz w:val="19"/>
        </w:rPr>
        <w:t xml:space="preserve">hosted endpoint, provider, configuration, and observed response fingerprint;</w:t>
      </w:r>
    </w:p>
    <w:p>
      <w:pPr>
        <w:pStyle w:val="Compact"/>
        <w:numPr>
          <w:ilvl w:val="0"/>
          <w:numId w:val="1021"/>
        </w:numPr>
        <w:widowControl w:val="1"/>
      </w:pPr>
      <w:r>
        <w:rPr>
          <w:rFonts w:ascii="Noto Serif" w:hAnsi="Noto Serif" w:eastAsia="Noto Serif"/>
          <w:color w:val="1D2833"/>
          <w:sz w:val="19"/>
        </w:rPr>
        <w:t xml:space="preserve">evaluator code, dataset, scenario, and policy versions;</w:t>
      </w:r>
    </w:p>
    <w:p>
      <w:pPr>
        <w:pStyle w:val="Compact"/>
        <w:numPr>
          <w:ilvl w:val="0"/>
          <w:numId w:val="1021"/>
        </w:numPr>
        <w:widowControl w:val="1"/>
      </w:pPr>
      <w:r>
        <w:rPr>
          <w:rFonts w:ascii="Noto Serif" w:hAnsi="Noto Serif" w:eastAsia="Noto Serif"/>
          <w:color w:val="1D2833"/>
          <w:sz w:val="19"/>
        </w:rPr>
        <w:t xml:space="preserve">runtime environment, seeds, and nondeterministic settings.</w:t>
      </w:r>
    </w:p>
    <w:p>
      <w:pPr>
        <w:pStyle w:val="FirstParagraph"/>
        <w:widowControl w:val="1"/>
      </w:pPr>
      <w:r>
        <w:rPr>
          <w:rFonts w:ascii="Noto Serif" w:hAnsi="Noto Serif" w:eastAsia="Noto Serif"/>
          <w:color w:val="1D2833"/>
          <w:sz w:val="20"/>
        </w:rPr>
        <w:t xml:space="preserve">Supply-chain attestations establish who or what produced an artifact and under which process [33-36]. They do not show that the artifact behaves well. Conversely, a benchmark score without provenance may be impossible to reproduce or may identify a different artifact than the one deployed. SCF requires both.</w:t>
      </w:r>
    </w:p>
    <w:bookmarkEnd w:id="62"/>
    <w:bookmarkStart w:id="63" w:name="evidence-invalidation-and-expiry"/>
    <w:p>
      <w:pPr>
        <w:pStyle w:val="Heading2"/>
        <w:widowControl w:val="1"/>
      </w:pPr>
      <w:r>
        <w:rPr>
          <w:rStyle w:val="SectionNumber"/>
        </w:rPr>
        <w:t xml:space="preserve">7.3</w:t>
      </w:r>
      <w:r>
        <w:tab/>
      </w:r>
      <w:r>
        <w:t xml:space="preserve">Evidence invalidation and expiry</w:t>
      </w:r>
    </w:p>
    <w:p>
      <w:pPr>
        <w:pStyle w:val="FirstParagraph"/>
        <w:widowControl w:val="1"/>
      </w:pPr>
      <w:r>
        <w:rPr>
          <w:rFonts w:ascii="Noto Serif" w:hAnsi="Noto Serif" w:eastAsia="Noto Serif"/>
          <w:color w:val="1D2833"/>
          <w:sz w:val="20"/>
        </w:rPr>
        <w:t xml:space="preserve">Evidence is not permanent. Qualification should be invalidated or downgraded when a material premise changes, including:</w:t>
      </w:r>
    </w:p>
    <w:p>
      <w:pPr>
        <w:pStyle w:val="Compact"/>
        <w:numPr>
          <w:ilvl w:val="0"/>
          <w:numId w:val="1022"/>
        </w:numPr>
        <w:widowControl w:val="1"/>
      </w:pPr>
      <w:r>
        <w:rPr>
          <w:rFonts w:ascii="Noto Serif" w:hAnsi="Noto Serif" w:eastAsia="Noto Serif"/>
          <w:color w:val="1D2833"/>
          <w:sz w:val="19"/>
        </w:rPr>
        <w:t xml:space="preserve">a contract or deployment profile change;</w:t>
      </w:r>
    </w:p>
    <w:p>
      <w:pPr>
        <w:pStyle w:val="Compact"/>
        <w:numPr>
          <w:ilvl w:val="0"/>
          <w:numId w:val="1022"/>
        </w:numPr>
        <w:widowControl w:val="1"/>
      </w:pPr>
      <w:r>
        <w:rPr>
          <w:rFonts w:ascii="Noto Serif" w:hAnsi="Noto Serif" w:eastAsia="Noto Serif"/>
          <w:color w:val="1D2833"/>
          <w:sz w:val="19"/>
        </w:rPr>
        <w:t xml:space="preserve">a dependency, model, prompt, tool description, or provider endpoint change;</w:t>
      </w:r>
    </w:p>
    <w:p>
      <w:pPr>
        <w:pStyle w:val="Compact"/>
        <w:numPr>
          <w:ilvl w:val="0"/>
          <w:numId w:val="1022"/>
        </w:numPr>
        <w:widowControl w:val="1"/>
      </w:pPr>
      <w:r>
        <w:rPr>
          <w:rFonts w:ascii="Noto Serif" w:hAnsi="Noto Serif" w:eastAsia="Noto Serif"/>
          <w:color w:val="1D2833"/>
          <w:sz w:val="19"/>
        </w:rPr>
        <w:t xml:space="preserve">discovery of benchmark contamination or evaluator defects;</w:t>
      </w:r>
    </w:p>
    <w:p>
      <w:pPr>
        <w:pStyle w:val="Compact"/>
        <w:numPr>
          <w:ilvl w:val="0"/>
          <w:numId w:val="1022"/>
        </w:numPr>
        <w:widowControl w:val="1"/>
      </w:pPr>
      <w:r>
        <w:rPr>
          <w:rFonts w:ascii="Noto Serif" w:hAnsi="Noto Serif" w:eastAsia="Noto Serif"/>
          <w:color w:val="1D2833"/>
          <w:sz w:val="19"/>
        </w:rPr>
        <w:t xml:space="preserve">a state-schema or migration change;</w:t>
      </w:r>
    </w:p>
    <w:p>
      <w:pPr>
        <w:pStyle w:val="Compact"/>
        <w:numPr>
          <w:ilvl w:val="0"/>
          <w:numId w:val="1022"/>
        </w:numPr>
        <w:widowControl w:val="1"/>
      </w:pPr>
      <w:r>
        <w:rPr>
          <w:rFonts w:ascii="Noto Serif" w:hAnsi="Noto Serif" w:eastAsia="Noto Serif"/>
          <w:color w:val="1D2833"/>
          <w:sz w:val="19"/>
        </w:rPr>
        <w:t xml:space="preserve">an incident within the same behavioral class;</w:t>
      </w:r>
    </w:p>
    <w:p>
      <w:pPr>
        <w:pStyle w:val="Compact"/>
        <w:numPr>
          <w:ilvl w:val="0"/>
          <w:numId w:val="1022"/>
        </w:numPr>
        <w:widowControl w:val="1"/>
      </w:pPr>
      <w:r>
        <w:rPr>
          <w:rFonts w:ascii="Noto Serif" w:hAnsi="Noto Serif" w:eastAsia="Noto Serif"/>
          <w:color w:val="1D2833"/>
          <w:sz w:val="19"/>
        </w:rPr>
        <w:t xml:space="preserve">environment or task-distribution drift beyond the validated envelope;</w:t>
      </w:r>
    </w:p>
    <w:p>
      <w:pPr>
        <w:pStyle w:val="Compact"/>
        <w:numPr>
          <w:ilvl w:val="0"/>
          <w:numId w:val="1022"/>
        </w:numPr>
        <w:widowControl w:val="1"/>
      </w:pPr>
      <w:r>
        <w:rPr>
          <w:rFonts w:ascii="Noto Serif" w:hAnsi="Noto Serif" w:eastAsia="Noto Serif"/>
          <w:color w:val="1D2833"/>
          <w:sz w:val="19"/>
        </w:rPr>
        <w:t xml:space="preserve">expiry of security review or calibration evidence;</w:t>
      </w:r>
    </w:p>
    <w:p>
      <w:pPr>
        <w:pStyle w:val="Compact"/>
        <w:numPr>
          <w:ilvl w:val="0"/>
          <w:numId w:val="1022"/>
        </w:numPr>
        <w:widowControl w:val="1"/>
      </w:pPr>
      <w:r>
        <w:rPr>
          <w:rFonts w:ascii="Noto Serif" w:hAnsi="Noto Serif" w:eastAsia="Noto Serif"/>
          <w:color w:val="1D2833"/>
          <w:sz w:val="19"/>
        </w:rPr>
        <w:t xml:space="preserve">revocation of a signer or compromised build system.</w:t>
      </w:r>
    </w:p>
    <w:p>
      <w:pPr>
        <w:pStyle w:val="FirstParagraph"/>
        <w:widowControl w:val="1"/>
      </w:pPr>
      <w:r>
        <w:rPr>
          <w:rFonts w:ascii="Noto Serif" w:hAnsi="Noto Serif" w:eastAsia="Noto Serif"/>
          <w:color w:val="1D2833"/>
          <w:sz w:val="20"/>
        </w:rPr>
        <w:t xml:space="preserve">Invalidation should propagate through a computed</w:t>
      </w:r>
      <w:r>
        <w:rPr>
          <w:rFonts w:ascii="Noto Serif" w:hAnsi="Noto Serif" w:eastAsia="Noto Serif"/>
          <w:color w:val="1D2833"/>
          <w:sz w:val="20"/>
        </w:rPr>
        <w:t xml:space="preserve"> </w:t>
      </w:r>
      <w:r>
        <w:rPr>
          <w:rFonts w:ascii="Noto Serif" w:hAnsi="Noto Serif" w:eastAsia="Noto Serif"/>
          <w:b/>
          <w:bCs/>
          <w:color w:val="1D2833"/>
          <w:sz w:val="20"/>
        </w:rPr>
        <w:t xml:space="preserve">impact cone</w:t>
      </w:r>
      <w:r>
        <w:rPr>
          <w:rFonts w:ascii="Noto Serif" w:hAnsi="Noto Serif" w:eastAsia="Noto Serif"/>
          <w:color w:val="1D2833"/>
          <w:sz w:val="20"/>
        </w:rPr>
        <w:t xml:space="preserve">. If implementation</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A</w:t>
      </w:r>
      <w:r>
        <w:rPr>
          <w:rFonts w:ascii="Noto Serif" w:hAnsi="Noto Serif" w:eastAsia="Noto Serif"/>
          <w:color w:val="1D2833"/>
          <w:sz w:val="20"/>
        </w:rPr>
        <w:t xml:space="preserve"> </w:t>
      </w:r>
      <w:r>
        <w:rPr>
          <w:rFonts w:ascii="Noto Serif" w:hAnsi="Noto Serif" w:eastAsia="Noto Serif"/>
          <w:color w:val="1D2833"/>
          <w:sz w:val="20"/>
        </w:rPr>
        <w:t xml:space="preserve">depends on implementation</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B</w:t>
      </w:r>
      <w:r>
        <w:rPr>
          <w:rFonts w:ascii="Noto Serif" w:hAnsi="Noto Serif" w:eastAsia="Noto Serif"/>
          <w:color w:val="1D2833"/>
          <w:sz w:val="20"/>
        </w:rPr>
        <w:t xml:space="preserve">, evidence for</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A</w:t>
      </w:r>
      <w:r>
        <w:rPr>
          <w:rFonts w:ascii="Noto Serif" w:hAnsi="Noto Serif" w:eastAsia="Noto Serif"/>
          <w:color w:val="1D2833"/>
          <w:sz w:val="20"/>
        </w:rPr>
        <w:t xml:space="preserve"> </w:t>
      </w:r>
      <w:r>
        <w:rPr>
          <w:rFonts w:ascii="Noto Serif" w:hAnsi="Noto Serif" w:eastAsia="Noto Serif"/>
          <w:color w:val="1D2833"/>
          <w:sz w:val="20"/>
        </w:rPr>
        <w:t xml:space="preserve">may remain valid only if the changed property of</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B</w:t>
      </w:r>
      <w:r>
        <w:rPr>
          <w:rFonts w:ascii="Noto Serif" w:hAnsi="Noto Serif" w:eastAsia="Noto Serif"/>
          <w:color w:val="1D2833"/>
          <w:sz w:val="20"/>
        </w:rPr>
        <w:t xml:space="preserve"> </w:t>
      </w:r>
      <w:r>
        <w:rPr>
          <w:rFonts w:ascii="Noto Serif" w:hAnsi="Noto Serif" w:eastAsia="Noto Serif"/>
          <w:color w:val="1D2833"/>
          <w:sz w:val="20"/>
        </w:rPr>
        <w:t xml:space="preserve">is irrelevant to the tested guarantee. The default should be conservative: transitive requalification unless a machine-checkable compatibility claim narrows the cone.</w:t>
      </w:r>
    </w:p>
    <w:bookmarkEnd w:id="63"/>
    <w:bookmarkStart w:id="64" w:name="materialized-views"/>
    <w:p>
      <w:pPr>
        <w:pStyle w:val="Heading2"/>
        <w:widowControl w:val="1"/>
      </w:pPr>
      <w:r>
        <w:rPr>
          <w:rStyle w:val="SectionNumber"/>
        </w:rPr>
        <w:t xml:space="preserve">7.4</w:t>
      </w:r>
      <w:r>
        <w:tab/>
      </w:r>
      <w:r>
        <w:t xml:space="preserve">Materialized views</w:t>
      </w:r>
    </w:p>
    <w:p>
      <w:pPr>
        <w:pStyle w:val="FirstParagraph"/>
        <w:widowControl w:val="1"/>
      </w:pPr>
      <w:r>
        <w:rPr>
          <w:rFonts w:ascii="Noto Serif" w:hAnsi="Noto Serif" w:eastAsia="Noto Serif"/>
          <w:color w:val="1D2833"/>
          <w:sz w:val="20"/>
        </w:rPr>
        <w:t xml:space="preserve">Operational systems need efficient answers. The registry may expose derived views such as:</w:t>
      </w:r>
    </w:p>
    <w:p>
      <w:pPr>
        <w:pStyle w:val="Compact"/>
        <w:numPr>
          <w:ilvl w:val="0"/>
          <w:numId w:val="1023"/>
        </w:numPr>
        <w:widowControl w:val="1"/>
      </w:pPr>
      <w:r>
        <w:rPr>
          <w:rFonts w:ascii="Noto Serif" w:hAnsi="Noto Serif" w:eastAsia="Noto Serif"/>
          <w:color w:val="1D2833"/>
          <w:sz w:val="19"/>
        </w:rPr>
        <w:t xml:space="preserve">qualified implementations by field, contract, and profile;</w:t>
      </w:r>
    </w:p>
    <w:p>
      <w:pPr>
        <w:pStyle w:val="Compact"/>
        <w:numPr>
          <w:ilvl w:val="0"/>
          <w:numId w:val="1023"/>
        </w:numPr>
        <w:widowControl w:val="1"/>
      </w:pPr>
      <w:r>
        <w:rPr>
          <w:rFonts w:ascii="Noto Serif" w:hAnsi="Noto Serif" w:eastAsia="Noto Serif"/>
          <w:color w:val="1D2833"/>
          <w:sz w:val="19"/>
        </w:rPr>
        <w:t xml:space="preserve">currently active route and fallback;</w:t>
      </w:r>
    </w:p>
    <w:p>
      <w:pPr>
        <w:pStyle w:val="Compact"/>
        <w:numPr>
          <w:ilvl w:val="0"/>
          <w:numId w:val="1023"/>
        </w:numPr>
        <w:widowControl w:val="1"/>
      </w:pPr>
      <w:r>
        <w:rPr>
          <w:rFonts w:ascii="Noto Serif" w:hAnsi="Noto Serif" w:eastAsia="Noto Serif"/>
          <w:color w:val="1D2833"/>
          <w:sz w:val="19"/>
        </w:rPr>
        <w:t xml:space="preserve">expiring evidence and unresolved incidents;</w:t>
      </w:r>
    </w:p>
    <w:p>
      <w:pPr>
        <w:pStyle w:val="Compact"/>
        <w:numPr>
          <w:ilvl w:val="0"/>
          <w:numId w:val="1023"/>
        </w:numPr>
        <w:widowControl w:val="1"/>
      </w:pPr>
      <w:r>
        <w:rPr>
          <w:rFonts w:ascii="Noto Serif" w:hAnsi="Noto Serif" w:eastAsia="Noto Serif"/>
          <w:color w:val="1D2833"/>
          <w:sz w:val="19"/>
        </w:rPr>
        <w:t xml:space="preserve">dependency closure and blast radius;</w:t>
      </w:r>
    </w:p>
    <w:p>
      <w:pPr>
        <w:pStyle w:val="Compact"/>
        <w:numPr>
          <w:ilvl w:val="0"/>
          <w:numId w:val="1023"/>
        </w:numPr>
        <w:widowControl w:val="1"/>
      </w:pPr>
      <w:r>
        <w:rPr>
          <w:rFonts w:ascii="Noto Serif" w:hAnsi="Noto Serif" w:eastAsia="Noto Serif"/>
          <w:color w:val="1D2833"/>
          <w:sz w:val="19"/>
        </w:rPr>
        <w:t xml:space="preserve">migration reachability and restore checkpoints;</w:t>
      </w:r>
    </w:p>
    <w:p>
      <w:pPr>
        <w:pStyle w:val="Compact"/>
        <w:numPr>
          <w:ilvl w:val="0"/>
          <w:numId w:val="1023"/>
        </w:numPr>
        <w:widowControl w:val="1"/>
      </w:pPr>
      <w:r>
        <w:rPr>
          <w:rFonts w:ascii="Noto Serif" w:hAnsi="Noto Serif" w:eastAsia="Noto Serif"/>
          <w:color w:val="1D2833"/>
          <w:sz w:val="19"/>
        </w:rPr>
        <w:t xml:space="preserve">lineage diversity and common-mode dependencies;</w:t>
      </w:r>
    </w:p>
    <w:p>
      <w:pPr>
        <w:pStyle w:val="Compact"/>
        <w:numPr>
          <w:ilvl w:val="0"/>
          <w:numId w:val="1023"/>
        </w:numPr>
        <w:widowControl w:val="1"/>
      </w:pPr>
      <w:r>
        <w:rPr>
          <w:rFonts w:ascii="Noto Serif" w:hAnsi="Noto Serif" w:eastAsia="Noto Serif"/>
          <w:color w:val="1D2833"/>
          <w:sz w:val="19"/>
        </w:rPr>
        <w:t xml:space="preserve">untrusted or remotely mutable components;</w:t>
      </w:r>
    </w:p>
    <w:p>
      <w:pPr>
        <w:pStyle w:val="Compact"/>
        <w:numPr>
          <w:ilvl w:val="0"/>
          <w:numId w:val="1023"/>
        </w:numPr>
        <w:widowControl w:val="1"/>
      </w:pPr>
      <w:r>
        <w:rPr>
          <w:rFonts w:ascii="Noto Serif" w:hAnsi="Noto Serif" w:eastAsia="Noto Serif"/>
          <w:color w:val="1D2833"/>
          <w:sz w:val="19"/>
        </w:rPr>
        <w:t xml:space="preserve">promotions awaiting independent approval.</w:t>
      </w:r>
    </w:p>
    <w:p>
      <w:pPr>
        <w:pStyle w:val="FirstParagraph"/>
        <w:widowControl w:val="1"/>
      </w:pPr>
      <w:r>
        <w:rPr>
          <w:rFonts w:ascii="Noto Serif" w:hAnsi="Noto Serif" w:eastAsia="Noto Serif"/>
          <w:color w:val="1D2833"/>
          <w:sz w:val="20"/>
        </w:rPr>
        <w:t xml:space="preserve">Views are caches, not authority. A route decision should include the registry snapshot or event watermark used so that it can be replayed.</w:t>
      </w:r>
    </w:p>
    <w:bookmarkEnd w:id="64"/>
    <w:bookmarkStart w:id="65" w:name="federated-registries"/>
    <w:p>
      <w:pPr>
        <w:pStyle w:val="Heading2"/>
        <w:widowControl w:val="1"/>
      </w:pPr>
      <w:r>
        <w:rPr>
          <w:rStyle w:val="SectionNumber"/>
        </w:rPr>
        <w:t xml:space="preserve">7.5</w:t>
      </w:r>
      <w:r>
        <w:tab/>
      </w:r>
      <w:r>
        <w:t xml:space="preserve">Federated registries</w:t>
      </w:r>
    </w:p>
    <w:p>
      <w:pPr>
        <w:pStyle w:val="FirstParagraph"/>
        <w:widowControl w:val="1"/>
      </w:pPr>
      <w:r>
        <w:rPr>
          <w:rFonts w:ascii="Noto Serif" w:hAnsi="Noto Serif" w:eastAsia="Noto Serif"/>
          <w:color w:val="1D2833"/>
          <w:sz w:val="20"/>
        </w:rPr>
        <w:t xml:space="preserve">A global ecosystem may contain public, organizational, and local registries. Imported objects should preserve original signatures and provenance, but local qualification is a separate claim. A remote registry can assert that an agent exposes a capability or passed a benchmark; the local system decides whether the source is trusted, the evidence is sufficient, and the deployment profile matches.</w:t>
      </w:r>
    </w:p>
    <w:p>
      <w:pPr>
        <w:pStyle w:val="BodyText"/>
        <w:widowControl w:val="1"/>
      </w:pPr>
      <w:r>
        <w:rPr>
          <w:rFonts w:ascii="Noto Serif" w:hAnsi="Noto Serif" w:eastAsia="Noto Serif"/>
          <w:color w:val="1D2833"/>
          <w:sz w:val="20"/>
        </w:rPr>
        <w:t xml:space="preserve">Federation therefore distinguishes:</w:t>
      </w:r>
    </w:p>
    <w:p>
      <w:pPr>
        <w:pStyle w:val="Compact"/>
        <w:numPr>
          <w:ilvl w:val="0"/>
          <w:numId w:val="1024"/>
        </w:numPr>
        <w:widowControl w:val="1"/>
      </w:pPr>
      <w:r>
        <w:rPr>
          <w:rFonts w:ascii="Noto Serif" w:hAnsi="Noto Serif" w:eastAsia="Noto Serif"/>
          <w:b/>
          <w:bCs/>
          <w:color w:val="1D2833"/>
          <w:sz w:val="19"/>
        </w:rPr>
        <w:t xml:space="preserve">publication:</w:t>
      </w:r>
      <w:r>
        <w:rPr>
          <w:rFonts w:ascii="Noto Serif" w:hAnsi="Noto Serif" w:eastAsia="Noto Serif"/>
          <w:color w:val="1D2833"/>
          <w:sz w:val="19"/>
        </w:rPr>
        <w:t xml:space="preserve"> </w:t>
      </w:r>
      <w:r>
        <w:rPr>
          <w:rFonts w:ascii="Noto Serif" w:hAnsi="Noto Serif" w:eastAsia="Noto Serif"/>
          <w:color w:val="1D2833"/>
          <w:sz w:val="19"/>
        </w:rPr>
        <w:t xml:space="preserve">an artifact and its producer claims exist;</w:t>
      </w:r>
    </w:p>
    <w:p>
      <w:pPr>
        <w:pStyle w:val="Compact"/>
        <w:numPr>
          <w:ilvl w:val="0"/>
          <w:numId w:val="1024"/>
        </w:numPr>
        <w:widowControl w:val="1"/>
      </w:pPr>
      <w:r>
        <w:rPr>
          <w:rFonts w:ascii="Noto Serif" w:hAnsi="Noto Serif" w:eastAsia="Noto Serif"/>
          <w:b/>
          <w:bCs/>
          <w:color w:val="1D2833"/>
          <w:sz w:val="19"/>
        </w:rPr>
        <w:t xml:space="preserve">discovery:</w:t>
      </w:r>
      <w:r>
        <w:rPr>
          <w:rFonts w:ascii="Noto Serif" w:hAnsi="Noto Serif" w:eastAsia="Noto Serif"/>
          <w:color w:val="1D2833"/>
          <w:sz w:val="19"/>
        </w:rPr>
        <w:t xml:space="preserve"> </w:t>
      </w:r>
      <w:r>
        <w:rPr>
          <w:rFonts w:ascii="Noto Serif" w:hAnsi="Noto Serif" w:eastAsia="Noto Serif"/>
          <w:color w:val="1D2833"/>
          <w:sz w:val="19"/>
        </w:rPr>
        <w:t xml:space="preserve">an artifact appears relevant to a field;</w:t>
      </w:r>
    </w:p>
    <w:p>
      <w:pPr>
        <w:pStyle w:val="Compact"/>
        <w:numPr>
          <w:ilvl w:val="0"/>
          <w:numId w:val="1024"/>
        </w:numPr>
        <w:widowControl w:val="1"/>
      </w:pPr>
      <w:r>
        <w:rPr>
          <w:rFonts w:ascii="Noto Serif" w:hAnsi="Noto Serif" w:eastAsia="Noto Serif"/>
          <w:b/>
          <w:bCs/>
          <w:color w:val="1D2833"/>
          <w:sz w:val="19"/>
        </w:rPr>
        <w:t xml:space="preserve">verification:</w:t>
      </w:r>
      <w:r>
        <w:rPr>
          <w:rFonts w:ascii="Noto Serif" w:hAnsi="Noto Serif" w:eastAsia="Noto Serif"/>
          <w:color w:val="1D2833"/>
          <w:sz w:val="19"/>
        </w:rPr>
        <w:t xml:space="preserve"> </w:t>
      </w:r>
      <w:r>
        <w:rPr>
          <w:rFonts w:ascii="Noto Serif" w:hAnsi="Noto Serif" w:eastAsia="Noto Serif"/>
          <w:color w:val="1D2833"/>
          <w:sz w:val="19"/>
        </w:rPr>
        <w:t xml:space="preserve">signatures, hashes, and attestations are valid;</w:t>
      </w:r>
    </w:p>
    <w:p>
      <w:pPr>
        <w:pStyle w:val="Compact"/>
        <w:numPr>
          <w:ilvl w:val="0"/>
          <w:numId w:val="1024"/>
        </w:numPr>
        <w:widowControl w:val="1"/>
      </w:pPr>
      <w:r>
        <w:rPr>
          <w:rFonts w:ascii="Noto Serif" w:hAnsi="Noto Serif" w:eastAsia="Noto Serif"/>
          <w:b/>
          <w:bCs/>
          <w:color w:val="1D2833"/>
          <w:sz w:val="19"/>
        </w:rPr>
        <w:t xml:space="preserve">qualification:</w:t>
      </w:r>
      <w:r>
        <w:rPr>
          <w:rFonts w:ascii="Noto Serif" w:hAnsi="Noto Serif" w:eastAsia="Noto Serif"/>
          <w:color w:val="1D2833"/>
          <w:sz w:val="19"/>
        </w:rPr>
        <w:t xml:space="preserve"> </w:t>
      </w:r>
      <w:r>
        <w:rPr>
          <w:rFonts w:ascii="Noto Serif" w:hAnsi="Noto Serif" w:eastAsia="Noto Serif"/>
          <w:color w:val="1D2833"/>
          <w:sz w:val="19"/>
        </w:rPr>
        <w:t xml:space="preserve">local evidence and policy authorize a lifecycle status;</w:t>
      </w:r>
    </w:p>
    <w:p>
      <w:pPr>
        <w:pStyle w:val="Compact"/>
        <w:numPr>
          <w:ilvl w:val="0"/>
          <w:numId w:val="1024"/>
        </w:numPr>
        <w:widowControl w:val="1"/>
      </w:pPr>
      <w:r>
        <w:rPr>
          <w:rFonts w:ascii="Noto Serif" w:hAnsi="Noto Serif" w:eastAsia="Noto Serif"/>
          <w:b/>
          <w:bCs/>
          <w:color w:val="1D2833"/>
          <w:sz w:val="19"/>
        </w:rPr>
        <w:t xml:space="preserve">activation:</w:t>
      </w:r>
      <w:r>
        <w:rPr>
          <w:rFonts w:ascii="Noto Serif" w:hAnsi="Noto Serif" w:eastAsia="Noto Serif"/>
          <w:color w:val="1D2833"/>
          <w:sz w:val="19"/>
        </w:rPr>
        <w:t xml:space="preserve"> </w:t>
      </w:r>
      <w:r>
        <w:rPr>
          <w:rFonts w:ascii="Noto Serif" w:hAnsi="Noto Serif" w:eastAsia="Noto Serif"/>
          <w:color w:val="1D2833"/>
          <w:sz w:val="19"/>
        </w:rPr>
        <w:t xml:space="preserve">a local routing decision grants operational use.</w:t>
      </w:r>
    </w:p>
    <w:p>
      <w:pPr>
        <w:pStyle w:val="FirstParagraph"/>
        <w:widowControl w:val="1"/>
      </w:pPr>
      <w:r>
        <w:rPr>
          <w:rFonts w:ascii="Noto Serif" w:hAnsi="Noto Serif" w:eastAsia="Noto Serif"/>
          <w:color w:val="1D2833"/>
          <w:sz w:val="20"/>
        </w:rPr>
        <w:t xml:space="preserve">Conflating these stages turns discovery metadata into accidental authority.</w:t>
      </w:r>
    </w:p>
    <w:bookmarkEnd w:id="65"/>
    <w:bookmarkEnd w:id="66"/>
    <w:bookmarkStart w:id="71" w:name="contextual-resolution-and-routing"/>
    <w:p>
      <w:pPr>
        <w:pStyle w:val="Heading1"/>
        <w:widowControl w:val="1"/>
        <w:pBdr>
          <w:bottom w:val="single" w:sz="7" w:space="4" w:color="E8EEF3"/>
        </w:pBdr>
      </w:pPr>
      <w:r>
        <w:rPr>
          <w:rStyle w:val="SectionNumber"/>
        </w:rPr>
        <w:t xml:space="preserve">8</w:t>
      </w:r>
      <w:r>
        <w:tab/>
      </w:r>
      <w:r>
        <w:t xml:space="preserve">Contextual resolution and routing</w:t>
      </w:r>
    </w:p>
    <w:bookmarkStart w:id="67" w:name="Xfd85d7c78d64cf67cc8a03b4a1f586a751b5bf8"/>
    <w:p>
      <w:pPr>
        <w:pStyle w:val="Heading2"/>
        <w:widowControl w:val="1"/>
      </w:pPr>
      <w:r>
        <w:rPr>
          <w:rStyle w:val="SectionNumber"/>
        </w:rPr>
        <w:t xml:space="preserve">8.1</w:t>
      </w:r>
      <w:r>
        <w:tab/>
      </w:r>
      <w:r>
        <w:t xml:space="preserve">There is no universally best implementation</w:t>
      </w:r>
    </w:p>
    <w:p>
      <w:pPr>
        <w:pStyle w:val="FirstParagraph"/>
        <w:widowControl w:val="1"/>
      </w:pPr>
      <w:r>
        <w:rPr>
          <w:rFonts w:ascii="Noto Serif" w:hAnsi="Noto Serif" w:eastAsia="Noto Serif"/>
          <w:color w:val="1D2833"/>
          <w:sz w:val="20"/>
        </w:rPr>
        <w:t xml:space="preserve">AI implementations lie on Pareto surfaces. A larger planner may be more accurate but slower and more expensive. A symbolic implementation may provide strong guarantees for a constrained domain but fail outside it. A remote model may be capable but subject to provider drift and data restrictions. An ensemble may reduce error but increase latency and correlation risk.</w:t>
      </w:r>
    </w:p>
    <w:p>
      <w:pPr>
        <w:pStyle w:val="BodyText"/>
        <w:widowControl w:val="1"/>
      </w:pPr>
      <w:r>
        <w:rPr>
          <w:rFonts w:ascii="Noto Serif" w:hAnsi="Noto Serif" w:eastAsia="Noto Serif"/>
          <w:color w:val="1D2833"/>
          <w:sz w:val="20"/>
        </w:rPr>
        <w:t xml:space="preserve">The registry should preserve multiple qualified implementations and let the resolver choose according to the deployment profile. This is closer to portfolio management than package installation.</w:t>
      </w:r>
    </w:p>
    <w:bookmarkEnd w:id="67"/>
    <w:bookmarkStart w:id="68" w:name="resolver-pipeline"/>
    <w:p>
      <w:pPr>
        <w:pStyle w:val="Heading2"/>
        <w:widowControl w:val="1"/>
      </w:pPr>
      <w:r>
        <w:rPr>
          <w:rStyle w:val="SectionNumber"/>
        </w:rPr>
        <w:t xml:space="preserve">8.2</w:t>
      </w:r>
      <w:r>
        <w:tab/>
      </w:r>
      <w:r>
        <w:t xml:space="preserve">Resolver pipeline</w:t>
      </w:r>
    </w:p>
    <w:p>
      <w:pPr>
        <w:pStyle w:val="FirstParagraph"/>
        <w:widowControl w:val="1"/>
      </w:pPr>
      <w:r>
        <w:rPr>
          <w:rFonts w:ascii="Noto Serif" w:hAnsi="Noto Serif" w:eastAsia="Noto Serif"/>
          <w:color w:val="1D2833"/>
          <w:sz w:val="20"/>
        </w:rPr>
        <w:t xml:space="preserve">A reference resolution algorithm performs:</w:t>
      </w:r>
    </w:p>
    <w:p>
      <w:pPr>
        <w:pStyle w:val="Compact"/>
        <w:numPr>
          <w:ilvl w:val="0"/>
          <w:numId w:val="1025"/>
        </w:numPr>
        <w:widowControl w:val="1"/>
      </w:pPr>
      <w:r>
        <w:rPr>
          <w:rFonts w:ascii="Noto Serif" w:hAnsi="Noto Serif" w:eastAsia="Noto Serif"/>
          <w:b/>
          <w:bCs/>
          <w:color w:val="1D2833"/>
          <w:sz w:val="19"/>
        </w:rPr>
        <w:t xml:space="preserve">Contract match:</w:t>
      </w:r>
      <w:r>
        <w:rPr>
          <w:rFonts w:ascii="Noto Serif" w:hAnsi="Noto Serif" w:eastAsia="Noto Serif"/>
          <w:color w:val="1D2833"/>
          <w:sz w:val="19"/>
        </w:rPr>
        <w:t xml:space="preserve"> </w:t>
      </w:r>
      <w:r>
        <w:rPr>
          <w:rFonts w:ascii="Noto Serif" w:hAnsi="Noto Serif" w:eastAsia="Noto Serif"/>
          <w:color w:val="1D2833"/>
          <w:sz w:val="19"/>
        </w:rPr>
        <w:t xml:space="preserve">select implementations of the required field and compatible contract major.</w:t>
      </w:r>
    </w:p>
    <w:p>
      <w:pPr>
        <w:pStyle w:val="Compact"/>
        <w:numPr>
          <w:ilvl w:val="0"/>
          <w:numId w:val="1025"/>
        </w:numPr>
        <w:widowControl w:val="1"/>
      </w:pPr>
      <w:r>
        <w:rPr>
          <w:rFonts w:ascii="Noto Serif" w:hAnsi="Noto Serif" w:eastAsia="Noto Serif"/>
          <w:b/>
          <w:bCs/>
          <w:color w:val="1D2833"/>
          <w:sz w:val="19"/>
        </w:rPr>
        <w:t xml:space="preserve">Qualification filter:</w:t>
      </w:r>
      <w:r>
        <w:rPr>
          <w:rFonts w:ascii="Noto Serif" w:hAnsi="Noto Serif" w:eastAsia="Noto Serif"/>
          <w:color w:val="1D2833"/>
          <w:sz w:val="19"/>
        </w:rPr>
        <w:t xml:space="preserve"> </w:t>
      </w:r>
      <w:r>
        <w:rPr>
          <w:rFonts w:ascii="Noto Serif" w:hAnsi="Noto Serif" w:eastAsia="Noto Serif"/>
          <w:color w:val="1D2833"/>
          <w:sz w:val="19"/>
        </w:rPr>
        <w:t xml:space="preserve">retain claims valid for the current profile, dependency closure, and time.</w:t>
      </w:r>
    </w:p>
    <w:p>
      <w:pPr>
        <w:pStyle w:val="Compact"/>
        <w:numPr>
          <w:ilvl w:val="0"/>
          <w:numId w:val="1025"/>
        </w:numPr>
        <w:widowControl w:val="1"/>
      </w:pPr>
      <w:r>
        <w:rPr>
          <w:rFonts w:ascii="Noto Serif" w:hAnsi="Noto Serif" w:eastAsia="Noto Serif"/>
          <w:b/>
          <w:bCs/>
          <w:color w:val="1D2833"/>
          <w:sz w:val="19"/>
        </w:rPr>
        <w:t xml:space="preserve">Authority intersection:</w:t>
      </w:r>
      <w:r>
        <w:rPr>
          <w:rFonts w:ascii="Noto Serif" w:hAnsi="Noto Serif" w:eastAsia="Noto Serif"/>
          <w:color w:val="1D2833"/>
          <w:sz w:val="19"/>
        </w:rPr>
        <w:t xml:space="preserve"> </w:t>
      </w:r>
      <w:r>
        <w:rPr>
          <w:rFonts w:ascii="Noto Serif" w:hAnsi="Noto Serif" w:eastAsia="Noto Serif"/>
          <w:color w:val="1D2833"/>
          <w:sz w:val="19"/>
        </w:rPr>
        <w:t xml:space="preserve">compute effective grants and reject unattenuable requests.</w:t>
      </w:r>
    </w:p>
    <w:p>
      <w:pPr>
        <w:pStyle w:val="Compact"/>
        <w:numPr>
          <w:ilvl w:val="0"/>
          <w:numId w:val="1025"/>
        </w:numPr>
        <w:widowControl w:val="1"/>
      </w:pPr>
      <w:r>
        <w:rPr>
          <w:rFonts w:ascii="Noto Serif" w:hAnsi="Noto Serif" w:eastAsia="Noto Serif"/>
          <w:b/>
          <w:bCs/>
          <w:color w:val="1D2833"/>
          <w:sz w:val="19"/>
        </w:rPr>
        <w:t xml:space="preserve">Incident filter:</w:t>
      </w:r>
      <w:r>
        <w:rPr>
          <w:rFonts w:ascii="Noto Serif" w:hAnsi="Noto Serif" w:eastAsia="Noto Serif"/>
          <w:color w:val="1D2833"/>
          <w:sz w:val="19"/>
        </w:rPr>
        <w:t xml:space="preserve"> </w:t>
      </w:r>
      <w:r>
        <w:rPr>
          <w:rFonts w:ascii="Noto Serif" w:hAnsi="Noto Serif" w:eastAsia="Noto Serif"/>
          <w:color w:val="1D2833"/>
          <w:sz w:val="19"/>
        </w:rPr>
        <w:t xml:space="preserve">remove quarantined artifacts and policies affected by open incidents.</w:t>
      </w:r>
    </w:p>
    <w:p>
      <w:pPr>
        <w:pStyle w:val="Compact"/>
        <w:numPr>
          <w:ilvl w:val="0"/>
          <w:numId w:val="1025"/>
        </w:numPr>
        <w:widowControl w:val="1"/>
      </w:pPr>
      <w:r>
        <w:rPr>
          <w:rFonts w:ascii="Noto Serif" w:hAnsi="Noto Serif" w:eastAsia="Noto Serif"/>
          <w:b/>
          <w:bCs/>
          <w:color w:val="1D2833"/>
          <w:sz w:val="19"/>
        </w:rPr>
        <w:t xml:space="preserve">State compatibility:</w:t>
      </w:r>
      <w:r>
        <w:rPr>
          <w:rFonts w:ascii="Noto Serif" w:hAnsi="Noto Serif" w:eastAsia="Noto Serif"/>
          <w:color w:val="1D2833"/>
          <w:sz w:val="19"/>
        </w:rPr>
        <w:t xml:space="preserve"> </w:t>
      </w:r>
      <w:r>
        <w:rPr>
          <w:rFonts w:ascii="Noto Serif" w:hAnsi="Noto Serif" w:eastAsia="Noto Serif"/>
          <w:color w:val="1D2833"/>
          <w:sz w:val="19"/>
        </w:rPr>
        <w:t xml:space="preserve">ensure the selected implementation can read current state or that an approved migration is part of activation.</w:t>
      </w:r>
    </w:p>
    <w:p>
      <w:pPr>
        <w:pStyle w:val="Compact"/>
        <w:numPr>
          <w:ilvl w:val="0"/>
          <w:numId w:val="1025"/>
        </w:numPr>
        <w:widowControl w:val="1"/>
      </w:pPr>
      <w:r>
        <w:rPr>
          <w:rFonts w:ascii="Noto Serif" w:hAnsi="Noto Serif" w:eastAsia="Noto Serif"/>
          <w:b/>
          <w:bCs/>
          <w:color w:val="1D2833"/>
          <w:sz w:val="19"/>
        </w:rPr>
        <w:t xml:space="preserve">Constraint ranking:</w:t>
      </w:r>
      <w:r>
        <w:rPr>
          <w:rFonts w:ascii="Noto Serif" w:hAnsi="Noto Serif" w:eastAsia="Noto Serif"/>
          <w:color w:val="1D2833"/>
          <w:sz w:val="19"/>
        </w:rPr>
        <w:t xml:space="preserve"> </w:t>
      </w:r>
      <w:r>
        <w:rPr>
          <w:rFonts w:ascii="Noto Serif" w:hAnsi="Noto Serif" w:eastAsia="Noto Serif"/>
          <w:color w:val="1D2833"/>
          <w:sz w:val="19"/>
        </w:rPr>
        <w:t xml:space="preserve">satisfy hard latency, cost, reliability, privacy, and jurisdiction requirements.</w:t>
      </w:r>
    </w:p>
    <w:p>
      <w:pPr>
        <w:pStyle w:val="Compact"/>
        <w:numPr>
          <w:ilvl w:val="0"/>
          <w:numId w:val="1025"/>
        </w:numPr>
        <w:widowControl w:val="1"/>
      </w:pPr>
      <w:r>
        <w:rPr>
          <w:rFonts w:ascii="Noto Serif" w:hAnsi="Noto Serif" w:eastAsia="Noto Serif"/>
          <w:b/>
          <w:bCs/>
          <w:color w:val="1D2833"/>
          <w:sz w:val="19"/>
        </w:rPr>
        <w:t xml:space="preserve">Pareto ranking:</w:t>
      </w:r>
      <w:r>
        <w:rPr>
          <w:rFonts w:ascii="Noto Serif" w:hAnsi="Noto Serif" w:eastAsia="Noto Serif"/>
          <w:color w:val="1D2833"/>
          <w:sz w:val="19"/>
        </w:rPr>
        <w:t xml:space="preserve"> </w:t>
      </w:r>
      <w:r>
        <w:rPr>
          <w:rFonts w:ascii="Noto Serif" w:hAnsi="Noto Serif" w:eastAsia="Noto Serif"/>
          <w:color w:val="1D2833"/>
          <w:sz w:val="19"/>
        </w:rPr>
        <w:t xml:space="preserve">compare performance, uncertainty, diversity, metaproductivity, and operational cost.</w:t>
      </w:r>
    </w:p>
    <w:p>
      <w:pPr>
        <w:pStyle w:val="Compact"/>
        <w:numPr>
          <w:ilvl w:val="0"/>
          <w:numId w:val="1025"/>
        </w:numPr>
        <w:widowControl w:val="1"/>
      </w:pPr>
      <w:r>
        <w:rPr>
          <w:rFonts w:ascii="Noto Serif" w:hAnsi="Noto Serif" w:eastAsia="Noto Serif"/>
          <w:b/>
          <w:bCs/>
          <w:color w:val="1D2833"/>
          <w:sz w:val="19"/>
        </w:rPr>
        <w:t xml:space="preserve">Policy construction:</w:t>
      </w:r>
      <w:r>
        <w:rPr>
          <w:rFonts w:ascii="Noto Serif" w:hAnsi="Noto Serif" w:eastAsia="Noto Serif"/>
          <w:color w:val="1D2833"/>
          <w:sz w:val="19"/>
        </w:rPr>
        <w:t xml:space="preserve"> </w:t>
      </w:r>
      <w:r>
        <w:rPr>
          <w:rFonts w:ascii="Noto Serif" w:hAnsi="Noto Serif" w:eastAsia="Noto Serif"/>
          <w:color w:val="1D2833"/>
          <w:sz w:val="19"/>
        </w:rPr>
        <w:t xml:space="preserve">bind primary, fallback, ensemble, shadow, escalation, and abstention rules.</w:t>
      </w:r>
    </w:p>
    <w:p>
      <w:pPr>
        <w:pStyle w:val="Compact"/>
        <w:numPr>
          <w:ilvl w:val="0"/>
          <w:numId w:val="1025"/>
        </w:numPr>
        <w:widowControl w:val="1"/>
      </w:pPr>
      <w:r>
        <w:rPr>
          <w:rFonts w:ascii="Noto Serif" w:hAnsi="Noto Serif" w:eastAsia="Noto Serif"/>
          <w:b/>
          <w:bCs/>
          <w:color w:val="1D2833"/>
          <w:sz w:val="19"/>
        </w:rPr>
        <w:t xml:space="preserve">Decision receipt:</w:t>
      </w:r>
      <w:r>
        <w:rPr>
          <w:rFonts w:ascii="Noto Serif" w:hAnsi="Noto Serif" w:eastAsia="Noto Serif"/>
          <w:color w:val="1D2833"/>
          <w:sz w:val="19"/>
        </w:rPr>
        <w:t xml:space="preserve"> </w:t>
      </w:r>
      <w:r>
        <w:rPr>
          <w:rFonts w:ascii="Noto Serif" w:hAnsi="Noto Serif" w:eastAsia="Noto Serif"/>
          <w:color w:val="1D2833"/>
          <w:sz w:val="19"/>
        </w:rPr>
        <w:t xml:space="preserve">record the inputs, registry watermark, policy, and authority grant.</w:t>
      </w:r>
    </w:p>
    <w:p>
      <w:pPr>
        <w:pStyle w:val="FirstParagraph"/>
        <w:widowControl w:val="1"/>
      </w:pPr>
      <w:r>
        <w:rPr>
          <w:rFonts w:ascii="Noto Serif" w:hAnsi="Noto Serif" w:eastAsia="Noto Serif"/>
          <w:color w:val="1D2833"/>
          <w:sz w:val="20"/>
        </w:rPr>
        <w:t xml:space="preserve">The resolver should avoid learning directly from reward signals that a candidate can manipulate. If learned ranking is used, a deterministic policy layer still enforces qualification and authority constraints.</w:t>
      </w:r>
    </w:p>
    <w:bookmarkEnd w:id="68"/>
    <w:bookmarkStart w:id="69" w:name="diversity-and-open-ended-search"/>
    <w:p>
      <w:pPr>
        <w:pStyle w:val="Heading2"/>
        <w:widowControl w:val="1"/>
      </w:pPr>
      <w:r>
        <w:rPr>
          <w:rStyle w:val="SectionNumber"/>
        </w:rPr>
        <w:t xml:space="preserve">8.3</w:t>
      </w:r>
      <w:r>
        <w:tab/>
      </w:r>
      <w:r>
        <w:t xml:space="preserve">Diversity and open-ended search</w:t>
      </w:r>
    </w:p>
    <w:p>
      <w:pPr>
        <w:pStyle w:val="FirstParagraph"/>
        <w:widowControl w:val="1"/>
      </w:pPr>
      <w:r>
        <w:rPr>
          <w:rFonts w:ascii="Noto Serif" w:hAnsi="Noto Serif" w:eastAsia="Noto Serif"/>
          <w:color w:val="1D2833"/>
          <w:sz w:val="20"/>
        </w:rPr>
        <w:t xml:space="preserve">DGM and HGM highlight two limitations of greedy selection: diverse lineages can contain future stepping stones, and current performance can diverge from future improvement potential [5,6]. SCF reflects this by separating</w:t>
      </w:r>
      <w:r>
        <w:rPr>
          <w:rFonts w:ascii="Noto Serif" w:hAnsi="Noto Serif" w:eastAsia="Noto Serif"/>
          <w:color w:val="1D2833"/>
          <w:sz w:val="20"/>
        </w:rPr>
        <w:t xml:space="preserve"> </w:t>
      </w:r>
      <w:r>
        <w:rPr>
          <w:rFonts w:ascii="Noto Serif" w:hAnsi="Noto Serif" w:eastAsia="Noto Serif"/>
          <w:b/>
          <w:bCs/>
          <w:color w:val="1D2833"/>
          <w:sz w:val="20"/>
        </w:rPr>
        <w:t xml:space="preserve">operational activation</w:t>
      </w:r>
      <w:r>
        <w:rPr>
          <w:rFonts w:ascii="Noto Serif" w:hAnsi="Noto Serif" w:eastAsia="Noto Serif"/>
          <w:color w:val="1D2833"/>
          <w:sz w:val="20"/>
        </w:rPr>
        <w:t xml:space="preserve"> </w:t>
      </w:r>
      <w:r>
        <w:rPr>
          <w:rFonts w:ascii="Noto Serif" w:hAnsi="Noto Serif" w:eastAsia="Noto Serif"/>
          <w:color w:val="1D2833"/>
          <w:sz w:val="20"/>
        </w:rPr>
        <w:t xml:space="preserve">from</w:t>
      </w:r>
      <w:r>
        <w:rPr>
          <w:rFonts w:ascii="Noto Serif" w:hAnsi="Noto Serif" w:eastAsia="Noto Serif"/>
          <w:color w:val="1D2833"/>
          <w:sz w:val="20"/>
        </w:rPr>
        <w:t xml:space="preserve"> </w:t>
      </w:r>
      <w:r>
        <w:rPr>
          <w:rFonts w:ascii="Noto Serif" w:hAnsi="Noto Serif" w:eastAsia="Noto Serif"/>
          <w:b/>
          <w:bCs/>
          <w:color w:val="1D2833"/>
          <w:sz w:val="20"/>
        </w:rPr>
        <w:t xml:space="preserve">research retention</w:t>
      </w:r>
      <w:r>
        <w:rPr>
          <w:rFonts w:ascii="Noto Serif" w:hAnsi="Noto Serif" w:eastAsia="Noto Serif"/>
          <w:color w:val="1D2833"/>
          <w:sz w:val="20"/>
        </w:rPr>
        <w:t xml:space="preserve">.</w:t>
      </w:r>
    </w:p>
    <w:p>
      <w:pPr>
        <w:pStyle w:val="BodyText"/>
        <w:widowControl w:val="1"/>
      </w:pPr>
      <w:r>
        <w:rPr>
          <w:rFonts w:ascii="Noto Serif" w:hAnsi="Noto Serif" w:eastAsia="Noto Serif"/>
          <w:color w:val="1D2833"/>
          <w:sz w:val="20"/>
        </w:rPr>
        <w:t xml:space="preserve">A candidate may be unfit for production yet valuable in an exploration archive. The registry can retain:</w:t>
      </w:r>
    </w:p>
    <w:p>
      <w:pPr>
        <w:pStyle w:val="Compact"/>
        <w:numPr>
          <w:ilvl w:val="0"/>
          <w:numId w:val="1026"/>
        </w:numPr>
        <w:widowControl w:val="1"/>
      </w:pPr>
      <w:r>
        <w:rPr>
          <w:rFonts w:ascii="Noto Serif" w:hAnsi="Noto Serif" w:eastAsia="Noto Serif"/>
          <w:color w:val="1D2833"/>
          <w:sz w:val="19"/>
        </w:rPr>
        <w:t xml:space="preserve">lineage and ancestry;</w:t>
      </w:r>
    </w:p>
    <w:p>
      <w:pPr>
        <w:pStyle w:val="Compact"/>
        <w:numPr>
          <w:ilvl w:val="0"/>
          <w:numId w:val="1026"/>
        </w:numPr>
        <w:widowControl w:val="1"/>
      </w:pPr>
      <w:r>
        <w:rPr>
          <w:rFonts w:ascii="Noto Serif" w:hAnsi="Noto Serif" w:eastAsia="Noto Serif"/>
          <w:color w:val="1D2833"/>
          <w:sz w:val="19"/>
        </w:rPr>
        <w:t xml:space="preserve">behavioral novelty descriptors;</w:t>
      </w:r>
    </w:p>
    <w:p>
      <w:pPr>
        <w:pStyle w:val="Compact"/>
        <w:numPr>
          <w:ilvl w:val="0"/>
          <w:numId w:val="1026"/>
        </w:numPr>
        <w:widowControl w:val="1"/>
      </w:pPr>
      <w:r>
        <w:rPr>
          <w:rFonts w:ascii="Noto Serif" w:hAnsi="Noto Serif" w:eastAsia="Noto Serif"/>
          <w:color w:val="1D2833"/>
          <w:sz w:val="19"/>
        </w:rPr>
        <w:t xml:space="preserve">evaluator disagreement patterns;</w:t>
      </w:r>
    </w:p>
    <w:p>
      <w:pPr>
        <w:pStyle w:val="Compact"/>
        <w:numPr>
          <w:ilvl w:val="0"/>
          <w:numId w:val="1026"/>
        </w:numPr>
        <w:widowControl w:val="1"/>
      </w:pPr>
      <w:r>
        <w:rPr>
          <w:rFonts w:ascii="Noto Serif" w:hAnsi="Noto Serif" w:eastAsia="Noto Serif"/>
          <w:color w:val="1D2833"/>
          <w:sz w:val="19"/>
        </w:rPr>
        <w:t xml:space="preserve">unique implementation mechanisms;</w:t>
      </w:r>
    </w:p>
    <w:p>
      <w:pPr>
        <w:pStyle w:val="Compact"/>
        <w:numPr>
          <w:ilvl w:val="0"/>
          <w:numId w:val="1026"/>
        </w:numPr>
        <w:widowControl w:val="1"/>
      </w:pPr>
      <w:r>
        <w:rPr>
          <w:rFonts w:ascii="Noto Serif" w:hAnsi="Noto Serif" w:eastAsia="Noto Serif"/>
          <w:color w:val="1D2833"/>
          <w:sz w:val="19"/>
        </w:rPr>
        <w:t xml:space="preserve">descendant performance or estimated metaproductivity;</w:t>
      </w:r>
    </w:p>
    <w:p>
      <w:pPr>
        <w:pStyle w:val="Compact"/>
        <w:numPr>
          <w:ilvl w:val="0"/>
          <w:numId w:val="1026"/>
        </w:numPr>
        <w:widowControl w:val="1"/>
      </w:pPr>
      <w:r>
        <w:rPr>
          <w:rFonts w:ascii="Noto Serif" w:hAnsi="Noto Serif" w:eastAsia="Noto Serif"/>
          <w:color w:val="1D2833"/>
          <w:sz w:val="19"/>
        </w:rPr>
        <w:t xml:space="preserve">known failures and restricted domains.</w:t>
      </w:r>
    </w:p>
    <w:p>
      <w:pPr>
        <w:pStyle w:val="FirstParagraph"/>
        <w:widowControl w:val="1"/>
      </w:pPr>
      <w:r>
        <w:rPr>
          <w:rFonts w:ascii="Noto Serif" w:hAnsi="Noto Serif" w:eastAsia="Noto Serif"/>
          <w:color w:val="1D2833"/>
          <w:sz w:val="20"/>
        </w:rPr>
        <w:t xml:space="preserve">Operational routing remains conservative, while research search can sample broadly from the archive. This prevents a safety gate from collapsing the search space into one monoculture and prevents experimental novelty from receiving production authority.</w:t>
      </w:r>
    </w:p>
    <w:bookmarkEnd w:id="69"/>
    <w:bookmarkStart w:id="70" w:name="ensemble-and-fallback-policies"/>
    <w:p>
      <w:pPr>
        <w:pStyle w:val="Heading2"/>
        <w:widowControl w:val="1"/>
      </w:pPr>
      <w:r>
        <w:rPr>
          <w:rStyle w:val="SectionNumber"/>
        </w:rPr>
        <w:t xml:space="preserve">8.4</w:t>
      </w:r>
      <w:r>
        <w:tab/>
      </w:r>
      <w:r>
        <w:t xml:space="preserve">Ensemble and fallback policies</w:t>
      </w:r>
    </w:p>
    <w:p>
      <w:pPr>
        <w:pStyle w:val="FirstParagraph"/>
        <w:widowControl w:val="1"/>
      </w:pPr>
      <w:r>
        <w:rPr>
          <w:rFonts w:ascii="Noto Serif" w:hAnsi="Noto Serif" w:eastAsia="Noto Serif"/>
          <w:color w:val="1D2833"/>
          <w:sz w:val="20"/>
        </w:rPr>
        <w:t xml:space="preserve">A routing policy may use multiple implementations for:</w:t>
      </w:r>
    </w:p>
    <w:p>
      <w:pPr>
        <w:pStyle w:val="Compact"/>
        <w:numPr>
          <w:ilvl w:val="0"/>
          <w:numId w:val="1027"/>
        </w:numPr>
        <w:widowControl w:val="1"/>
      </w:pPr>
      <w:r>
        <w:rPr>
          <w:rFonts w:ascii="Noto Serif" w:hAnsi="Noto Serif" w:eastAsia="Noto Serif"/>
          <w:color w:val="1D2833"/>
          <w:sz w:val="19"/>
        </w:rPr>
        <w:t xml:space="preserve">independent generation and verification;</w:t>
      </w:r>
    </w:p>
    <w:p>
      <w:pPr>
        <w:pStyle w:val="Compact"/>
        <w:numPr>
          <w:ilvl w:val="0"/>
          <w:numId w:val="1027"/>
        </w:numPr>
        <w:widowControl w:val="1"/>
      </w:pPr>
      <w:r>
        <w:rPr>
          <w:rFonts w:ascii="Noto Serif" w:hAnsi="Noto Serif" w:eastAsia="Noto Serif"/>
          <w:color w:val="1D2833"/>
          <w:sz w:val="19"/>
        </w:rPr>
        <w:t xml:space="preserve">disagreement-triggered escalation;</w:t>
      </w:r>
    </w:p>
    <w:p>
      <w:pPr>
        <w:pStyle w:val="Compact"/>
        <w:numPr>
          <w:ilvl w:val="0"/>
          <w:numId w:val="1027"/>
        </w:numPr>
        <w:widowControl w:val="1"/>
      </w:pPr>
      <w:r>
        <w:rPr>
          <w:rFonts w:ascii="Noto Serif" w:hAnsi="Noto Serif" w:eastAsia="Noto Serif"/>
          <w:color w:val="1D2833"/>
          <w:sz w:val="19"/>
        </w:rPr>
        <w:t xml:space="preserve">N-version diversity [32];</w:t>
      </w:r>
    </w:p>
    <w:p>
      <w:pPr>
        <w:pStyle w:val="Compact"/>
        <w:numPr>
          <w:ilvl w:val="0"/>
          <w:numId w:val="1027"/>
        </w:numPr>
        <w:widowControl w:val="1"/>
      </w:pPr>
      <w:r>
        <w:rPr>
          <w:rFonts w:ascii="Noto Serif" w:hAnsi="Noto Serif" w:eastAsia="Noto Serif"/>
          <w:color w:val="1D2833"/>
          <w:sz w:val="19"/>
        </w:rPr>
        <w:t xml:space="preserve">shadow comparison without effects;</w:t>
      </w:r>
    </w:p>
    <w:p>
      <w:pPr>
        <w:pStyle w:val="Compact"/>
        <w:numPr>
          <w:ilvl w:val="0"/>
          <w:numId w:val="1027"/>
        </w:numPr>
        <w:widowControl w:val="1"/>
      </w:pPr>
      <w:r>
        <w:rPr>
          <w:rFonts w:ascii="Noto Serif" w:hAnsi="Noto Serif" w:eastAsia="Noto Serif"/>
          <w:color w:val="1D2833"/>
          <w:sz w:val="19"/>
        </w:rPr>
        <w:t xml:space="preserve">confidence-based fallback;</w:t>
      </w:r>
    </w:p>
    <w:p>
      <w:pPr>
        <w:pStyle w:val="Compact"/>
        <w:numPr>
          <w:ilvl w:val="0"/>
          <w:numId w:val="1027"/>
        </w:numPr>
        <w:widowControl w:val="1"/>
      </w:pPr>
      <w:r>
        <w:rPr>
          <w:rFonts w:ascii="Noto Serif" w:hAnsi="Noto Serif" w:eastAsia="Noto Serif"/>
          <w:color w:val="1D2833"/>
          <w:sz w:val="19"/>
        </w:rPr>
        <w:t xml:space="preserve">specialist routing across subdomains.</w:t>
      </w:r>
    </w:p>
    <w:p>
      <w:pPr>
        <w:pStyle w:val="FirstParagraph"/>
        <w:widowControl w:val="1"/>
      </w:pPr>
      <w:r>
        <w:rPr>
          <w:rFonts w:ascii="Noto Serif" w:hAnsi="Noto Serif" w:eastAsia="Noto Serif"/>
          <w:color w:val="1D2833"/>
          <w:sz w:val="20"/>
        </w:rPr>
        <w:t xml:space="preserve">Diversity claims must be evidenced. Two agents using the same base model, training data, tool stack, and evaluator may fail together despite different prompts. The registry should expose common ancestry and shared dependencies so the resolver can estimate common-mode risk.</w:t>
      </w:r>
    </w:p>
    <w:bookmarkEnd w:id="70"/>
    <w:bookmarkEnd w:id="71"/>
    <w:bookmarkStart w:id="76" w:name="shared-tools-effects-and-authority"/>
    <w:p>
      <w:pPr>
        <w:pStyle w:val="Heading1"/>
        <w:widowControl w:val="1"/>
        <w:pBdr>
          <w:bottom w:val="single" w:sz="7" w:space="4" w:color="E8EEF3"/>
        </w:pBdr>
      </w:pPr>
      <w:r>
        <w:rPr>
          <w:rStyle w:val="SectionNumber"/>
        </w:rPr>
        <w:t xml:space="preserve">9</w:t>
      </w:r>
      <w:r>
        <w:tab/>
      </w:r>
      <w:r>
        <w:t xml:space="preserve">Shared tools, effects, and authority</w:t>
      </w:r>
    </w:p>
    <w:bookmarkStart w:id="72" w:name="X7a227d6ad59baf222e3d5e74ba287d20f0dd16b"/>
    <w:p>
      <w:pPr>
        <w:pStyle w:val="Heading2"/>
        <w:widowControl w:val="1"/>
      </w:pPr>
      <w:r>
        <w:rPr>
          <w:rStyle w:val="SectionNumber"/>
        </w:rPr>
        <w:t xml:space="preserve">9.1</w:t>
      </w:r>
      <w:r>
        <w:tab/>
      </w:r>
      <w:r>
        <w:t xml:space="preserve">Tool access is not implementation inheritance</w:t>
      </w:r>
    </w:p>
    <w:p>
      <w:pPr>
        <w:pStyle w:val="FirstParagraph"/>
        <w:widowControl w:val="1"/>
      </w:pPr>
      <w:r>
        <w:rPr>
          <w:rFonts w:ascii="Noto Serif" w:hAnsi="Noto Serif" w:eastAsia="Noto Serif"/>
          <w:color w:val="1D2833"/>
          <w:sz w:val="20"/>
        </w:rPr>
        <w:t xml:space="preserve">A dangerous plugin model gives any replacement placed behind a trusted abstraction the same tools as its predecessor. SCF separates implementation identity from authority. The implementation requests capabilities; the contract defines a ceiling; the deployment grants a subset; and a broker issues attenuated, revocable handles.</w:t>
      </w:r>
    </w:p>
    <w:p>
      <w:pPr>
        <w:pStyle w:val="BodyText"/>
        <w:widowControl w:val="1"/>
      </w:pPr>
      <w:r>
        <w:rPr>
          <w:rFonts w:ascii="Noto Serif" w:hAnsi="Noto Serif" w:eastAsia="Noto Serif"/>
          <w:color w:val="1D2833"/>
          <w:sz w:val="20"/>
        </w:rPr>
        <w:t xml:space="preserve">A tool descriptor should include:</w:t>
      </w:r>
    </w:p>
    <w:p>
      <w:pPr>
        <w:pStyle w:val="Compact"/>
        <w:numPr>
          <w:ilvl w:val="0"/>
          <w:numId w:val="1028"/>
        </w:numPr>
        <w:widowControl w:val="1"/>
      </w:pPr>
      <w:r>
        <w:rPr>
          <w:rFonts w:ascii="Noto Serif" w:hAnsi="Noto Serif" w:eastAsia="Noto Serif"/>
          <w:color w:val="1D2833"/>
          <w:sz w:val="19"/>
        </w:rPr>
        <w:t xml:space="preserve">input and output schemas;</w:t>
      </w:r>
    </w:p>
    <w:p>
      <w:pPr>
        <w:pStyle w:val="Compact"/>
        <w:numPr>
          <w:ilvl w:val="0"/>
          <w:numId w:val="1028"/>
        </w:numPr>
        <w:widowControl w:val="1"/>
      </w:pPr>
      <w:r>
        <w:rPr>
          <w:rFonts w:ascii="Noto Serif" w:hAnsi="Noto Serif" w:eastAsia="Noto Serif"/>
          <w:color w:val="1D2833"/>
          <w:sz w:val="19"/>
        </w:rPr>
        <w:t xml:space="preserve">effect type and idempotency;</w:t>
      </w:r>
    </w:p>
    <w:p>
      <w:pPr>
        <w:pStyle w:val="Compact"/>
        <w:numPr>
          <w:ilvl w:val="0"/>
          <w:numId w:val="1028"/>
        </w:numPr>
        <w:widowControl w:val="1"/>
      </w:pPr>
      <w:r>
        <w:rPr>
          <w:rFonts w:ascii="Noto Serif" w:hAnsi="Noto Serif" w:eastAsia="Noto Serif"/>
          <w:color w:val="1D2833"/>
          <w:sz w:val="19"/>
        </w:rPr>
        <w:t xml:space="preserve">data sensitivity and permitted destinations;</w:t>
      </w:r>
    </w:p>
    <w:p>
      <w:pPr>
        <w:pStyle w:val="Compact"/>
        <w:numPr>
          <w:ilvl w:val="0"/>
          <w:numId w:val="1028"/>
        </w:numPr>
        <w:widowControl w:val="1"/>
      </w:pPr>
      <w:r>
        <w:rPr>
          <w:rFonts w:ascii="Noto Serif" w:hAnsi="Noto Serif" w:eastAsia="Noto Serif"/>
          <w:color w:val="1D2833"/>
          <w:sz w:val="19"/>
        </w:rPr>
        <w:t xml:space="preserve">required identity and authorization flow;</w:t>
      </w:r>
    </w:p>
    <w:p>
      <w:pPr>
        <w:pStyle w:val="Compact"/>
        <w:numPr>
          <w:ilvl w:val="0"/>
          <w:numId w:val="1028"/>
        </w:numPr>
        <w:widowControl w:val="1"/>
      </w:pPr>
      <w:r>
        <w:rPr>
          <w:rFonts w:ascii="Noto Serif" w:hAnsi="Noto Serif" w:eastAsia="Noto Serif"/>
          <w:color w:val="1D2833"/>
          <w:sz w:val="19"/>
        </w:rPr>
        <w:t xml:space="preserve">rate, spend, time, and concurrency limits;</w:t>
      </w:r>
    </w:p>
    <w:p>
      <w:pPr>
        <w:pStyle w:val="Compact"/>
        <w:numPr>
          <w:ilvl w:val="0"/>
          <w:numId w:val="1028"/>
        </w:numPr>
        <w:widowControl w:val="1"/>
      </w:pPr>
      <w:r>
        <w:rPr>
          <w:rFonts w:ascii="Noto Serif" w:hAnsi="Noto Serif" w:eastAsia="Noto Serif"/>
          <w:color w:val="1D2833"/>
          <w:sz w:val="19"/>
        </w:rPr>
        <w:t xml:space="preserve">sandbox and network boundaries;</w:t>
      </w:r>
    </w:p>
    <w:p>
      <w:pPr>
        <w:pStyle w:val="Compact"/>
        <w:numPr>
          <w:ilvl w:val="0"/>
          <w:numId w:val="1028"/>
        </w:numPr>
        <w:widowControl w:val="1"/>
      </w:pPr>
      <w:r>
        <w:rPr>
          <w:rFonts w:ascii="Noto Serif" w:hAnsi="Noto Serif" w:eastAsia="Noto Serif"/>
          <w:color w:val="1D2833"/>
          <w:sz w:val="19"/>
        </w:rPr>
        <w:t xml:space="preserve">audit receipt format;</w:t>
      </w:r>
    </w:p>
    <w:p>
      <w:pPr>
        <w:pStyle w:val="Compact"/>
        <w:numPr>
          <w:ilvl w:val="0"/>
          <w:numId w:val="1028"/>
        </w:numPr>
        <w:widowControl w:val="1"/>
      </w:pPr>
      <w:r>
        <w:rPr>
          <w:rFonts w:ascii="Noto Serif" w:hAnsi="Noto Serif" w:eastAsia="Noto Serif"/>
          <w:color w:val="1D2833"/>
          <w:sz w:val="19"/>
        </w:rPr>
        <w:t xml:space="preserve">cancellation, compensation, and recovery semantics;</w:t>
      </w:r>
    </w:p>
    <w:p>
      <w:pPr>
        <w:pStyle w:val="Compact"/>
        <w:numPr>
          <w:ilvl w:val="0"/>
          <w:numId w:val="1028"/>
        </w:numPr>
        <w:widowControl w:val="1"/>
      </w:pPr>
      <w:r>
        <w:rPr>
          <w:rFonts w:ascii="Noto Serif" w:hAnsi="Noto Serif" w:eastAsia="Noto Serif"/>
          <w:color w:val="1D2833"/>
          <w:sz w:val="19"/>
        </w:rPr>
        <w:t xml:space="preserve">provenance and version.</w:t>
      </w:r>
    </w:p>
    <w:p>
      <w:pPr>
        <w:pStyle w:val="FirstParagraph"/>
        <w:widowControl w:val="1"/>
      </w:pPr>
      <w:r>
        <w:rPr>
          <w:rFonts w:ascii="Noto Serif" w:hAnsi="Noto Serif" w:eastAsia="Noto Serif"/>
          <w:color w:val="1D2833"/>
          <w:sz w:val="20"/>
        </w:rPr>
        <w:t xml:space="preserve">MCP and A2A can carry invocation and interoperability metadata [16,17], but SCF adds local authority, qualification, and lifecycle semantics.</w:t>
      </w:r>
    </w:p>
    <w:bookmarkEnd w:id="72"/>
    <w:bookmarkStart w:id="73" w:name="capability-broker-and-reference-monitor"/>
    <w:p>
      <w:pPr>
        <w:pStyle w:val="Heading2"/>
        <w:widowControl w:val="1"/>
      </w:pPr>
      <w:r>
        <w:rPr>
          <w:rStyle w:val="SectionNumber"/>
        </w:rPr>
        <w:t xml:space="preserve">9.2</w:t>
      </w:r>
      <w:r>
        <w:tab/>
      </w:r>
      <w:r>
        <w:t xml:space="preserve">Capability broker and reference monitor</w:t>
      </w:r>
    </w:p>
    <w:p>
      <w:pPr>
        <w:pStyle w:val="FirstParagraph"/>
        <w:widowControl w:val="1"/>
      </w:pPr>
      <w:r>
        <w:rPr>
          <w:rFonts w:ascii="Noto Serif" w:hAnsi="Noto Serif" w:eastAsia="Noto Serif"/>
          <w:color w:val="1D2833"/>
          <w:sz w:val="20"/>
        </w:rPr>
        <w:t xml:space="preserve">The tool broker is a small, high-assurance component that:</w:t>
      </w:r>
    </w:p>
    <w:p>
      <w:pPr>
        <w:pStyle w:val="Compact"/>
        <w:numPr>
          <w:ilvl w:val="0"/>
          <w:numId w:val="1029"/>
        </w:numPr>
        <w:widowControl w:val="1"/>
      </w:pPr>
      <w:r>
        <w:rPr>
          <w:rFonts w:ascii="Noto Serif" w:hAnsi="Noto Serif" w:eastAsia="Noto Serif"/>
          <w:color w:val="1D2833"/>
          <w:sz w:val="19"/>
        </w:rPr>
        <w:t xml:space="preserve">authenticates the field instance and deployment profile;</w:t>
      </w:r>
    </w:p>
    <w:p>
      <w:pPr>
        <w:pStyle w:val="Compact"/>
        <w:numPr>
          <w:ilvl w:val="0"/>
          <w:numId w:val="1029"/>
        </w:numPr>
        <w:widowControl w:val="1"/>
      </w:pPr>
      <w:r>
        <w:rPr>
          <w:rFonts w:ascii="Noto Serif" w:hAnsi="Noto Serif" w:eastAsia="Noto Serif"/>
          <w:color w:val="1D2833"/>
          <w:sz w:val="19"/>
        </w:rPr>
        <w:t xml:space="preserve">checks the effective grant for each requested effect;</w:t>
      </w:r>
    </w:p>
    <w:p>
      <w:pPr>
        <w:pStyle w:val="Compact"/>
        <w:numPr>
          <w:ilvl w:val="0"/>
          <w:numId w:val="1029"/>
        </w:numPr>
        <w:widowControl w:val="1"/>
      </w:pPr>
      <w:r>
        <w:rPr>
          <w:rFonts w:ascii="Noto Serif" w:hAnsi="Noto Serif" w:eastAsia="Noto Serif"/>
          <w:color w:val="1D2833"/>
          <w:sz w:val="19"/>
        </w:rPr>
        <w:t xml:space="preserve">binds parameters to policy, such as allowed paths or domains;</w:t>
      </w:r>
    </w:p>
    <w:p>
      <w:pPr>
        <w:pStyle w:val="Compact"/>
        <w:numPr>
          <w:ilvl w:val="0"/>
          <w:numId w:val="1029"/>
        </w:numPr>
        <w:widowControl w:val="1"/>
      </w:pPr>
      <w:r>
        <w:rPr>
          <w:rFonts w:ascii="Noto Serif" w:hAnsi="Noto Serif" w:eastAsia="Noto Serif"/>
          <w:color w:val="1D2833"/>
          <w:sz w:val="19"/>
        </w:rPr>
        <w:t xml:space="preserve">prevents confused-deputy delegation;</w:t>
      </w:r>
    </w:p>
    <w:p>
      <w:pPr>
        <w:pStyle w:val="Compact"/>
        <w:numPr>
          <w:ilvl w:val="0"/>
          <w:numId w:val="1029"/>
        </w:numPr>
        <w:widowControl w:val="1"/>
      </w:pPr>
      <w:r>
        <w:rPr>
          <w:rFonts w:ascii="Noto Serif" w:hAnsi="Noto Serif" w:eastAsia="Noto Serif"/>
          <w:color w:val="1D2833"/>
          <w:sz w:val="19"/>
        </w:rPr>
        <w:t xml:space="preserve">records effect receipts;</w:t>
      </w:r>
    </w:p>
    <w:p>
      <w:pPr>
        <w:pStyle w:val="Compact"/>
        <w:numPr>
          <w:ilvl w:val="0"/>
          <w:numId w:val="1029"/>
        </w:numPr>
        <w:widowControl w:val="1"/>
      </w:pPr>
      <w:r>
        <w:rPr>
          <w:rFonts w:ascii="Noto Serif" w:hAnsi="Noto Serif" w:eastAsia="Noto Serif"/>
          <w:color w:val="1D2833"/>
          <w:sz w:val="19"/>
        </w:rPr>
        <w:t xml:space="preserve">supports revocation and emergency stop;</w:t>
      </w:r>
    </w:p>
    <w:p>
      <w:pPr>
        <w:pStyle w:val="Compact"/>
        <w:numPr>
          <w:ilvl w:val="0"/>
          <w:numId w:val="1029"/>
        </w:numPr>
        <w:widowControl w:val="1"/>
      </w:pPr>
      <w:r>
        <w:rPr>
          <w:rFonts w:ascii="Noto Serif" w:hAnsi="Noto Serif" w:eastAsia="Noto Serif"/>
          <w:color w:val="1D2833"/>
          <w:sz w:val="19"/>
        </w:rPr>
        <w:t xml:space="preserve">enforces budgets and rate limits;</w:t>
      </w:r>
    </w:p>
    <w:p>
      <w:pPr>
        <w:pStyle w:val="Compact"/>
        <w:numPr>
          <w:ilvl w:val="0"/>
          <w:numId w:val="1029"/>
        </w:numPr>
        <w:widowControl w:val="1"/>
      </w:pPr>
      <w:r>
        <w:rPr>
          <w:rFonts w:ascii="Noto Serif" w:hAnsi="Noto Serif" w:eastAsia="Noto Serif"/>
          <w:color w:val="1D2833"/>
          <w:sz w:val="19"/>
        </w:rPr>
        <w:t xml:space="preserve">routes high-consequence actions through approval or two-phase commit.</w:t>
      </w:r>
    </w:p>
    <w:p>
      <w:pPr>
        <w:pStyle w:val="FirstParagraph"/>
        <w:widowControl w:val="1"/>
      </w:pPr>
      <w:r>
        <w:rPr>
          <w:rFonts w:ascii="Noto Serif" w:hAnsi="Noto Serif" w:eastAsia="Noto Serif"/>
          <w:color w:val="1D2833"/>
          <w:sz w:val="20"/>
        </w:rPr>
        <w:t xml:space="preserve">High-level tools can themselves be fields. For example,</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send a compliant customer notification</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may be implemented by several messaging services and policy validators. Raw effectors should remain beneath the broker so that a replacement cannot bypass the high-level contract by calling an unrestricted primitive.</w:t>
      </w:r>
    </w:p>
    <w:bookmarkEnd w:id="73"/>
    <w:bookmarkStart w:id="74" w:name="authority-amplification-and-composition"/>
    <w:p>
      <w:pPr>
        <w:pStyle w:val="Heading2"/>
        <w:widowControl w:val="1"/>
      </w:pPr>
      <w:r>
        <w:rPr>
          <w:rStyle w:val="SectionNumber"/>
        </w:rPr>
        <w:t xml:space="preserve">9.3</w:t>
      </w:r>
      <w:r>
        <w:tab/>
      </w:r>
      <w:r>
        <w:t xml:space="preserve">Authority amplification and composition</w:t>
      </w:r>
    </w:p>
    <w:p>
      <w:pPr>
        <w:pStyle w:val="FirstParagraph"/>
        <w:widowControl w:val="1"/>
      </w:pPr>
      <w:r>
        <w:rPr>
          <w:rFonts w:ascii="Noto Serif" w:hAnsi="Noto Serif" w:eastAsia="Noto Serif"/>
          <w:color w:val="1D2833"/>
          <w:sz w:val="20"/>
        </w:rPr>
        <w:t xml:space="preserve">Compositional authority is not the union of individually safe permissions. Examples include:</w:t>
      </w:r>
    </w:p>
    <w:p>
      <w:pPr>
        <w:pStyle w:val="Compact"/>
        <w:numPr>
          <w:ilvl w:val="0"/>
          <w:numId w:val="1030"/>
        </w:numPr>
        <w:widowControl w:val="1"/>
      </w:pPr>
      <w:r>
        <w:rPr>
          <w:rFonts w:ascii="Noto Serif" w:hAnsi="Noto Serif" w:eastAsia="Noto Serif"/>
          <w:color w:val="1D2833"/>
          <w:sz w:val="19"/>
        </w:rPr>
        <w:t xml:space="preserve">secret read plus unrestricted network egress;</w:t>
      </w:r>
    </w:p>
    <w:p>
      <w:pPr>
        <w:pStyle w:val="Compact"/>
        <w:numPr>
          <w:ilvl w:val="0"/>
          <w:numId w:val="1030"/>
        </w:numPr>
        <w:widowControl w:val="1"/>
      </w:pPr>
      <w:r>
        <w:rPr>
          <w:rFonts w:ascii="Noto Serif" w:hAnsi="Noto Serif" w:eastAsia="Noto Serif"/>
          <w:color w:val="1D2833"/>
          <w:sz w:val="19"/>
        </w:rPr>
        <w:t xml:space="preserve">code execution plus writable deployment credentials;</w:t>
      </w:r>
    </w:p>
    <w:p>
      <w:pPr>
        <w:pStyle w:val="Compact"/>
        <w:numPr>
          <w:ilvl w:val="0"/>
          <w:numId w:val="1030"/>
        </w:numPr>
        <w:widowControl w:val="1"/>
      </w:pPr>
      <w:r>
        <w:rPr>
          <w:rFonts w:ascii="Noto Serif" w:hAnsi="Noto Serif" w:eastAsia="Noto Serif"/>
          <w:color w:val="1D2833"/>
          <w:sz w:val="19"/>
        </w:rPr>
        <w:t xml:space="preserve">calendar read plus external messaging and identity impersonation;</w:t>
      </w:r>
    </w:p>
    <w:p>
      <w:pPr>
        <w:pStyle w:val="Compact"/>
        <w:numPr>
          <w:ilvl w:val="0"/>
          <w:numId w:val="1030"/>
        </w:numPr>
        <w:widowControl w:val="1"/>
      </w:pPr>
      <w:r>
        <w:rPr>
          <w:rFonts w:ascii="Noto Serif" w:hAnsi="Noto Serif" w:eastAsia="Noto Serif"/>
          <w:color w:val="1D2833"/>
          <w:sz w:val="19"/>
        </w:rPr>
        <w:t xml:space="preserve">memory write plus evaluator-data access;</w:t>
      </w:r>
    </w:p>
    <w:p>
      <w:pPr>
        <w:pStyle w:val="Compact"/>
        <w:numPr>
          <w:ilvl w:val="0"/>
          <w:numId w:val="1030"/>
        </w:numPr>
        <w:widowControl w:val="1"/>
      </w:pPr>
      <w:r>
        <w:rPr>
          <w:rFonts w:ascii="Noto Serif" w:hAnsi="Noto Serif" w:eastAsia="Noto Serif"/>
          <w:color w:val="1D2833"/>
          <w:sz w:val="19"/>
        </w:rPr>
        <w:t xml:space="preserve">model-update permission plus benchmark-selection permission.</w:t>
      </w:r>
    </w:p>
    <w:p>
      <w:pPr>
        <w:pStyle w:val="FirstParagraph"/>
        <w:widowControl w:val="1"/>
      </w:pPr>
      <w:r>
        <w:rPr>
          <w:rFonts w:ascii="Noto Serif" w:hAnsi="Noto Serif" w:eastAsia="Noto Serif"/>
          <w:color w:val="1D2833"/>
          <w:sz w:val="20"/>
        </w:rPr>
        <w:t xml:space="preserve">The authority lattice must encode toxic combinations and delegation depth. Cross-field composition analysis should treat these combinations as system invariants, not leave them to individual field contracts.</w:t>
      </w:r>
    </w:p>
    <w:bookmarkEnd w:id="74"/>
    <w:bookmarkStart w:id="75" w:name="effect-classes-and-reversibility"/>
    <w:p>
      <w:pPr>
        <w:pStyle w:val="Heading2"/>
        <w:widowControl w:val="1"/>
      </w:pPr>
      <w:r>
        <w:rPr>
          <w:rStyle w:val="SectionNumber"/>
        </w:rPr>
        <w:t xml:space="preserve">9.4</w:t>
      </w:r>
      <w:r>
        <w:tab/>
      </w:r>
      <w:r>
        <w:t xml:space="preserve">Effect classes and reversibility</w:t>
      </w:r>
    </w:p>
    <w:p>
      <w:pPr>
        <w:pStyle w:val="FirstParagraph"/>
        <w:widowControl w:val="1"/>
      </w:pPr>
      <w:r>
        <w:rPr>
          <w:rFonts w:ascii="Noto Serif" w:hAnsi="Noto Serif" w:eastAsia="Noto Serif"/>
          <w:color w:val="1D2833"/>
          <w:sz w:val="20"/>
        </w:rPr>
        <w:t xml:space="preserve">Effects should be classified by reversibility:</w:t>
      </w:r>
    </w:p>
    <w:p>
      <w:pPr>
        <w:pStyle w:val="Compact"/>
        <w:numPr>
          <w:ilvl w:val="0"/>
          <w:numId w:val="1031"/>
        </w:numPr>
        <w:widowControl w:val="1"/>
      </w:pPr>
      <w:r>
        <w:rPr>
          <w:rFonts w:ascii="Noto Serif" w:hAnsi="Noto Serif" w:eastAsia="Noto Serif"/>
          <w:b/>
          <w:bCs/>
          <w:color w:val="1D2833"/>
          <w:sz w:val="19"/>
        </w:rPr>
        <w:t xml:space="preserve">pure:</w:t>
      </w:r>
      <w:r>
        <w:rPr>
          <w:rFonts w:ascii="Noto Serif" w:hAnsi="Noto Serif" w:eastAsia="Noto Serif"/>
          <w:color w:val="1D2833"/>
          <w:sz w:val="19"/>
        </w:rPr>
        <w:t xml:space="preserve"> </w:t>
      </w:r>
      <w:r>
        <w:rPr>
          <w:rFonts w:ascii="Noto Serif" w:hAnsi="Noto Serif" w:eastAsia="Noto Serif"/>
          <w:color w:val="1D2833"/>
          <w:sz w:val="19"/>
        </w:rPr>
        <w:t xml:space="preserve">no externally observable effect;</w:t>
      </w:r>
    </w:p>
    <w:p>
      <w:pPr>
        <w:pStyle w:val="Compact"/>
        <w:numPr>
          <w:ilvl w:val="0"/>
          <w:numId w:val="1031"/>
        </w:numPr>
        <w:widowControl w:val="1"/>
      </w:pPr>
      <w:r>
        <w:rPr>
          <w:rFonts w:ascii="Noto Serif" w:hAnsi="Noto Serif" w:eastAsia="Noto Serif"/>
          <w:b/>
          <w:bCs/>
          <w:color w:val="1D2833"/>
          <w:sz w:val="19"/>
        </w:rPr>
        <w:t xml:space="preserve">ephemeral:</w:t>
      </w:r>
      <w:r>
        <w:rPr>
          <w:rFonts w:ascii="Noto Serif" w:hAnsi="Noto Serif" w:eastAsia="Noto Serif"/>
          <w:color w:val="1D2833"/>
          <w:sz w:val="19"/>
        </w:rPr>
        <w:t xml:space="preserve"> </w:t>
      </w:r>
      <w:r>
        <w:rPr>
          <w:rFonts w:ascii="Noto Serif" w:hAnsi="Noto Serif" w:eastAsia="Noto Serif"/>
          <w:color w:val="1D2833"/>
          <w:sz w:val="19"/>
        </w:rPr>
        <w:t xml:space="preserve">effect disappears automatically or on cancellation;</w:t>
      </w:r>
    </w:p>
    <w:p>
      <w:pPr>
        <w:pStyle w:val="Compact"/>
        <w:numPr>
          <w:ilvl w:val="0"/>
          <w:numId w:val="1031"/>
        </w:numPr>
        <w:widowControl w:val="1"/>
      </w:pPr>
      <w:r>
        <w:rPr>
          <w:rFonts w:ascii="Noto Serif" w:hAnsi="Noto Serif" w:eastAsia="Noto Serif"/>
          <w:b/>
          <w:bCs/>
          <w:color w:val="1D2833"/>
          <w:sz w:val="19"/>
        </w:rPr>
        <w:t xml:space="preserve">transactional:</w:t>
      </w:r>
      <w:r>
        <w:rPr>
          <w:rFonts w:ascii="Noto Serif" w:hAnsi="Noto Serif" w:eastAsia="Noto Serif"/>
          <w:color w:val="1D2833"/>
          <w:sz w:val="19"/>
        </w:rPr>
        <w:t xml:space="preserve"> </w:t>
      </w:r>
      <w:r>
        <w:rPr>
          <w:rFonts w:ascii="Noto Serif" w:hAnsi="Noto Serif" w:eastAsia="Noto Serif"/>
          <w:color w:val="1D2833"/>
          <w:sz w:val="19"/>
        </w:rPr>
        <w:t xml:space="preserve">can be committed or aborted atomically;</w:t>
      </w:r>
    </w:p>
    <w:p>
      <w:pPr>
        <w:pStyle w:val="Compact"/>
        <w:numPr>
          <w:ilvl w:val="0"/>
          <w:numId w:val="1031"/>
        </w:numPr>
        <w:widowControl w:val="1"/>
      </w:pPr>
      <w:r>
        <w:rPr>
          <w:rFonts w:ascii="Noto Serif" w:hAnsi="Noto Serif" w:eastAsia="Noto Serif"/>
          <w:b/>
          <w:bCs/>
          <w:color w:val="1D2833"/>
          <w:sz w:val="19"/>
        </w:rPr>
        <w:t xml:space="preserve">compensable:</w:t>
      </w:r>
      <w:r>
        <w:rPr>
          <w:rFonts w:ascii="Noto Serif" w:hAnsi="Noto Serif" w:eastAsia="Noto Serif"/>
          <w:color w:val="1D2833"/>
          <w:sz w:val="19"/>
        </w:rPr>
        <w:t xml:space="preserve"> </w:t>
      </w:r>
      <w:r>
        <w:rPr>
          <w:rFonts w:ascii="Noto Serif" w:hAnsi="Noto Serif" w:eastAsia="Noto Serif"/>
          <w:color w:val="1D2833"/>
          <w:sz w:val="19"/>
        </w:rPr>
        <w:t xml:space="preserve">cannot be erased but has an approved counter-action;</w:t>
      </w:r>
    </w:p>
    <w:p>
      <w:pPr>
        <w:pStyle w:val="Compact"/>
        <w:numPr>
          <w:ilvl w:val="0"/>
          <w:numId w:val="1031"/>
        </w:numPr>
        <w:widowControl w:val="1"/>
      </w:pPr>
      <w:r>
        <w:rPr>
          <w:rFonts w:ascii="Noto Serif" w:hAnsi="Noto Serif" w:eastAsia="Noto Serif"/>
          <w:b/>
          <w:bCs/>
          <w:color w:val="1D2833"/>
          <w:sz w:val="19"/>
        </w:rPr>
        <w:t xml:space="preserve">irreversible:</w:t>
      </w:r>
      <w:r>
        <w:rPr>
          <w:rFonts w:ascii="Noto Serif" w:hAnsi="Noto Serif" w:eastAsia="Noto Serif"/>
          <w:color w:val="1D2833"/>
          <w:sz w:val="19"/>
        </w:rPr>
        <w:t xml:space="preserve"> </w:t>
      </w:r>
      <w:r>
        <w:rPr>
          <w:rFonts w:ascii="Noto Serif" w:hAnsi="Noto Serif" w:eastAsia="Noto Serif"/>
          <w:color w:val="1D2833"/>
          <w:sz w:val="19"/>
        </w:rPr>
        <w:t xml:space="preserve">cannot be reliably undone.</w:t>
      </w:r>
    </w:p>
    <w:p>
      <w:pPr>
        <w:pStyle w:val="FirstParagraph"/>
        <w:widowControl w:val="1"/>
      </w:pPr>
      <w:r>
        <w:rPr>
          <w:rFonts w:ascii="Noto Serif" w:hAnsi="Noto Serif" w:eastAsia="Noto Serif"/>
          <w:color w:val="1D2833"/>
          <w:sz w:val="20"/>
        </w:rPr>
        <w:t xml:space="preserve">Promotion stages should use the least consequential available effect mode. Shadow deployments receive mirrored inputs but no real effect authority. Canary deployments receive bounded scopes, budgets, or populations. Irreversible actions require stronger evidence, preview, approval, and postcondition monitoring.</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Rollback</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for an irreversible action means containing future behavior and executing compensation, not pretending history was erased.</w:t>
      </w:r>
    </w:p>
    <w:bookmarkEnd w:id="75"/>
    <w:bookmarkEnd w:id="76"/>
    <w:bookmarkStart w:id="82" w:name="X73908a7a1574b92545d016b84189e4834a94454"/>
    <w:p>
      <w:pPr>
        <w:pStyle w:val="Heading1"/>
        <w:widowControl w:val="1"/>
        <w:pBdr>
          <w:bottom w:val="single" w:sz="7" w:space="4" w:color="E8EEF3"/>
        </w:pBdr>
      </w:pPr>
      <w:r>
        <w:rPr>
          <w:rStyle w:val="SectionNumber"/>
        </w:rPr>
        <w:t xml:space="preserve">10</w:t>
      </w:r>
      <w:r>
        <w:tab/>
      </w:r>
      <w:r>
        <w:t xml:space="preserve">Evaluator architecture and epistemic security</w:t>
      </w:r>
    </w:p>
    <w:bookmarkStart w:id="77" w:name="X1720c91e854b9fce0de73a6550d97b01b998365"/>
    <w:p>
      <w:pPr>
        <w:pStyle w:val="Heading2"/>
        <w:widowControl w:val="1"/>
      </w:pPr>
      <w:r>
        <w:rPr>
          <w:rStyle w:val="SectionNumber"/>
        </w:rPr>
        <w:t xml:space="preserve">10.1</w:t>
      </w:r>
      <w:r>
        <w:tab/>
      </w:r>
      <w:r>
        <w:t xml:space="preserve">Evaluators are part of the attack surface</w:t>
      </w:r>
    </w:p>
    <w:p>
      <w:pPr>
        <w:pStyle w:val="FirstParagraph"/>
        <w:widowControl w:val="1"/>
      </w:pPr>
      <w:r>
        <w:rPr>
          <w:rFonts w:ascii="Noto Serif" w:hAnsi="Noto Serif" w:eastAsia="Noto Serif"/>
          <w:color w:val="1D2833"/>
          <w:sz w:val="20"/>
        </w:rPr>
        <w:t xml:space="preserve">A self-improver can fail by optimizing the evaluator rather than the capability. Concrete AI safety work identifies reward hacking, side effects, distribution shift, and oversight problems [37]. Reward-tampering analysis formalizes incentives to manipulate the reward channel [38]. AI control research studies monitoring and containment even when a model may intentionally subvert oversight [39]. These concerns are central to SCF because a candidate may generate tests, select data, influence traces, or propose changes to its own evaluator.</w:t>
      </w:r>
    </w:p>
    <w:p>
      <w:pPr>
        <w:pStyle w:val="BodyText"/>
        <w:widowControl w:val="1"/>
      </w:pPr>
      <w:r>
        <w:rPr>
          <w:rFonts w:ascii="Noto Serif" w:hAnsi="Noto Serif" w:eastAsia="Noto Serif"/>
          <w:color w:val="1D2833"/>
          <w:sz w:val="20"/>
        </w:rPr>
        <w:t xml:space="preserve">The architecture should therefore separate four powers:</w:t>
      </w:r>
    </w:p>
    <w:p>
      <w:pPr>
        <w:pStyle w:val="Compact"/>
        <w:numPr>
          <w:ilvl w:val="0"/>
          <w:numId w:val="1032"/>
        </w:numPr>
        <w:widowControl w:val="1"/>
      </w:pPr>
      <w:r>
        <w:rPr>
          <w:rFonts w:ascii="Noto Serif" w:hAnsi="Noto Serif" w:eastAsia="Noto Serif"/>
          <w:b/>
          <w:bCs/>
          <w:color w:val="1D2833"/>
          <w:sz w:val="19"/>
        </w:rPr>
        <w:t xml:space="preserve">proposal:</w:t>
      </w:r>
      <w:r>
        <w:rPr>
          <w:rFonts w:ascii="Noto Serif" w:hAnsi="Noto Serif" w:eastAsia="Noto Serif"/>
          <w:color w:val="1D2833"/>
          <w:sz w:val="19"/>
        </w:rPr>
        <w:t xml:space="preserve"> </w:t>
      </w:r>
      <w:r>
        <w:rPr>
          <w:rFonts w:ascii="Noto Serif" w:hAnsi="Noto Serif" w:eastAsia="Noto Serif"/>
          <w:color w:val="1D2833"/>
          <w:sz w:val="19"/>
        </w:rPr>
        <w:t xml:space="preserve">create candidate implementations and improvement hypotheses;</w:t>
      </w:r>
    </w:p>
    <w:p>
      <w:pPr>
        <w:pStyle w:val="Compact"/>
        <w:numPr>
          <w:ilvl w:val="0"/>
          <w:numId w:val="1032"/>
        </w:numPr>
        <w:widowControl w:val="1"/>
      </w:pPr>
      <w:r>
        <w:rPr>
          <w:rFonts w:ascii="Noto Serif" w:hAnsi="Noto Serif" w:eastAsia="Noto Serif"/>
          <w:b/>
          <w:bCs/>
          <w:color w:val="1D2833"/>
          <w:sz w:val="19"/>
        </w:rPr>
        <w:t xml:space="preserve">evaluation:</w:t>
      </w:r>
      <w:r>
        <w:rPr>
          <w:rFonts w:ascii="Noto Serif" w:hAnsi="Noto Serif" w:eastAsia="Noto Serif"/>
          <w:color w:val="1D2833"/>
          <w:sz w:val="19"/>
        </w:rPr>
        <w:t xml:space="preserve"> </w:t>
      </w:r>
      <w:r>
        <w:rPr>
          <w:rFonts w:ascii="Noto Serif" w:hAnsi="Noto Serif" w:eastAsia="Noto Serif"/>
          <w:color w:val="1D2833"/>
          <w:sz w:val="19"/>
        </w:rPr>
        <w:t xml:space="preserve">produce evidence and challenge claims;</w:t>
      </w:r>
    </w:p>
    <w:p>
      <w:pPr>
        <w:pStyle w:val="Compact"/>
        <w:numPr>
          <w:ilvl w:val="0"/>
          <w:numId w:val="1032"/>
        </w:numPr>
        <w:widowControl w:val="1"/>
      </w:pPr>
      <w:r>
        <w:rPr>
          <w:rFonts w:ascii="Noto Serif" w:hAnsi="Noto Serif" w:eastAsia="Noto Serif"/>
          <w:b/>
          <w:bCs/>
          <w:color w:val="1D2833"/>
          <w:sz w:val="19"/>
        </w:rPr>
        <w:t xml:space="preserve">promotion:</w:t>
      </w:r>
      <w:r>
        <w:rPr>
          <w:rFonts w:ascii="Noto Serif" w:hAnsi="Noto Serif" w:eastAsia="Noto Serif"/>
          <w:color w:val="1D2833"/>
          <w:sz w:val="19"/>
        </w:rPr>
        <w:t xml:space="preserve"> </w:t>
      </w:r>
      <w:r>
        <w:rPr>
          <w:rFonts w:ascii="Noto Serif" w:hAnsi="Noto Serif" w:eastAsia="Noto Serif"/>
          <w:color w:val="1D2833"/>
          <w:sz w:val="19"/>
        </w:rPr>
        <w:t xml:space="preserve">authorize lifecycle transitions;</w:t>
      </w:r>
    </w:p>
    <w:p>
      <w:pPr>
        <w:pStyle w:val="Compact"/>
        <w:numPr>
          <w:ilvl w:val="0"/>
          <w:numId w:val="1032"/>
        </w:numPr>
        <w:widowControl w:val="1"/>
      </w:pPr>
      <w:r>
        <w:rPr>
          <w:rFonts w:ascii="Noto Serif" w:hAnsi="Noto Serif" w:eastAsia="Noto Serif"/>
          <w:b/>
          <w:bCs/>
          <w:color w:val="1D2833"/>
          <w:sz w:val="19"/>
        </w:rPr>
        <w:t xml:space="preserve">operation:</w:t>
      </w:r>
      <w:r>
        <w:rPr>
          <w:rFonts w:ascii="Noto Serif" w:hAnsi="Noto Serif" w:eastAsia="Noto Serif"/>
          <w:color w:val="1D2833"/>
          <w:sz w:val="19"/>
        </w:rPr>
        <w:t xml:space="preserve"> </w:t>
      </w:r>
      <w:r>
        <w:rPr>
          <w:rFonts w:ascii="Noto Serif" w:hAnsi="Noto Serif" w:eastAsia="Noto Serif"/>
          <w:color w:val="1D2833"/>
          <w:sz w:val="19"/>
        </w:rPr>
        <w:t xml:space="preserve">execute the active route and respond to incidents.</w:t>
      </w:r>
    </w:p>
    <w:p>
      <w:pPr>
        <w:pStyle w:val="FirstParagraph"/>
        <w:widowControl w:val="1"/>
      </w:pPr>
      <w:r>
        <w:rPr>
          <w:rFonts w:ascii="Noto Serif" w:hAnsi="Noto Serif" w:eastAsia="Noto Serif"/>
          <w:color w:val="1D2833"/>
          <w:sz w:val="20"/>
        </w:rPr>
        <w:t xml:space="preserve">One actor may participate in several powers in low-risk settings, but the trust model should make that consolidation explicit. High-risk promotions should use separate processes, credentials, models, providers, and human roles where feasible.</w:t>
      </w:r>
    </w:p>
    <w:bookmarkEnd w:id="77"/>
    <w:bookmarkStart w:id="78" w:name="evaluator-portfolio"/>
    <w:p>
      <w:pPr>
        <w:pStyle w:val="Heading2"/>
        <w:widowControl w:val="1"/>
      </w:pPr>
      <w:r>
        <w:rPr>
          <w:rStyle w:val="SectionNumber"/>
        </w:rPr>
        <w:t xml:space="preserve">10.2</w:t>
      </w:r>
      <w:r>
        <w:tab/>
      </w:r>
      <w:r>
        <w:t xml:space="preserve">Evaluator portfolio</w:t>
      </w:r>
    </w:p>
    <w:p>
      <w:pPr>
        <w:pStyle w:val="FirstParagraph"/>
        <w:widowControl w:val="1"/>
      </w:pPr>
      <w:r>
        <w:rPr>
          <w:rFonts w:ascii="Noto Serif" w:hAnsi="Noto Serif" w:eastAsia="Noto Serif"/>
          <w:color w:val="1D2833"/>
          <w:sz w:val="20"/>
        </w:rPr>
        <w:t xml:space="preserve">No single evaluation mode is sufficient. A field should combine:</w:t>
      </w:r>
    </w:p>
    <w:p>
      <w:pPr>
        <w:pStyle w:val="Compact"/>
        <w:numPr>
          <w:ilvl w:val="0"/>
          <w:numId w:val="1033"/>
        </w:numPr>
        <w:widowControl w:val="1"/>
      </w:pPr>
      <w:r>
        <w:rPr>
          <w:rFonts w:ascii="Noto Serif" w:hAnsi="Noto Serif" w:eastAsia="Noto Serif"/>
          <w:b/>
          <w:bCs/>
          <w:color w:val="1D2833"/>
          <w:sz w:val="19"/>
        </w:rPr>
        <w:t xml:space="preserve">Static and deterministic checks:</w:t>
      </w:r>
      <w:r>
        <w:rPr>
          <w:rFonts w:ascii="Noto Serif" w:hAnsi="Noto Serif" w:eastAsia="Noto Serif"/>
          <w:color w:val="1D2833"/>
          <w:sz w:val="19"/>
        </w:rPr>
        <w:t xml:space="preserve"> </w:t>
      </w:r>
      <w:r>
        <w:rPr>
          <w:rFonts w:ascii="Noto Serif" w:hAnsi="Noto Serif" w:eastAsia="Noto Serif"/>
          <w:color w:val="1D2833"/>
          <w:sz w:val="19"/>
        </w:rPr>
        <w:t xml:space="preserve">schema, policy, dependency, provenance, resource, and contract linting.</w:t>
      </w:r>
    </w:p>
    <w:p>
      <w:pPr>
        <w:pStyle w:val="Compact"/>
        <w:numPr>
          <w:ilvl w:val="0"/>
          <w:numId w:val="1033"/>
        </w:numPr>
        <w:widowControl w:val="1"/>
      </w:pPr>
      <w:r>
        <w:rPr>
          <w:rFonts w:ascii="Noto Serif" w:hAnsi="Noto Serif" w:eastAsia="Noto Serif"/>
          <w:b/>
          <w:bCs/>
          <w:color w:val="1D2833"/>
          <w:sz w:val="19"/>
        </w:rPr>
        <w:t xml:space="preserve">Formal verification where tractable:</w:t>
      </w:r>
      <w:r>
        <w:rPr>
          <w:rFonts w:ascii="Noto Serif" w:hAnsi="Noto Serif" w:eastAsia="Noto Serif"/>
          <w:color w:val="1D2833"/>
          <w:sz w:val="19"/>
        </w:rPr>
        <w:t xml:space="preserve"> </w:t>
      </w:r>
      <w:r>
        <w:rPr>
          <w:rFonts w:ascii="Noto Serif" w:hAnsi="Noto Serif" w:eastAsia="Noto Serif"/>
          <w:color w:val="1D2833"/>
          <w:sz w:val="19"/>
        </w:rPr>
        <w:t xml:space="preserve">protocol models, temporal safety properties, proof-carrying outputs, or bounded model checks [13,25,26].</w:t>
      </w:r>
    </w:p>
    <w:p>
      <w:pPr>
        <w:pStyle w:val="Compact"/>
        <w:numPr>
          <w:ilvl w:val="0"/>
          <w:numId w:val="1033"/>
        </w:numPr>
        <w:widowControl w:val="1"/>
      </w:pPr>
      <w:r>
        <w:rPr>
          <w:rFonts w:ascii="Noto Serif" w:hAnsi="Noto Serif" w:eastAsia="Noto Serif"/>
          <w:b/>
          <w:bCs/>
          <w:color w:val="1D2833"/>
          <w:sz w:val="19"/>
        </w:rPr>
        <w:t xml:space="preserve">Reference and regression tests:</w:t>
      </w:r>
      <w:r>
        <w:rPr>
          <w:rFonts w:ascii="Noto Serif" w:hAnsi="Noto Serif" w:eastAsia="Noto Serif"/>
          <w:color w:val="1D2833"/>
          <w:sz w:val="19"/>
        </w:rPr>
        <w:t xml:space="preserve"> </w:t>
      </w:r>
      <w:r>
        <w:rPr>
          <w:rFonts w:ascii="Noto Serif" w:hAnsi="Noto Serif" w:eastAsia="Noto Serif"/>
          <w:color w:val="1D2833"/>
          <w:sz w:val="19"/>
        </w:rPr>
        <w:t xml:space="preserve">known cases, differential comparison, metamorphic relations, and backward compatibility.</w:t>
      </w:r>
    </w:p>
    <w:p>
      <w:pPr>
        <w:pStyle w:val="Compact"/>
        <w:numPr>
          <w:ilvl w:val="0"/>
          <w:numId w:val="1033"/>
        </w:numPr>
        <w:widowControl w:val="1"/>
      </w:pPr>
      <w:r>
        <w:rPr>
          <w:rFonts w:ascii="Noto Serif" w:hAnsi="Noto Serif" w:eastAsia="Noto Serif"/>
          <w:b/>
          <w:bCs/>
          <w:color w:val="1D2833"/>
          <w:sz w:val="19"/>
        </w:rPr>
        <w:t xml:space="preserve">Statistical benchmarks:</w:t>
      </w:r>
      <w:r>
        <w:rPr>
          <w:rFonts w:ascii="Noto Serif" w:hAnsi="Noto Serif" w:eastAsia="Noto Serif"/>
          <w:color w:val="1D2833"/>
          <w:sz w:val="19"/>
        </w:rPr>
        <w:t xml:space="preserve"> </w:t>
      </w:r>
      <w:r>
        <w:rPr>
          <w:rFonts w:ascii="Noto Serif" w:hAnsi="Noto Serif" w:eastAsia="Noto Serif"/>
          <w:color w:val="1D2833"/>
          <w:sz w:val="19"/>
        </w:rPr>
        <w:t xml:space="preserve">representative task distributions with confidence intervals, calibration, and subgroup analysis.</w:t>
      </w:r>
    </w:p>
    <w:p>
      <w:pPr>
        <w:pStyle w:val="Compact"/>
        <w:numPr>
          <w:ilvl w:val="0"/>
          <w:numId w:val="1033"/>
        </w:numPr>
        <w:widowControl w:val="1"/>
      </w:pPr>
      <w:r>
        <w:rPr>
          <w:rFonts w:ascii="Noto Serif" w:hAnsi="Noto Serif" w:eastAsia="Noto Serif"/>
          <w:b/>
          <w:bCs/>
          <w:color w:val="1D2833"/>
          <w:sz w:val="19"/>
        </w:rPr>
        <w:t xml:space="preserve">Hidden and rotating holdouts:</w:t>
      </w:r>
      <w:r>
        <w:rPr>
          <w:rFonts w:ascii="Noto Serif" w:hAnsi="Noto Serif" w:eastAsia="Noto Serif"/>
          <w:color w:val="1D2833"/>
          <w:sz w:val="19"/>
        </w:rPr>
        <w:t xml:space="preserve"> </w:t>
      </w:r>
      <w:r>
        <w:rPr>
          <w:rFonts w:ascii="Noto Serif" w:hAnsi="Noto Serif" w:eastAsia="Noto Serif"/>
          <w:color w:val="1D2833"/>
          <w:sz w:val="19"/>
        </w:rPr>
        <w:t xml:space="preserve">protected from candidate generation and retired after contamination.</w:t>
      </w:r>
    </w:p>
    <w:p>
      <w:pPr>
        <w:pStyle w:val="Compact"/>
        <w:numPr>
          <w:ilvl w:val="0"/>
          <w:numId w:val="1033"/>
        </w:numPr>
        <w:widowControl w:val="1"/>
      </w:pPr>
      <w:r>
        <w:rPr>
          <w:rFonts w:ascii="Noto Serif" w:hAnsi="Noto Serif" w:eastAsia="Noto Serif"/>
          <w:b/>
          <w:bCs/>
          <w:color w:val="1D2833"/>
          <w:sz w:val="19"/>
        </w:rPr>
        <w:t xml:space="preserve">Adversarial evaluation:</w:t>
      </w:r>
      <w:r>
        <w:rPr>
          <w:rFonts w:ascii="Noto Serif" w:hAnsi="Noto Serif" w:eastAsia="Noto Serif"/>
          <w:color w:val="1D2833"/>
          <w:sz w:val="19"/>
        </w:rPr>
        <w:t xml:space="preserve"> </w:t>
      </w:r>
      <w:r>
        <w:rPr>
          <w:rFonts w:ascii="Noto Serif" w:hAnsi="Noto Serif" w:eastAsia="Noto Serif"/>
          <w:color w:val="1D2833"/>
          <w:sz w:val="19"/>
        </w:rPr>
        <w:t xml:space="preserve">prompt injection, tool abuse, state corruption, deceptive behavior, and distribution shift.</w:t>
      </w:r>
    </w:p>
    <w:p>
      <w:pPr>
        <w:pStyle w:val="Compact"/>
        <w:numPr>
          <w:ilvl w:val="0"/>
          <w:numId w:val="1033"/>
        </w:numPr>
        <w:widowControl w:val="1"/>
      </w:pPr>
      <w:r>
        <w:rPr>
          <w:rFonts w:ascii="Noto Serif" w:hAnsi="Noto Serif" w:eastAsia="Noto Serif"/>
          <w:b/>
          <w:bCs/>
          <w:color w:val="1D2833"/>
          <w:sz w:val="19"/>
        </w:rPr>
        <w:t xml:space="preserve">Cross-field integration tests:</w:t>
      </w:r>
      <w:r>
        <w:rPr>
          <w:rFonts w:ascii="Noto Serif" w:hAnsi="Noto Serif" w:eastAsia="Noto Serif"/>
          <w:color w:val="1D2833"/>
          <w:sz w:val="19"/>
        </w:rPr>
        <w:t xml:space="preserve"> </w:t>
      </w:r>
      <w:r>
        <w:rPr>
          <w:rFonts w:ascii="Noto Serif" w:hAnsi="Noto Serif" w:eastAsia="Noto Serif"/>
          <w:color w:val="1D2833"/>
          <w:sz w:val="19"/>
        </w:rPr>
        <w:t xml:space="preserve">composition, authority amplification, and end-to-end invariants.</w:t>
      </w:r>
    </w:p>
    <w:p>
      <w:pPr>
        <w:pStyle w:val="Compact"/>
        <w:numPr>
          <w:ilvl w:val="0"/>
          <w:numId w:val="1033"/>
        </w:numPr>
        <w:widowControl w:val="1"/>
      </w:pPr>
      <w:r>
        <w:rPr>
          <w:rFonts w:ascii="Noto Serif" w:hAnsi="Noto Serif" w:eastAsia="Noto Serif"/>
          <w:b/>
          <w:bCs/>
          <w:color w:val="1D2833"/>
          <w:sz w:val="19"/>
        </w:rPr>
        <w:t xml:space="preserve">Shadow and canary evidence:</w:t>
      </w:r>
      <w:r>
        <w:rPr>
          <w:rFonts w:ascii="Noto Serif" w:hAnsi="Noto Serif" w:eastAsia="Noto Serif"/>
          <w:color w:val="1D2833"/>
          <w:sz w:val="19"/>
        </w:rPr>
        <w:t xml:space="preserve"> </w:t>
      </w:r>
      <w:r>
        <w:rPr>
          <w:rFonts w:ascii="Noto Serif" w:hAnsi="Noto Serif" w:eastAsia="Noto Serif"/>
          <w:color w:val="1D2833"/>
          <w:sz w:val="19"/>
        </w:rPr>
        <w:t xml:space="preserve">behavior in the real operational distribution before broad authority.</w:t>
      </w:r>
    </w:p>
    <w:p>
      <w:pPr>
        <w:pStyle w:val="Compact"/>
        <w:numPr>
          <w:ilvl w:val="0"/>
          <w:numId w:val="1033"/>
        </w:numPr>
        <w:widowControl w:val="1"/>
      </w:pPr>
      <w:r>
        <w:rPr>
          <w:rFonts w:ascii="Noto Serif" w:hAnsi="Noto Serif" w:eastAsia="Noto Serif"/>
          <w:b/>
          <w:bCs/>
          <w:color w:val="1D2833"/>
          <w:sz w:val="19"/>
        </w:rPr>
        <w:t xml:space="preserve">Online monitors:</w:t>
      </w:r>
      <w:r>
        <w:rPr>
          <w:rFonts w:ascii="Noto Serif" w:hAnsi="Noto Serif" w:eastAsia="Noto Serif"/>
          <w:color w:val="1D2833"/>
          <w:sz w:val="19"/>
        </w:rPr>
        <w:t xml:space="preserve"> </w:t>
      </w:r>
      <w:r>
        <w:rPr>
          <w:rFonts w:ascii="Noto Serif" w:hAnsi="Noto Serif" w:eastAsia="Noto Serif"/>
          <w:color w:val="1D2833"/>
          <w:sz w:val="19"/>
        </w:rPr>
        <w:t xml:space="preserve">drift, incident rates, unusual effects, cost anomalies, and calibration decay.</w:t>
      </w:r>
    </w:p>
    <w:p>
      <w:pPr>
        <w:pStyle w:val="FirstParagraph"/>
        <w:widowControl w:val="1"/>
      </w:pPr>
      <w:r>
        <w:rPr>
          <w:rFonts w:ascii="Noto Serif" w:hAnsi="Noto Serif" w:eastAsia="Noto Serif"/>
          <w:color w:val="1D2833"/>
          <w:sz w:val="20"/>
        </w:rPr>
        <w:t xml:space="preserve">Evidence should report uncertainty and evaluator disagreement rather than collapse all results into pass/fail. A candidate that performs well on average but has an unexplained catastrophic tail should not be promoted by a mean score.</w:t>
      </w:r>
    </w:p>
    <w:bookmarkEnd w:id="78"/>
    <w:bookmarkStart w:id="79" w:name="independence-rules"/>
    <w:p>
      <w:pPr>
        <w:pStyle w:val="Heading2"/>
        <w:widowControl w:val="1"/>
      </w:pPr>
      <w:r>
        <w:rPr>
          <w:rStyle w:val="SectionNumber"/>
        </w:rPr>
        <w:t xml:space="preserve">10.3</w:t>
      </w:r>
      <w:r>
        <w:tab/>
      </w:r>
      <w:r>
        <w:t xml:space="preserve">Independence rules</w:t>
      </w:r>
    </w:p>
    <w:p>
      <w:pPr>
        <w:pStyle w:val="FirstParagraph"/>
        <w:widowControl w:val="1"/>
      </w:pPr>
      <w:r>
        <w:rPr>
          <w:rFonts w:ascii="Noto Serif" w:hAnsi="Noto Serif" w:eastAsia="Noto Serif"/>
          <w:color w:val="1D2833"/>
          <w:sz w:val="20"/>
        </w:rPr>
        <w:t xml:space="preserve">SCF adopts several anti-capture rules:</w:t>
      </w:r>
    </w:p>
    <w:p>
      <w:pPr>
        <w:pStyle w:val="Compact"/>
        <w:numPr>
          <w:ilvl w:val="0"/>
          <w:numId w:val="1034"/>
        </w:numPr>
        <w:widowControl w:val="1"/>
      </w:pPr>
      <w:r>
        <w:rPr>
          <w:rFonts w:ascii="Noto Serif" w:hAnsi="Noto Serif" w:eastAsia="Noto Serif"/>
          <w:color w:val="1D2833"/>
          <w:sz w:val="19"/>
        </w:rPr>
        <w:t xml:space="preserve">A candidate may propose tests, but promotion cannot depend only on candidate-generated tests.</w:t>
      </w:r>
    </w:p>
    <w:p>
      <w:pPr>
        <w:pStyle w:val="Compact"/>
        <w:numPr>
          <w:ilvl w:val="0"/>
          <w:numId w:val="1034"/>
        </w:numPr>
        <w:widowControl w:val="1"/>
      </w:pPr>
      <w:r>
        <w:rPr>
          <w:rFonts w:ascii="Noto Serif" w:hAnsi="Noto Serif" w:eastAsia="Noto Serif"/>
          <w:color w:val="1D2833"/>
          <w:sz w:val="19"/>
        </w:rPr>
        <w:t xml:space="preserve">A candidate and its evaluator update cannot be bundled into one improvement claim without a higher-level independent evaluation.</w:t>
      </w:r>
    </w:p>
    <w:p>
      <w:pPr>
        <w:pStyle w:val="Compact"/>
        <w:numPr>
          <w:ilvl w:val="0"/>
          <w:numId w:val="1034"/>
        </w:numPr>
        <w:widowControl w:val="1"/>
      </w:pPr>
      <w:r>
        <w:rPr>
          <w:rFonts w:ascii="Noto Serif" w:hAnsi="Noto Serif" w:eastAsia="Noto Serif"/>
          <w:color w:val="1D2833"/>
          <w:sz w:val="19"/>
        </w:rPr>
        <w:t xml:space="preserve">The active implementation cannot modify its own immutable evidence or promotion record.</w:t>
      </w:r>
    </w:p>
    <w:p>
      <w:pPr>
        <w:pStyle w:val="Compact"/>
        <w:numPr>
          <w:ilvl w:val="0"/>
          <w:numId w:val="1034"/>
        </w:numPr>
        <w:widowControl w:val="1"/>
      </w:pPr>
      <w:r>
        <w:rPr>
          <w:rFonts w:ascii="Noto Serif" w:hAnsi="Noto Serif" w:eastAsia="Noto Serif"/>
          <w:color w:val="1D2833"/>
          <w:sz w:val="19"/>
        </w:rPr>
        <w:t xml:space="preserve">Hidden evaluation assets are accessed through a controlled service and are not exposed to the candidate.</w:t>
      </w:r>
    </w:p>
    <w:p>
      <w:pPr>
        <w:pStyle w:val="Compact"/>
        <w:numPr>
          <w:ilvl w:val="0"/>
          <w:numId w:val="1034"/>
        </w:numPr>
        <w:widowControl w:val="1"/>
      </w:pPr>
      <w:r>
        <w:rPr>
          <w:rFonts w:ascii="Noto Serif" w:hAnsi="Noto Serif" w:eastAsia="Noto Serif"/>
          <w:color w:val="1D2833"/>
          <w:sz w:val="19"/>
        </w:rPr>
        <w:t xml:space="preserve">Thresholds and primary metrics should be pre-registered before final evaluation.</w:t>
      </w:r>
    </w:p>
    <w:p>
      <w:pPr>
        <w:pStyle w:val="Compact"/>
        <w:numPr>
          <w:ilvl w:val="0"/>
          <w:numId w:val="1034"/>
        </w:numPr>
        <w:widowControl w:val="1"/>
      </w:pPr>
      <w:r>
        <w:rPr>
          <w:rFonts w:ascii="Noto Serif" w:hAnsi="Noto Serif" w:eastAsia="Noto Serif"/>
          <w:color w:val="1D2833"/>
          <w:sz w:val="19"/>
        </w:rPr>
        <w:t xml:space="preserve">Repeated search against a holdout consumes an evaluation budget and eventually invalidates the holdout.</w:t>
      </w:r>
    </w:p>
    <w:p>
      <w:pPr>
        <w:pStyle w:val="Compact"/>
        <w:numPr>
          <w:ilvl w:val="0"/>
          <w:numId w:val="1034"/>
        </w:numPr>
        <w:widowControl w:val="1"/>
      </w:pPr>
      <w:r>
        <w:rPr>
          <w:rFonts w:ascii="Noto Serif" w:hAnsi="Noto Serif" w:eastAsia="Noto Serif"/>
          <w:color w:val="1D2833"/>
          <w:sz w:val="19"/>
        </w:rPr>
        <w:t xml:space="preserve">Evaluator revisions are versioned fields with their own qualification and incident history.</w:t>
      </w:r>
    </w:p>
    <w:p>
      <w:pPr>
        <w:pStyle w:val="Compact"/>
        <w:numPr>
          <w:ilvl w:val="0"/>
          <w:numId w:val="1034"/>
        </w:numPr>
        <w:widowControl w:val="1"/>
      </w:pPr>
      <w:r>
        <w:rPr>
          <w:rFonts w:ascii="Noto Serif" w:hAnsi="Noto Serif" w:eastAsia="Noto Serif"/>
          <w:color w:val="1D2833"/>
          <w:sz w:val="19"/>
        </w:rPr>
        <w:t xml:space="preserve">A promotion authority should see negative and inconclusive evidence, not only a candidate-selected summary.</w:t>
      </w:r>
    </w:p>
    <w:bookmarkEnd w:id="79"/>
    <w:bookmarkStart w:id="80" w:name="X69c23485157ca6b3ef1af668b2f7df0e0db996d"/>
    <w:p>
      <w:pPr>
        <w:pStyle w:val="Heading2"/>
        <w:widowControl w:val="1"/>
      </w:pPr>
      <w:r>
        <w:rPr>
          <w:rStyle w:val="SectionNumber"/>
        </w:rPr>
        <w:t xml:space="preserve">10.4</w:t>
      </w:r>
      <w:r>
        <w:tab/>
      </w:r>
      <w:r>
        <w:t xml:space="preserve">Evaluation overfitting and sequential search</w:t>
      </w:r>
    </w:p>
    <w:p>
      <w:pPr>
        <w:pStyle w:val="FirstParagraph"/>
        <w:widowControl w:val="1"/>
      </w:pPr>
      <w:r>
        <w:rPr>
          <w:rFonts w:ascii="Noto Serif" w:hAnsi="Noto Serif" w:eastAsia="Noto Serif"/>
          <w:color w:val="1D2833"/>
          <w:sz w:val="20"/>
        </w:rPr>
        <w:t xml:space="preserve">Recursive improvement performs many comparisons. Standard significance tests become misleading under adaptive repeated search. A serious implementation should include:</w:t>
      </w:r>
    </w:p>
    <w:p>
      <w:pPr>
        <w:pStyle w:val="Compact"/>
        <w:numPr>
          <w:ilvl w:val="0"/>
          <w:numId w:val="1035"/>
        </w:numPr>
        <w:widowControl w:val="1"/>
      </w:pPr>
      <w:r>
        <w:rPr>
          <w:rFonts w:ascii="Noto Serif" w:hAnsi="Noto Serif" w:eastAsia="Noto Serif"/>
          <w:color w:val="1D2833"/>
          <w:sz w:val="19"/>
        </w:rPr>
        <w:t xml:space="preserve">nested development, validation, and promotion sets;</w:t>
      </w:r>
    </w:p>
    <w:p>
      <w:pPr>
        <w:pStyle w:val="Compact"/>
        <w:numPr>
          <w:ilvl w:val="0"/>
          <w:numId w:val="1035"/>
        </w:numPr>
        <w:widowControl w:val="1"/>
      </w:pPr>
      <w:r>
        <w:rPr>
          <w:rFonts w:ascii="Noto Serif" w:hAnsi="Noto Serif" w:eastAsia="Noto Serif"/>
          <w:color w:val="1D2833"/>
          <w:sz w:val="19"/>
        </w:rPr>
        <w:t xml:space="preserve">sequential testing or always-valid confidence procedures;</w:t>
      </w:r>
    </w:p>
    <w:p>
      <w:pPr>
        <w:pStyle w:val="Compact"/>
        <w:numPr>
          <w:ilvl w:val="0"/>
          <w:numId w:val="1035"/>
        </w:numPr>
        <w:widowControl w:val="1"/>
      </w:pPr>
      <w:r>
        <w:rPr>
          <w:rFonts w:ascii="Noto Serif" w:hAnsi="Noto Serif" w:eastAsia="Noto Serif"/>
          <w:color w:val="1D2833"/>
          <w:sz w:val="19"/>
        </w:rPr>
        <w:t xml:space="preserve">correction for multiple candidate comparisons;</w:t>
      </w:r>
    </w:p>
    <w:p>
      <w:pPr>
        <w:pStyle w:val="Compact"/>
        <w:numPr>
          <w:ilvl w:val="0"/>
          <w:numId w:val="1035"/>
        </w:numPr>
        <w:widowControl w:val="1"/>
      </w:pPr>
      <w:r>
        <w:rPr>
          <w:rFonts w:ascii="Noto Serif" w:hAnsi="Noto Serif" w:eastAsia="Noto Serif"/>
          <w:color w:val="1D2833"/>
          <w:sz w:val="19"/>
        </w:rPr>
        <w:t xml:space="preserve">benchmark contamination tracking;</w:t>
      </w:r>
    </w:p>
    <w:p>
      <w:pPr>
        <w:pStyle w:val="Compact"/>
        <w:numPr>
          <w:ilvl w:val="0"/>
          <w:numId w:val="1035"/>
        </w:numPr>
        <w:widowControl w:val="1"/>
      </w:pPr>
      <w:r>
        <w:rPr>
          <w:rFonts w:ascii="Noto Serif" w:hAnsi="Noto Serif" w:eastAsia="Noto Serif"/>
          <w:color w:val="1D2833"/>
          <w:sz w:val="19"/>
        </w:rPr>
        <w:t xml:space="preserve">scenario generation that targets observed failure clusters;</w:t>
      </w:r>
    </w:p>
    <w:p>
      <w:pPr>
        <w:pStyle w:val="Compact"/>
        <w:numPr>
          <w:ilvl w:val="0"/>
          <w:numId w:val="1035"/>
        </w:numPr>
        <w:widowControl w:val="1"/>
      </w:pPr>
      <w:r>
        <w:rPr>
          <w:rFonts w:ascii="Noto Serif" w:hAnsi="Noto Serif" w:eastAsia="Noto Serif"/>
          <w:color w:val="1D2833"/>
          <w:sz w:val="19"/>
        </w:rPr>
        <w:t xml:space="preserve">periodic external or human-designed evaluations;</w:t>
      </w:r>
    </w:p>
    <w:p>
      <w:pPr>
        <w:pStyle w:val="Compact"/>
        <w:numPr>
          <w:ilvl w:val="0"/>
          <w:numId w:val="1035"/>
        </w:numPr>
        <w:widowControl w:val="1"/>
      </w:pPr>
      <w:r>
        <w:rPr>
          <w:rFonts w:ascii="Noto Serif" w:hAnsi="Noto Serif" w:eastAsia="Noto Serif"/>
          <w:color w:val="1D2833"/>
          <w:sz w:val="19"/>
        </w:rPr>
        <w:t xml:space="preserve">audit of metric changes and threshold exceptions.</w:t>
      </w:r>
    </w:p>
    <w:p>
      <w:pPr>
        <w:pStyle w:val="FirstParagraph"/>
        <w:widowControl w:val="1"/>
      </w:pPr>
      <w:r>
        <w:rPr>
          <w:rFonts w:ascii="Noto Serif" w:hAnsi="Noto Serif" w:eastAsia="Noto Serif"/>
          <w:color w:val="1D2833"/>
          <w:sz w:val="20"/>
        </w:rPr>
        <w:t xml:space="preserve">The objective is not statistical perfection. It is to make the evidence debt created by repeated adaptive optimization visible and bounded.</w:t>
      </w:r>
    </w:p>
    <w:bookmarkEnd w:id="80"/>
    <w:bookmarkStart w:id="81" w:name="X12b42a06f4e90bfa046ef86e2b53e43acc22cbb"/>
    <w:p>
      <w:pPr>
        <w:pStyle w:val="Heading2"/>
        <w:widowControl w:val="1"/>
      </w:pPr>
      <w:r>
        <w:rPr>
          <w:rStyle w:val="SectionNumber"/>
        </w:rPr>
        <w:t xml:space="preserve">10.5</w:t>
      </w:r>
      <w:r>
        <w:tab/>
      </w:r>
      <w:r>
        <w:t xml:space="preserve">Observability without private chain-of-thought</w:t>
      </w:r>
    </w:p>
    <w:p>
      <w:pPr>
        <w:pStyle w:val="FirstParagraph"/>
        <w:widowControl w:val="1"/>
      </w:pPr>
      <w:r>
        <w:rPr>
          <w:rFonts w:ascii="Noto Serif" w:hAnsi="Noto Serif" w:eastAsia="Noto Serif"/>
          <w:color w:val="1D2833"/>
          <w:sz w:val="20"/>
        </w:rPr>
        <w:t xml:space="preserve">SCF does not require storing hidden reasoning traces. Required observability can consist of:</w:t>
      </w:r>
    </w:p>
    <w:p>
      <w:pPr>
        <w:pStyle w:val="Compact"/>
        <w:numPr>
          <w:ilvl w:val="0"/>
          <w:numId w:val="1036"/>
        </w:numPr>
        <w:widowControl w:val="1"/>
      </w:pPr>
      <w:r>
        <w:rPr>
          <w:rFonts w:ascii="Noto Serif" w:hAnsi="Noto Serif" w:eastAsia="Noto Serif"/>
          <w:color w:val="1D2833"/>
          <w:sz w:val="19"/>
        </w:rPr>
        <w:t xml:space="preserve">inputs and outputs subject to privacy policy;</w:t>
      </w:r>
    </w:p>
    <w:p>
      <w:pPr>
        <w:pStyle w:val="Compact"/>
        <w:numPr>
          <w:ilvl w:val="0"/>
          <w:numId w:val="1036"/>
        </w:numPr>
        <w:widowControl w:val="1"/>
      </w:pPr>
      <w:r>
        <w:rPr>
          <w:rFonts w:ascii="Noto Serif" w:hAnsi="Noto Serif" w:eastAsia="Noto Serif"/>
          <w:color w:val="1D2833"/>
          <w:sz w:val="19"/>
        </w:rPr>
        <w:t xml:space="preserve">structured assumptions, claims, and citations;</w:t>
      </w:r>
    </w:p>
    <w:p>
      <w:pPr>
        <w:pStyle w:val="Compact"/>
        <w:numPr>
          <w:ilvl w:val="0"/>
          <w:numId w:val="1036"/>
        </w:numPr>
        <w:widowControl w:val="1"/>
      </w:pPr>
      <w:r>
        <w:rPr>
          <w:rFonts w:ascii="Noto Serif" w:hAnsi="Noto Serif" w:eastAsia="Noto Serif"/>
          <w:color w:val="1D2833"/>
          <w:sz w:val="19"/>
        </w:rPr>
        <w:t xml:space="preserve">selected implementation and model identifiers;</w:t>
      </w:r>
    </w:p>
    <w:p>
      <w:pPr>
        <w:pStyle w:val="Compact"/>
        <w:numPr>
          <w:ilvl w:val="0"/>
          <w:numId w:val="1036"/>
        </w:numPr>
        <w:widowControl w:val="1"/>
      </w:pPr>
      <w:r>
        <w:rPr>
          <w:rFonts w:ascii="Noto Serif" w:hAnsi="Noto Serif" w:eastAsia="Noto Serif"/>
          <w:color w:val="1D2833"/>
          <w:sz w:val="19"/>
        </w:rPr>
        <w:t xml:space="preserve">tool calls, parameters, results, and effect receipts;</w:t>
      </w:r>
    </w:p>
    <w:p>
      <w:pPr>
        <w:pStyle w:val="Compact"/>
        <w:numPr>
          <w:ilvl w:val="0"/>
          <w:numId w:val="1036"/>
        </w:numPr>
        <w:widowControl w:val="1"/>
      </w:pPr>
      <w:r>
        <w:rPr>
          <w:rFonts w:ascii="Noto Serif" w:hAnsi="Noto Serif" w:eastAsia="Noto Serif"/>
          <w:color w:val="1D2833"/>
          <w:sz w:val="19"/>
        </w:rPr>
        <w:t xml:space="preserve">state reads and writes at the schema level;</w:t>
      </w:r>
    </w:p>
    <w:p>
      <w:pPr>
        <w:pStyle w:val="Compact"/>
        <w:numPr>
          <w:ilvl w:val="0"/>
          <w:numId w:val="1036"/>
        </w:numPr>
        <w:widowControl w:val="1"/>
      </w:pPr>
      <w:r>
        <w:rPr>
          <w:rFonts w:ascii="Noto Serif" w:hAnsi="Noto Serif" w:eastAsia="Noto Serif"/>
          <w:color w:val="1D2833"/>
          <w:sz w:val="19"/>
        </w:rPr>
        <w:t xml:space="preserve">typed failures, refusals, and escalation decisions;</w:t>
      </w:r>
    </w:p>
    <w:p>
      <w:pPr>
        <w:pStyle w:val="Compact"/>
        <w:numPr>
          <w:ilvl w:val="0"/>
          <w:numId w:val="1036"/>
        </w:numPr>
        <w:widowControl w:val="1"/>
      </w:pPr>
      <w:r>
        <w:rPr>
          <w:rFonts w:ascii="Noto Serif" w:hAnsi="Noto Serif" w:eastAsia="Noto Serif"/>
          <w:color w:val="1D2833"/>
          <w:sz w:val="19"/>
        </w:rPr>
        <w:t xml:space="preserve">resource usage and timing;</w:t>
      </w:r>
    </w:p>
    <w:p>
      <w:pPr>
        <w:pStyle w:val="Compact"/>
        <w:numPr>
          <w:ilvl w:val="0"/>
          <w:numId w:val="1036"/>
        </w:numPr>
        <w:widowControl w:val="1"/>
      </w:pPr>
      <w:r>
        <w:rPr>
          <w:rFonts w:ascii="Noto Serif" w:hAnsi="Noto Serif" w:eastAsia="Noto Serif"/>
          <w:color w:val="1D2833"/>
          <w:sz w:val="19"/>
        </w:rPr>
        <w:t xml:space="preserve">evaluator outcomes and anomaly signals.</w:t>
      </w:r>
    </w:p>
    <w:p>
      <w:pPr>
        <w:pStyle w:val="FirstParagraph"/>
        <w:widowControl w:val="1"/>
      </w:pPr>
      <w:r>
        <w:rPr>
          <w:rFonts w:ascii="Noto Serif" w:hAnsi="Noto Serif" w:eastAsia="Noto Serif"/>
          <w:color w:val="1D2833"/>
          <w:sz w:val="20"/>
        </w:rPr>
        <w:t xml:space="preserve">This provides operational accountability without treating unverifiable internal narration as a ground-truth explanation.</w:t>
      </w:r>
    </w:p>
    <w:bookmarkEnd w:id="81"/>
    <w:bookmarkEnd w:id="82"/>
    <w:bookmarkStart w:id="104" w:name="governed-self-improvement-lifecycle"/>
    <w:p>
      <w:pPr>
        <w:pStyle w:val="Heading1"/>
        <w:widowControl w:val="1"/>
        <w:pBdr>
          <w:bottom w:val="single" w:sz="7" w:space="4" w:color="E8EEF3"/>
        </w:pBdr>
      </w:pPr>
      <w:r>
        <w:rPr>
          <w:rStyle w:val="SectionNumber"/>
        </w:rPr>
        <w:t xml:space="preserve">11</w:t>
      </w:r>
      <w:r>
        <w:tab/>
      </w:r>
      <w:r>
        <w:t xml:space="preserve">Governed self-improvement lifecycle</w:t>
      </w:r>
    </w:p>
    <w:bookmarkStart w:id="86" w:name="improvement-as-a-transaction"/>
    <w:p>
      <w:pPr>
        <w:pStyle w:val="Heading2"/>
        <w:widowControl w:val="1"/>
      </w:pPr>
      <w:r>
        <w:rPr>
          <w:rStyle w:val="SectionNumber"/>
        </w:rPr>
        <w:t xml:space="preserve">11.1</w:t>
      </w:r>
      <w:r>
        <w:tab/>
      </w:r>
      <w:r>
        <w:t xml:space="preserve">Improvement as a transaction</w:t>
      </w:r>
    </w:p>
    <w:p>
      <w:pPr>
        <w:pStyle w:val="FirstParagraph"/>
        <w:widowControl w:val="1"/>
      </w:pPr>
      <w:r>
        <w:rPr>
          <w:rFonts w:ascii="Noto Serif" w:hAnsi="Noto Serif" w:eastAsia="Noto Serif"/>
          <w:color w:val="1D2833"/>
          <w:sz w:val="20"/>
        </w:rPr>
        <w:t xml:space="preserve">An improvement is not complete when a candidate is generated. It is complete when the system has atomically changed an authorized route, preserved or migrated state, established containment, and recorded the evidence and decision. The lifecycle is therefore a transaction spanning research, deployment, and governance.</w:t>
      </w:r>
    </w:p>
    <w:p>
      <w:pPr>
        <w:pStyle w:val="BodyText"/>
        <w:keepNext/>
        <w:widowControl w:val="1"/>
        <w:spacing w:before="100" w:after="20"/>
        <w:jc w:val="center"/>
      </w:pPr>
      <w:r>
        <w:rPr>
          <w:rFonts w:ascii="Noto Serif" w:hAnsi="Noto Serif" w:eastAsia="Noto Serif"/>
          <w:color w:val="1D2833"/>
          <w:sz w:val="20"/>
        </w:rPr>
        <w:drawing>
          <wp:inline>
            <wp:extent cx="4853940" cy="5923258"/>
            <wp:effectExtent b="0" l="0" r="0" t="0"/>
            <wp:docPr descr="Four-plane architecture separating field control, replaceable implementations, execution and authority, and evidence, provenance, and governance." title="SCF reference architecture" id="84" name="Picture"/>
            <a:graphic>
              <a:graphicData uri="http://schemas.openxmlformats.org/drawingml/2006/picture">
                <pic:pic>
                  <pic:nvPicPr>
                    <pic:cNvPr descr="/mnt/data/scf_paper/figures/architecture.png" id="85" name="Picture"/>
                    <pic:cNvPicPr>
                      <a:picLocks noChangeArrowheads="1" noChangeAspect="1"/>
                    </pic:cNvPicPr>
                  </pic:nvPicPr>
                  <pic:blipFill>
                    <a:blip r:embed="rId83"/>
                    <a:stretch>
                      <a:fillRect/>
                    </a:stretch>
                  </pic:blipFill>
                  <pic:spPr bwMode="auto">
                    <a:xfrm>
                      <a:off x="0" y="0"/>
                      <a:ext cx="4853940" cy="5923258"/>
                    </a:xfrm>
                    <a:prstGeom prst="rect">
                      <a:avLst/>
                    </a:prstGeom>
                    <a:noFill/>
                    <a:ln w="9525">
                      <a:noFill/>
                      <a:headEnd/>
                      <a:tailEnd/>
                    </a:ln>
                  </pic:spPr>
                </pic:pic>
              </a:graphicData>
            </a:graphic>
          </wp:inline>
        </w:drawing>
      </w:r>
    </w:p>
    <w:p>
      <w:pPr>
        <w:pStyle w:val="Caption"/>
        <w:widowControl w:val="1"/>
      </w:pPr>
      <w:r>
        <w:rPr>
          <w:i/>
          <w:iCs/>
        </w:rPr>
        <w:t xml:space="preserve">Figure 2. The field contract and kernel mediate contextual resolution; replaceable implementations receive only scoped authority; evidence and promotion remain separate from execution.</w:t>
      </w:r>
    </w:p>
    <w:bookmarkEnd w:id="86"/>
    <w:bookmarkStart w:id="102" w:name="lifecycle-stages"/>
    <w:p>
      <w:pPr>
        <w:pStyle w:val="Heading2"/>
        <w:widowControl w:val="1"/>
      </w:pPr>
      <w:r>
        <w:rPr>
          <w:rStyle w:val="SectionNumber"/>
        </w:rPr>
        <w:t xml:space="preserve">11.2</w:t>
      </w:r>
      <w:r>
        <w:tab/>
      </w:r>
      <w:r>
        <w:t xml:space="preserve">Lifecycle stages</w:t>
      </w:r>
    </w:p>
    <w:bookmarkStart w:id="87" w:name="propose"/>
    <w:p>
      <w:pPr>
        <w:pStyle w:val="Heading3"/>
        <w:widowControl w:val="1"/>
      </w:pPr>
      <w:r>
        <w:rPr>
          <w:rStyle w:val="SectionNumber"/>
        </w:rPr>
        <w:t xml:space="preserve">11.2.1</w:t>
      </w:r>
      <w:r>
        <w:tab/>
      </w:r>
      <w:r>
        <w:t xml:space="preserve">Propose</w:t>
      </w:r>
    </w:p>
    <w:p>
      <w:pPr>
        <w:pStyle w:val="FirstParagraph"/>
        <w:widowControl w:val="1"/>
      </w:pPr>
      <w:r>
        <w:rPr>
          <w:rFonts w:ascii="Noto Serif" w:hAnsi="Noto Serif" w:eastAsia="Noto Serif"/>
          <w:color w:val="1D2833"/>
          <w:sz w:val="20"/>
        </w:rPr>
        <w:t xml:space="preserve">A proposer submits an improvement hypothesis, target fields, affected contracts, expected benefits, requested authority, dependency changes, state impact, and evaluation plan. The proposal must distinguish implementation change from contract change. A candidate that requires a new semantic promise cannot disguise that requirement as an implementation update.</w:t>
      </w:r>
    </w:p>
    <w:bookmarkEnd w:id="87"/>
    <w:bookmarkStart w:id="88" w:name="register-immutable-revision"/>
    <w:p>
      <w:pPr>
        <w:pStyle w:val="Heading3"/>
        <w:widowControl w:val="1"/>
      </w:pPr>
      <w:r>
        <w:rPr>
          <w:rStyle w:val="SectionNumber"/>
        </w:rPr>
        <w:t xml:space="preserve">11.2.2</w:t>
      </w:r>
      <w:r>
        <w:tab/>
      </w:r>
      <w:r>
        <w:t xml:space="preserve">Register immutable revision</w:t>
      </w:r>
    </w:p>
    <w:p>
      <w:pPr>
        <w:pStyle w:val="FirstParagraph"/>
        <w:widowControl w:val="1"/>
      </w:pPr>
      <w:r>
        <w:rPr>
          <w:rFonts w:ascii="Noto Serif" w:hAnsi="Noto Serif" w:eastAsia="Noto Serif"/>
          <w:color w:val="1D2833"/>
          <w:sz w:val="20"/>
        </w:rPr>
        <w:t xml:space="preserve">All candidate artifacts, configurations, models, prompts, dependencies, and recipes are hashed and registered before final evaluation. This prevents a successful result from being attached to a slightly different deployment artifact.</w:t>
      </w:r>
    </w:p>
    <w:bookmarkEnd w:id="88"/>
    <w:bookmarkStart w:id="89" w:name="analyze-the-impact-cone"/>
    <w:p>
      <w:pPr>
        <w:pStyle w:val="Heading3"/>
        <w:widowControl w:val="1"/>
      </w:pPr>
      <w:r>
        <w:rPr>
          <w:rStyle w:val="SectionNumber"/>
        </w:rPr>
        <w:t xml:space="preserve">11.2.3</w:t>
      </w:r>
      <w:r>
        <w:tab/>
      </w:r>
      <w:r>
        <w:t xml:space="preserve">Analyze the impact cone</w:t>
      </w:r>
    </w:p>
    <w:p>
      <w:pPr>
        <w:pStyle w:val="FirstParagraph"/>
        <w:widowControl w:val="1"/>
      </w:pPr>
      <w:r>
        <w:rPr>
          <w:rFonts w:ascii="Noto Serif" w:hAnsi="Noto Serif" w:eastAsia="Noto Serif"/>
          <w:color w:val="1D2833"/>
          <w:sz w:val="20"/>
        </w:rPr>
        <w:t xml:space="preserve">The registry computes affected callers, dependencies, shared weights, tools, states, evaluators, deployment profiles, and system invariants. The impact cone determines the required qualification suite and approval threshold. Unknown dependencies are treated as a risk, not an empty set.</w:t>
      </w:r>
    </w:p>
    <w:bookmarkEnd w:id="89"/>
    <w:bookmarkStart w:id="90" w:name="build-and-isolate"/>
    <w:p>
      <w:pPr>
        <w:pStyle w:val="Heading3"/>
        <w:widowControl w:val="1"/>
      </w:pPr>
      <w:r>
        <w:rPr>
          <w:rStyle w:val="SectionNumber"/>
        </w:rPr>
        <w:t xml:space="preserve">11.2.4</w:t>
      </w:r>
      <w:r>
        <w:tab/>
      </w:r>
      <w:r>
        <w:t xml:space="preserve">Build and isolate</w:t>
      </w:r>
    </w:p>
    <w:p>
      <w:pPr>
        <w:pStyle w:val="FirstParagraph"/>
        <w:widowControl w:val="1"/>
      </w:pPr>
      <w:r>
        <w:rPr>
          <w:rFonts w:ascii="Noto Serif" w:hAnsi="Noto Serif" w:eastAsia="Noto Serif"/>
          <w:color w:val="1D2833"/>
          <w:sz w:val="20"/>
        </w:rPr>
        <w:t xml:space="preserve">The candidate is built in a controlled environment with provenance attestations. Tests run with no production credentials and minimal external connectivity. Candidate-generated build steps are subject to the same supply-chain policy as human-authored steps.</w:t>
      </w:r>
    </w:p>
    <w:bookmarkEnd w:id="90"/>
    <w:bookmarkStart w:id="91" w:name="qualify"/>
    <w:p>
      <w:pPr>
        <w:pStyle w:val="Heading3"/>
        <w:widowControl w:val="1"/>
      </w:pPr>
      <w:r>
        <w:rPr>
          <w:rStyle w:val="SectionNumber"/>
        </w:rPr>
        <w:t xml:space="preserve">11.2.5</w:t>
      </w:r>
      <w:r>
        <w:tab/>
      </w:r>
      <w:r>
        <w:t xml:space="preserve">Qualify</w:t>
      </w:r>
    </w:p>
    <w:p>
      <w:pPr>
        <w:pStyle w:val="FirstParagraph"/>
        <w:widowControl w:val="1"/>
      </w:pPr>
      <w:r>
        <w:rPr>
          <w:rFonts w:ascii="Noto Serif" w:hAnsi="Noto Serif" w:eastAsia="Noto Serif"/>
          <w:color w:val="1D2833"/>
          <w:sz w:val="20"/>
        </w:rPr>
        <w:t xml:space="preserve">The evaluator portfolio executes deterministic, formal, statistical, adversarial, and integration checks. Evidence bundles include negative, inconclusive, and flaky results. Hard constraints are decided before performance ranking.</w:t>
      </w:r>
    </w:p>
    <w:bookmarkEnd w:id="91"/>
    <w:bookmarkStart w:id="92" w:name="rehearse-state-and-recovery"/>
    <w:p>
      <w:pPr>
        <w:pStyle w:val="Heading3"/>
        <w:widowControl w:val="1"/>
      </w:pPr>
      <w:r>
        <w:rPr>
          <w:rStyle w:val="SectionNumber"/>
        </w:rPr>
        <w:t xml:space="preserve">11.2.6</w:t>
      </w:r>
      <w:r>
        <w:tab/>
      </w:r>
      <w:r>
        <w:t xml:space="preserve">Rehearse state and recovery</w:t>
      </w:r>
    </w:p>
    <w:p>
      <w:pPr>
        <w:pStyle w:val="FirstParagraph"/>
        <w:widowControl w:val="1"/>
      </w:pPr>
      <w:r>
        <w:rPr>
          <w:rFonts w:ascii="Noto Serif" w:hAnsi="Noto Serif" w:eastAsia="Noto Serif"/>
          <w:color w:val="1D2833"/>
          <w:sz w:val="20"/>
        </w:rPr>
        <w:t xml:space="preserve">Migration runs on snapshots or synthetic copies. The system verifies schema compatibility, invariants, data loss bounds, restore checkpoints, adapter behavior, and fallback readiness. For external effects, the system rehearses compensation and emergency stop.</w:t>
      </w:r>
    </w:p>
    <w:bookmarkEnd w:id="92"/>
    <w:bookmarkStart w:id="93" w:name="shadow"/>
    <w:p>
      <w:pPr>
        <w:pStyle w:val="Heading3"/>
        <w:widowControl w:val="1"/>
      </w:pPr>
      <w:r>
        <w:rPr>
          <w:rStyle w:val="SectionNumber"/>
        </w:rPr>
        <w:t xml:space="preserve">11.2.7</w:t>
      </w:r>
      <w:r>
        <w:tab/>
      </w:r>
      <w:r>
        <w:t xml:space="preserve">Shadow</w:t>
      </w:r>
    </w:p>
    <w:p>
      <w:pPr>
        <w:pStyle w:val="FirstParagraph"/>
        <w:widowControl w:val="1"/>
      </w:pPr>
      <w:r>
        <w:rPr>
          <w:rFonts w:ascii="Noto Serif" w:hAnsi="Noto Serif" w:eastAsia="Noto Serif"/>
          <w:color w:val="1D2833"/>
          <w:sz w:val="20"/>
        </w:rPr>
        <w:t xml:space="preserve">The candidate receives real or replayed production inputs but no real-effect authority. Its outputs are compared with the active route and evaluated for latent regressions, distribution shift, cost, and operational behavior.</w:t>
      </w:r>
    </w:p>
    <w:bookmarkEnd w:id="93"/>
    <w:bookmarkStart w:id="94" w:name="canary"/>
    <w:p>
      <w:pPr>
        <w:pStyle w:val="Heading3"/>
        <w:widowControl w:val="1"/>
      </w:pPr>
      <w:r>
        <w:rPr>
          <w:rStyle w:val="SectionNumber"/>
        </w:rPr>
        <w:t xml:space="preserve">11.2.8</w:t>
      </w:r>
      <w:r>
        <w:tab/>
      </w:r>
      <w:r>
        <w:t xml:space="preserve">Canary</w:t>
      </w:r>
    </w:p>
    <w:p>
      <w:pPr>
        <w:pStyle w:val="FirstParagraph"/>
        <w:widowControl w:val="1"/>
      </w:pPr>
      <w:r>
        <w:rPr>
          <w:rFonts w:ascii="Noto Serif" w:hAnsi="Noto Serif" w:eastAsia="Noto Serif"/>
          <w:color w:val="1D2833"/>
          <w:sz w:val="20"/>
        </w:rPr>
        <w:t xml:space="preserve">The candidate receives narrowly bounded authority over a limited request class, user population, resource budget, or environment. Canary limits should be enforced outside the candidate. A predeclared abort policy triggers containment on violations or uncertainty.</w:t>
      </w:r>
    </w:p>
    <w:bookmarkEnd w:id="94"/>
    <w:bookmarkStart w:id="95" w:name="promote"/>
    <w:p>
      <w:pPr>
        <w:pStyle w:val="Heading3"/>
        <w:widowControl w:val="1"/>
      </w:pPr>
      <w:r>
        <w:rPr>
          <w:rStyle w:val="SectionNumber"/>
        </w:rPr>
        <w:t xml:space="preserve">11.2.9</w:t>
      </w:r>
      <w:r>
        <w:tab/>
      </w:r>
      <w:r>
        <w:t xml:space="preserve">Promote</w:t>
      </w:r>
    </w:p>
    <w:p>
      <w:pPr>
        <w:pStyle w:val="FirstParagraph"/>
        <w:widowControl w:val="1"/>
      </w:pPr>
      <w:r>
        <w:rPr>
          <w:rFonts w:ascii="Noto Serif" w:hAnsi="Noto Serif" w:eastAsia="Noto Serif"/>
          <w:color w:val="1D2833"/>
          <w:sz w:val="20"/>
        </w:rPr>
        <w:t xml:space="preserve">Promotion is an atomic, signed event binding:</w:t>
      </w:r>
    </w:p>
    <w:p>
      <w:pPr>
        <w:pStyle w:val="Compact"/>
        <w:numPr>
          <w:ilvl w:val="0"/>
          <w:numId w:val="1037"/>
        </w:numPr>
        <w:widowControl w:val="1"/>
      </w:pPr>
      <w:r>
        <w:rPr>
          <w:rFonts w:ascii="Noto Serif" w:hAnsi="Noto Serif" w:eastAsia="Noto Serif"/>
          <w:color w:val="1D2833"/>
          <w:sz w:val="19"/>
        </w:rPr>
        <w:t xml:space="preserve">implementation revision;</w:t>
      </w:r>
    </w:p>
    <w:p>
      <w:pPr>
        <w:pStyle w:val="Compact"/>
        <w:numPr>
          <w:ilvl w:val="0"/>
          <w:numId w:val="1037"/>
        </w:numPr>
        <w:widowControl w:val="1"/>
      </w:pPr>
      <w:r>
        <w:rPr>
          <w:rFonts w:ascii="Noto Serif" w:hAnsi="Noto Serif" w:eastAsia="Noto Serif"/>
          <w:color w:val="1D2833"/>
          <w:sz w:val="19"/>
        </w:rPr>
        <w:t xml:space="preserve">contract and deployment profile;</w:t>
      </w:r>
    </w:p>
    <w:p>
      <w:pPr>
        <w:pStyle w:val="Compact"/>
        <w:numPr>
          <w:ilvl w:val="0"/>
          <w:numId w:val="1037"/>
        </w:numPr>
        <w:widowControl w:val="1"/>
      </w:pPr>
      <w:r>
        <w:rPr>
          <w:rFonts w:ascii="Noto Serif" w:hAnsi="Noto Serif" w:eastAsia="Noto Serif"/>
          <w:color w:val="1D2833"/>
          <w:sz w:val="19"/>
        </w:rPr>
        <w:t xml:space="preserve">effective authority;</w:t>
      </w:r>
    </w:p>
    <w:p>
      <w:pPr>
        <w:pStyle w:val="Compact"/>
        <w:numPr>
          <w:ilvl w:val="0"/>
          <w:numId w:val="1037"/>
        </w:numPr>
        <w:widowControl w:val="1"/>
      </w:pPr>
      <w:r>
        <w:rPr>
          <w:rFonts w:ascii="Noto Serif" w:hAnsi="Noto Serif" w:eastAsia="Noto Serif"/>
          <w:color w:val="1D2833"/>
          <w:sz w:val="19"/>
        </w:rPr>
        <w:t xml:space="preserve">state schema and migration checkpoint;</w:t>
      </w:r>
    </w:p>
    <w:p>
      <w:pPr>
        <w:pStyle w:val="Compact"/>
        <w:numPr>
          <w:ilvl w:val="0"/>
          <w:numId w:val="1037"/>
        </w:numPr>
        <w:widowControl w:val="1"/>
      </w:pPr>
      <w:r>
        <w:rPr>
          <w:rFonts w:ascii="Noto Serif" w:hAnsi="Noto Serif" w:eastAsia="Noto Serif"/>
          <w:color w:val="1D2833"/>
          <w:sz w:val="19"/>
        </w:rPr>
        <w:t xml:space="preserve">primary and fallback routing policy;</w:t>
      </w:r>
    </w:p>
    <w:p>
      <w:pPr>
        <w:pStyle w:val="Compact"/>
        <w:numPr>
          <w:ilvl w:val="0"/>
          <w:numId w:val="1037"/>
        </w:numPr>
        <w:widowControl w:val="1"/>
      </w:pPr>
      <w:r>
        <w:rPr>
          <w:rFonts w:ascii="Noto Serif" w:hAnsi="Noto Serif" w:eastAsia="Noto Serif"/>
          <w:color w:val="1D2833"/>
          <w:sz w:val="19"/>
        </w:rPr>
        <w:t xml:space="preserve">evidence bundle set and registry watermark;</w:t>
      </w:r>
    </w:p>
    <w:p>
      <w:pPr>
        <w:pStyle w:val="Compact"/>
        <w:numPr>
          <w:ilvl w:val="0"/>
          <w:numId w:val="1037"/>
        </w:numPr>
        <w:widowControl w:val="1"/>
      </w:pPr>
      <w:r>
        <w:rPr>
          <w:rFonts w:ascii="Noto Serif" w:hAnsi="Noto Serif" w:eastAsia="Noto Serif"/>
          <w:color w:val="1D2833"/>
          <w:sz w:val="19"/>
        </w:rPr>
        <w:t xml:space="preserve">monitors, thresholds, expiry, and responsible approvers.</w:t>
      </w:r>
    </w:p>
    <w:bookmarkEnd w:id="95"/>
    <w:bookmarkStart w:id="96" w:name="monitor"/>
    <w:p>
      <w:pPr>
        <w:pStyle w:val="Heading3"/>
        <w:widowControl w:val="1"/>
      </w:pPr>
      <w:r>
        <w:rPr>
          <w:rStyle w:val="SectionNumber"/>
        </w:rPr>
        <w:t xml:space="preserve">11.2.10</w:t>
      </w:r>
      <w:r>
        <w:tab/>
      </w:r>
      <w:r>
        <w:t xml:space="preserve">Monitor</w:t>
      </w:r>
    </w:p>
    <w:p>
      <w:pPr>
        <w:pStyle w:val="FirstParagraph"/>
        <w:widowControl w:val="1"/>
      </w:pPr>
      <w:r>
        <w:rPr>
          <w:rFonts w:ascii="Noto Serif" w:hAnsi="Noto Serif" w:eastAsia="Noto Serif"/>
          <w:color w:val="1D2833"/>
          <w:sz w:val="20"/>
        </w:rPr>
        <w:t xml:space="preserve">Online evidence updates the qualification view. Monitors detect drift, incident classes, resource anomalies, evaluator disagreement, and provider changes. Promotion expires unless renewed when evidence is time-sensitive.</w:t>
      </w:r>
    </w:p>
    <w:bookmarkEnd w:id="96"/>
    <w:bookmarkStart w:id="97" w:name="contain-rollback-recover-or-compensate"/>
    <w:p>
      <w:pPr>
        <w:pStyle w:val="Heading3"/>
        <w:widowControl w:val="1"/>
      </w:pPr>
      <w:r>
        <w:rPr>
          <w:rStyle w:val="SectionNumber"/>
        </w:rPr>
        <w:t xml:space="preserve">11.2.11</w:t>
      </w:r>
      <w:r>
        <w:tab/>
      </w:r>
      <w:r>
        <w:t xml:space="preserve">Contain, rollback, recover, or compensate</w:t>
      </w:r>
    </w:p>
    <w:p>
      <w:pPr>
        <w:pStyle w:val="FirstParagraph"/>
        <w:widowControl w:val="1"/>
      </w:pPr>
      <w:r>
        <w:rPr>
          <w:rFonts w:ascii="Noto Serif" w:hAnsi="Noto Serif" w:eastAsia="Noto Serif"/>
          <w:color w:val="1D2833"/>
          <w:sz w:val="20"/>
        </w:rPr>
        <w:t xml:space="preserve">On violation, the system revokes authority, stops new routing, preserves evidence, selects a safe fallback, restores compatible state, and executes compensation where needed. Recovery steps are registered as events. An incident can invalidate other implementations that share the implicated dependency or lineage.</w:t>
      </w:r>
    </w:p>
    <w:bookmarkEnd w:id="97"/>
    <w:bookmarkStart w:id="101" w:name="retire-or-revise"/>
    <w:p>
      <w:pPr>
        <w:pStyle w:val="Heading3"/>
        <w:widowControl w:val="1"/>
      </w:pPr>
      <w:r>
        <w:rPr>
          <w:rStyle w:val="SectionNumber"/>
        </w:rPr>
        <w:t xml:space="preserve">11.2.12</w:t>
      </w:r>
      <w:r>
        <w:tab/>
      </w:r>
      <w:r>
        <w:t xml:space="preserve">Retire or revise</w:t>
      </w:r>
    </w:p>
    <w:p>
      <w:pPr>
        <w:pStyle w:val="FirstParagraph"/>
        <w:widowControl w:val="1"/>
      </w:pPr>
      <w:r>
        <w:rPr>
          <w:rFonts w:ascii="Noto Serif" w:hAnsi="Noto Serif" w:eastAsia="Noto Serif"/>
          <w:color w:val="1D2833"/>
          <w:sz w:val="20"/>
        </w:rPr>
        <w:t xml:space="preserve">Retired revisions remain in history. They may serve as fallbacks, research ancestors, or evidence of known failure. Deletion follows retention and privacy policy but should preserve cryptographic tombstones and decision records where legal and safe.</w:t>
      </w:r>
    </w:p>
    <w:p>
      <w:pPr>
        <w:pStyle w:val="BodyText"/>
        <w:keepNext/>
        <w:widowControl w:val="1"/>
        <w:spacing w:before="100" w:after="20"/>
        <w:jc w:val="center"/>
      </w:pPr>
      <w:r>
        <w:rPr>
          <w:rFonts w:ascii="Noto Serif" w:hAnsi="Noto Serif" w:eastAsia="Noto Serif"/>
          <w:color w:val="1D2833"/>
          <w:sz w:val="20"/>
        </w:rPr>
        <w:drawing>
          <wp:inline>
            <wp:extent cx="5067300" cy="4256829"/>
            <wp:effectExtent b="0" l="0" r="0" t="0"/>
            <wp:docPr descr="Lifecycle diagram from proposal and immutable registration through qualification, migration rehearsal, shadow, canary, promotion, monitoring, containment, and retirement." title="SCF improvement lifecycle" id="99" name="Picture"/>
            <a:graphic>
              <a:graphicData uri="http://schemas.openxmlformats.org/drawingml/2006/picture">
                <pic:pic>
                  <pic:nvPicPr>
                    <pic:cNvPr descr="/mnt/data/scf_paper/figures/lifecycle.png" id="100" name="Picture"/>
                    <pic:cNvPicPr>
                      <a:picLocks noChangeArrowheads="1" noChangeAspect="1"/>
                    </pic:cNvPicPr>
                  </pic:nvPicPr>
                  <pic:blipFill>
                    <a:blip r:embed="rId98"/>
                    <a:stretch>
                      <a:fillRect/>
                    </a:stretch>
                  </pic:blipFill>
                  <pic:spPr bwMode="auto">
                    <a:xfrm>
                      <a:off x="0" y="0"/>
                      <a:ext cx="5067300" cy="4256829"/>
                    </a:xfrm>
                    <a:prstGeom prst="rect">
                      <a:avLst/>
                    </a:prstGeom>
                    <a:noFill/>
                    <a:ln w="9525">
                      <a:noFill/>
                      <a:headEnd/>
                      <a:tailEnd/>
                    </a:ln>
                  </pic:spPr>
                </pic:pic>
              </a:graphicData>
            </a:graphic>
          </wp:inline>
        </w:drawing>
      </w:r>
    </w:p>
    <w:p>
      <w:pPr>
        <w:pStyle w:val="Caption"/>
        <w:widowControl w:val="1"/>
      </w:pPr>
      <w:r>
        <w:rPr>
          <w:i/>
          <w:iCs/>
        </w:rPr>
        <w:t xml:space="preserve">Figure 3. Promotion is gated by hard constraints, evidence integrity, migration and containment readiness, and only then context-specific Pareto improvement.</w:t>
      </w:r>
    </w:p>
    <w:bookmarkEnd w:id="101"/>
    <w:bookmarkEnd w:id="102"/>
    <w:bookmarkStart w:id="103" w:name="rollback-is-a-graph-not-a-button"/>
    <w:p>
      <w:pPr>
        <w:pStyle w:val="Heading2"/>
        <w:widowControl w:val="1"/>
      </w:pPr>
      <w:r>
        <w:rPr>
          <w:rStyle w:val="SectionNumber"/>
        </w:rPr>
        <w:t xml:space="preserve">11.3</w:t>
      </w:r>
      <w:r>
        <w:tab/>
      </w:r>
      <w:r>
        <w:t xml:space="preserve">Rollback is a graph, not a button</w:t>
      </w:r>
    </w:p>
    <w:p>
      <w:pPr>
        <w:pStyle w:val="FirstParagraph"/>
        <w:widowControl w:val="1"/>
      </w:pPr>
      <w:r>
        <w:rPr>
          <w:rFonts w:ascii="Noto Serif" w:hAnsi="Noto Serif" w:eastAsia="Noto Serif"/>
          <w:color w:val="1D2833"/>
          <w:sz w:val="20"/>
        </w:rPr>
        <w:t xml:space="preserve">Rollback depends on state and effects. The migration graph should answer:</w:t>
      </w:r>
    </w:p>
    <w:p>
      <w:pPr>
        <w:pStyle w:val="Compact"/>
        <w:numPr>
          <w:ilvl w:val="0"/>
          <w:numId w:val="1038"/>
        </w:numPr>
        <w:widowControl w:val="1"/>
      </w:pPr>
      <w:r>
        <w:rPr>
          <w:rFonts w:ascii="Noto Serif" w:hAnsi="Noto Serif" w:eastAsia="Noto Serif"/>
          <w:color w:val="1D2833"/>
          <w:sz w:val="19"/>
        </w:rPr>
        <w:t xml:space="preserve">Can the old implementation read the current state directly?</w:t>
      </w:r>
    </w:p>
    <w:p>
      <w:pPr>
        <w:pStyle w:val="Compact"/>
        <w:numPr>
          <w:ilvl w:val="0"/>
          <w:numId w:val="1038"/>
        </w:numPr>
        <w:widowControl w:val="1"/>
      </w:pPr>
      <w:r>
        <w:rPr>
          <w:rFonts w:ascii="Noto Serif" w:hAnsi="Noto Serif" w:eastAsia="Noto Serif"/>
          <w:color w:val="1D2833"/>
          <w:sz w:val="19"/>
        </w:rPr>
        <w:t xml:space="preserve">Is there a reverse migration, a compatibility adapter, or only a checkpoint restore?</w:t>
      </w:r>
    </w:p>
    <w:p>
      <w:pPr>
        <w:pStyle w:val="Compact"/>
        <w:numPr>
          <w:ilvl w:val="0"/>
          <w:numId w:val="1038"/>
        </w:numPr>
        <w:widowControl w:val="1"/>
      </w:pPr>
      <w:r>
        <w:rPr>
          <w:rFonts w:ascii="Noto Serif" w:hAnsi="Noto Serif" w:eastAsia="Noto Serif"/>
          <w:color w:val="1D2833"/>
          <w:sz w:val="19"/>
        </w:rPr>
        <w:t xml:space="preserve">Which writes occurred after the checkpoint, and can they be replayed?</w:t>
      </w:r>
    </w:p>
    <w:p>
      <w:pPr>
        <w:pStyle w:val="Compact"/>
        <w:numPr>
          <w:ilvl w:val="0"/>
          <w:numId w:val="1038"/>
        </w:numPr>
        <w:widowControl w:val="1"/>
      </w:pPr>
      <w:r>
        <w:rPr>
          <w:rFonts w:ascii="Noto Serif" w:hAnsi="Noto Serif" w:eastAsia="Noto Serif"/>
          <w:color w:val="1D2833"/>
          <w:sz w:val="19"/>
        </w:rPr>
        <w:t xml:space="preserve">Which external effects require compensation?</w:t>
      </w:r>
    </w:p>
    <w:p>
      <w:pPr>
        <w:pStyle w:val="Compact"/>
        <w:numPr>
          <w:ilvl w:val="0"/>
          <w:numId w:val="1038"/>
        </w:numPr>
        <w:widowControl w:val="1"/>
      </w:pPr>
      <w:r>
        <w:rPr>
          <w:rFonts w:ascii="Noto Serif" w:hAnsi="Noto Serif" w:eastAsia="Noto Serif"/>
          <w:color w:val="1D2833"/>
          <w:sz w:val="19"/>
        </w:rPr>
        <w:t xml:space="preserve">Which dependent fields must roll back together?</w:t>
      </w:r>
    </w:p>
    <w:p>
      <w:pPr>
        <w:pStyle w:val="Compact"/>
        <w:numPr>
          <w:ilvl w:val="0"/>
          <w:numId w:val="1038"/>
        </w:numPr>
        <w:widowControl w:val="1"/>
      </w:pPr>
      <w:r>
        <w:rPr>
          <w:rFonts w:ascii="Noto Serif" w:hAnsi="Noto Serif" w:eastAsia="Noto Serif"/>
          <w:color w:val="1D2833"/>
          <w:sz w:val="19"/>
        </w:rPr>
        <w:t xml:space="preserve">Does rollback restore the previous authority policy and resolver snapshot?</w:t>
      </w:r>
    </w:p>
    <w:p>
      <w:pPr>
        <w:pStyle w:val="FirstParagraph"/>
        <w:widowControl w:val="1"/>
      </w:pPr>
      <w:r>
        <w:rPr>
          <w:rFonts w:ascii="Noto Serif" w:hAnsi="Noto Serif" w:eastAsia="Noto Serif"/>
          <w:color w:val="1D2833"/>
          <w:sz w:val="20"/>
        </w:rPr>
        <w:t xml:space="preserve">A promotion lacking a credible recovery path may still be allowed for an intrinsically irreversible experiment, but it should be labeled as such and governed accordingly.</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Reversible</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must not be used as a decorative property.</w:t>
      </w:r>
    </w:p>
    <w:bookmarkEnd w:id="103"/>
    <w:bookmarkEnd w:id="104"/>
    <w:bookmarkStart w:id="109" w:name="cross-field-composition"/>
    <w:p>
      <w:pPr>
        <w:pStyle w:val="Heading1"/>
        <w:widowControl w:val="1"/>
        <w:pBdr>
          <w:bottom w:val="single" w:sz="7" w:space="4" w:color="E8EEF3"/>
        </w:pBdr>
      </w:pPr>
      <w:r>
        <w:rPr>
          <w:rStyle w:val="SectionNumber"/>
        </w:rPr>
        <w:t xml:space="preserve">12</w:t>
      </w:r>
      <w:r>
        <w:tab/>
      </w:r>
      <w:r>
        <w:t xml:space="preserve">Cross-field composition</w:t>
      </w:r>
    </w:p>
    <w:bookmarkStart w:id="105" w:name="X362b4d5c64290e9a6b27d31f927298e5b8a10dc"/>
    <w:p>
      <w:pPr>
        <w:pStyle w:val="Heading2"/>
        <w:widowControl w:val="1"/>
      </w:pPr>
      <w:r>
        <w:rPr>
          <w:rStyle w:val="SectionNumber"/>
        </w:rPr>
        <w:t xml:space="preserve">12.1</w:t>
      </w:r>
      <w:r>
        <w:tab/>
      </w:r>
      <w:r>
        <w:t xml:space="preserve">Local success does not imply global safety</w:t>
      </w:r>
    </w:p>
    <w:p>
      <w:pPr>
        <w:pStyle w:val="FirstParagraph"/>
        <w:widowControl w:val="1"/>
      </w:pPr>
      <w:r>
        <w:rPr>
          <w:rFonts w:ascii="Noto Serif" w:hAnsi="Noto Serif" w:eastAsia="Noto Serif"/>
          <w:color w:val="1D2833"/>
          <w:sz w:val="20"/>
        </w:rPr>
        <w:t xml:space="preserve">A planner can satisfy its contract while producing a plan that, when combined with a permissive tool router and a memory leak, violates a system invariant. A summarizer can preserve factual content but accidentally elevate untrusted text into instruction authority. An evaluator can be individually accurate yet correlated with the candidate because both share a model and data source.</w:t>
      </w:r>
    </w:p>
    <w:p>
      <w:pPr>
        <w:pStyle w:val="BodyText"/>
        <w:widowControl w:val="1"/>
      </w:pPr>
      <w:r>
        <w:rPr>
          <w:rFonts w:ascii="Noto Serif" w:hAnsi="Noto Serif" w:eastAsia="Noto Serif"/>
          <w:color w:val="1D2833"/>
          <w:sz w:val="20"/>
        </w:rPr>
        <w:t xml:space="preserve">SCF therefore maintains system-level invariants and assume-guarantee contracts. Each field declares assumptions about callers, dependencies, state, and environment, along with guarantees it provides when those assumptions hold [26]. Composition checks verify that guarantees discharge downstream assumptions.</w:t>
      </w:r>
    </w:p>
    <w:bookmarkEnd w:id="105"/>
    <w:bookmarkStart w:id="106" w:name="dependency-closure"/>
    <w:p>
      <w:pPr>
        <w:pStyle w:val="Heading2"/>
        <w:widowControl w:val="1"/>
      </w:pPr>
      <w:r>
        <w:rPr>
          <w:rStyle w:val="SectionNumber"/>
        </w:rPr>
        <w:t xml:space="preserve">12.2</w:t>
      </w:r>
      <w:r>
        <w:tab/>
      </w:r>
      <w:r>
        <w:t xml:space="preserve">Dependency closure</w:t>
      </w:r>
    </w:p>
    <w:p>
      <w:pPr>
        <w:pStyle w:val="FirstParagraph"/>
        <w:widowControl w:val="1"/>
      </w:pPr>
      <w:r>
        <w:rPr>
          <w:rFonts w:ascii="Noto Serif" w:hAnsi="Noto Serif" w:eastAsia="Noto Serif"/>
          <w:color w:val="1D2833"/>
          <w:sz w:val="20"/>
        </w:rPr>
        <w:t xml:space="preserve">Qualification is closed over dependencies:</w:t>
      </w:r>
    </w:p>
    <w:p>
      <w:pPr>
        <w:pStyle w:val="BlockText"/>
        <w:widowControl w:val="1"/>
        <w:shd w:fill="EAF3EF" w:val="clear"/>
        <w:pBdr>
          <w:left w:val="single" w:sz="18" w:space="8" w:color="3F7466"/>
        </w:pBdr>
      </w:pPr>
      <w:r>
        <w:rPr>
          <w:rFonts w:ascii="Noto Serif" w:hAnsi="Noto Serif" w:eastAsia="Noto Serif"/>
          <w:color w:val="19324A"/>
          <w:sz w:val="20"/>
        </w:rPr>
        <w:t xml:space="preserve">An implementation cannot be active if a required dependency lacks a compatible qualification claim for the same deployment context, unless an explicit exception with compensating controls is authorized.</w:t>
      </w:r>
    </w:p>
    <w:p>
      <w:pPr>
        <w:pStyle w:val="FirstParagraph"/>
        <w:widowControl w:val="1"/>
      </w:pPr>
      <w:r>
        <w:rPr>
          <w:rFonts w:ascii="Noto Serif" w:hAnsi="Noto Serif" w:eastAsia="Noto Serif"/>
          <w:color w:val="1D2833"/>
          <w:sz w:val="20"/>
        </w:rPr>
        <w:t xml:space="preserve">Dependency closure includes non-code dependencies such as prompts, tool descriptions, policies, hosted models, datasets, identity providers, and external APIs. Silent remote updates are especially important. When a provider cannot pin exact weights, the registry should store endpoint and configuration claims, observed fingerprints, representative transcripts, and statistical sentinel tests. Qualification becomes statistical and continuously monitored rather than bit-reproducible.</w:t>
      </w:r>
    </w:p>
    <w:bookmarkEnd w:id="106"/>
    <w:bookmarkStart w:id="107" w:name="global-invariants"/>
    <w:p>
      <w:pPr>
        <w:pStyle w:val="Heading2"/>
        <w:widowControl w:val="1"/>
      </w:pPr>
      <w:r>
        <w:rPr>
          <w:rStyle w:val="SectionNumber"/>
        </w:rPr>
        <w:t xml:space="preserve">12.3</w:t>
      </w:r>
      <w:r>
        <w:tab/>
      </w:r>
      <w:r>
        <w:t xml:space="preserve">Global invariants</w:t>
      </w:r>
    </w:p>
    <w:p>
      <w:pPr>
        <w:pStyle w:val="FirstParagraph"/>
        <w:widowControl w:val="1"/>
      </w:pPr>
      <w:r>
        <w:rPr>
          <w:rFonts w:ascii="Noto Serif" w:hAnsi="Noto Serif" w:eastAsia="Noto Serif"/>
          <w:color w:val="1D2833"/>
          <w:sz w:val="20"/>
        </w:rPr>
        <w:t xml:space="preserve">Examples of system-level invariants include:</w:t>
      </w:r>
    </w:p>
    <w:p>
      <w:pPr>
        <w:pStyle w:val="Compact"/>
        <w:numPr>
          <w:ilvl w:val="0"/>
          <w:numId w:val="1039"/>
        </w:numPr>
        <w:widowControl w:val="1"/>
      </w:pPr>
      <w:r>
        <w:rPr>
          <w:rFonts w:ascii="Noto Serif" w:hAnsi="Noto Serif" w:eastAsia="Noto Serif"/>
          <w:color w:val="1D2833"/>
          <w:sz w:val="19"/>
        </w:rPr>
        <w:t xml:space="preserve">no path from secrets to unapproved external destinations;</w:t>
      </w:r>
    </w:p>
    <w:p>
      <w:pPr>
        <w:pStyle w:val="Compact"/>
        <w:numPr>
          <w:ilvl w:val="0"/>
          <w:numId w:val="1039"/>
        </w:numPr>
        <w:widowControl w:val="1"/>
      </w:pPr>
      <w:r>
        <w:rPr>
          <w:rFonts w:ascii="Noto Serif" w:hAnsi="Noto Serif" w:eastAsia="Noto Serif"/>
          <w:color w:val="1D2833"/>
          <w:sz w:val="19"/>
        </w:rPr>
        <w:t xml:space="preserve">no candidate can modify the evidence used for its own promotion;</w:t>
      </w:r>
    </w:p>
    <w:p>
      <w:pPr>
        <w:pStyle w:val="Compact"/>
        <w:numPr>
          <w:ilvl w:val="0"/>
          <w:numId w:val="1039"/>
        </w:numPr>
        <w:widowControl w:val="1"/>
      </w:pPr>
      <w:r>
        <w:rPr>
          <w:rFonts w:ascii="Noto Serif" w:hAnsi="Noto Serif" w:eastAsia="Noto Serif"/>
          <w:color w:val="1D2833"/>
          <w:sz w:val="19"/>
        </w:rPr>
        <w:t xml:space="preserve">no action with irreversible effect occurs without a qualified authorization path;</w:t>
      </w:r>
    </w:p>
    <w:p>
      <w:pPr>
        <w:pStyle w:val="Compact"/>
        <w:numPr>
          <w:ilvl w:val="0"/>
          <w:numId w:val="1039"/>
        </w:numPr>
        <w:widowControl w:val="1"/>
      </w:pPr>
      <w:r>
        <w:rPr>
          <w:rFonts w:ascii="Noto Serif" w:hAnsi="Noto Serif" w:eastAsia="Noto Serif"/>
          <w:color w:val="1D2833"/>
          <w:sz w:val="19"/>
        </w:rPr>
        <w:t xml:space="preserve">every active route has a qualified fallback or an explicit no-fallback exception;</w:t>
      </w:r>
    </w:p>
    <w:p>
      <w:pPr>
        <w:pStyle w:val="Compact"/>
        <w:numPr>
          <w:ilvl w:val="0"/>
          <w:numId w:val="1039"/>
        </w:numPr>
        <w:widowControl w:val="1"/>
      </w:pPr>
      <w:r>
        <w:rPr>
          <w:rFonts w:ascii="Noto Serif" w:hAnsi="Noto Serif" w:eastAsia="Noto Serif"/>
          <w:color w:val="1D2833"/>
          <w:sz w:val="19"/>
        </w:rPr>
        <w:t xml:space="preserve">every durable state write is attributable to a field revision and schema;</w:t>
      </w:r>
    </w:p>
    <w:p>
      <w:pPr>
        <w:pStyle w:val="Compact"/>
        <w:numPr>
          <w:ilvl w:val="0"/>
          <w:numId w:val="1039"/>
        </w:numPr>
        <w:widowControl w:val="1"/>
      </w:pPr>
      <w:r>
        <w:rPr>
          <w:rFonts w:ascii="Noto Serif" w:hAnsi="Noto Serif" w:eastAsia="Noto Serif"/>
          <w:color w:val="1D2833"/>
          <w:sz w:val="19"/>
        </w:rPr>
        <w:t xml:space="preserve">every model or implementation update invalidates all affected shared-field claims;</w:t>
      </w:r>
    </w:p>
    <w:p>
      <w:pPr>
        <w:pStyle w:val="Compact"/>
        <w:numPr>
          <w:ilvl w:val="0"/>
          <w:numId w:val="1039"/>
        </w:numPr>
        <w:widowControl w:val="1"/>
      </w:pPr>
      <w:r>
        <w:rPr>
          <w:rFonts w:ascii="Noto Serif" w:hAnsi="Noto Serif" w:eastAsia="Noto Serif"/>
          <w:color w:val="1D2833"/>
          <w:sz w:val="19"/>
        </w:rPr>
        <w:t xml:space="preserve">no promotion can simultaneously weaken the contract and claim improvement against the old standard.</w:t>
      </w:r>
    </w:p>
    <w:p>
      <w:pPr>
        <w:pStyle w:val="FirstParagraph"/>
        <w:widowControl w:val="1"/>
      </w:pPr>
      <w:r>
        <w:rPr>
          <w:rFonts w:ascii="Noto Serif" w:hAnsi="Noto Serif" w:eastAsia="Noto Serif"/>
          <w:color w:val="1D2833"/>
          <w:sz w:val="20"/>
        </w:rPr>
        <w:t xml:space="preserve">Global invariants should be enforced by the field kernel, capability broker, registry policy, and integration monitors rather than left to prompts.</w:t>
      </w:r>
    </w:p>
    <w:bookmarkEnd w:id="107"/>
    <w:bookmarkStart w:id="108" w:name="atomic-multi-field-changes"/>
    <w:p>
      <w:pPr>
        <w:pStyle w:val="Heading2"/>
        <w:widowControl w:val="1"/>
      </w:pPr>
      <w:r>
        <w:rPr>
          <w:rStyle w:val="SectionNumber"/>
        </w:rPr>
        <w:t xml:space="preserve">12.4</w:t>
      </w:r>
      <w:r>
        <w:tab/>
      </w:r>
      <w:r>
        <w:t xml:space="preserve">Atomic multi-field changes</w:t>
      </w:r>
    </w:p>
    <w:p>
      <w:pPr>
        <w:pStyle w:val="FirstParagraph"/>
        <w:widowControl w:val="1"/>
      </w:pPr>
      <w:r>
        <w:rPr>
          <w:rFonts w:ascii="Noto Serif" w:hAnsi="Noto Serif" w:eastAsia="Noto Serif"/>
          <w:color w:val="1D2833"/>
          <w:sz w:val="20"/>
        </w:rPr>
        <w:t xml:space="preserve">Some improvements require coordinated changes. SIA’s joint harness and weight update is an example of a change that should be evaluated as a composite [7]. SCF supports an atomic change set containing multiple implementation revisions, migrations, and route updates. The change set is qualified against the combined impact cone and either activates as one transaction or not at all.</w:t>
      </w:r>
    </w:p>
    <w:p>
      <w:pPr>
        <w:pStyle w:val="BodyText"/>
        <w:widowControl w:val="1"/>
      </w:pPr>
      <w:r>
        <w:rPr>
          <w:rFonts w:ascii="Noto Serif" w:hAnsi="Noto Serif" w:eastAsia="Noto Serif"/>
          <w:color w:val="1D2833"/>
          <w:sz w:val="20"/>
        </w:rPr>
        <w:t xml:space="preserve">Atomicity prevents an intermediate state in which one field expects a new contract while another still implements the old one. It does not eliminate the need for staged canaries; the canary unit is simply the composite change set.</w:t>
      </w:r>
    </w:p>
    <w:bookmarkEnd w:id="108"/>
    <w:bookmarkEnd w:id="109"/>
    <w:bookmarkStart w:id="114" w:name="evolution-of-abstractions-and-governance"/>
    <w:p>
      <w:pPr>
        <w:pStyle w:val="Heading1"/>
        <w:widowControl w:val="1"/>
        <w:pBdr>
          <w:bottom w:val="single" w:sz="7" w:space="4" w:color="E8EEF3"/>
        </w:pBdr>
      </w:pPr>
      <w:r>
        <w:rPr>
          <w:rStyle w:val="SectionNumber"/>
        </w:rPr>
        <w:t xml:space="preserve">13</w:t>
      </w:r>
      <w:r>
        <w:tab/>
      </w:r>
      <w:r>
        <w:t xml:space="preserve">Evolution of abstractions and governance</w:t>
      </w:r>
    </w:p>
    <w:bookmarkStart w:id="110" w:name="change-strata"/>
    <w:p>
      <w:pPr>
        <w:pStyle w:val="Heading2"/>
        <w:widowControl w:val="1"/>
      </w:pPr>
      <w:r>
        <w:rPr>
          <w:rStyle w:val="SectionNumber"/>
        </w:rPr>
        <w:t xml:space="preserve">13.1</w:t>
      </w:r>
      <w:r>
        <w:tab/>
      </w:r>
      <w:r>
        <w:t xml:space="preserve">Change strata</w:t>
      </w:r>
    </w:p>
    <w:p>
      <w:pPr>
        <w:pStyle w:val="FirstParagraph"/>
        <w:widowControl w:val="1"/>
      </w:pPr>
      <w:r>
        <w:rPr>
          <w:rFonts w:ascii="Noto Serif" w:hAnsi="Noto Serif" w:eastAsia="Noto Serif"/>
          <w:color w:val="1D2833"/>
          <w:sz w:val="20"/>
        </w:rPr>
        <w:t xml:space="preserve">Not all changes deserve the same process. SCF uses governance strata:</w:t>
      </w:r>
    </w:p>
    <w:p>
      <w:pPr>
        <w:pStyle w:val="TableCaption"/>
        <w:keepNext/>
        <w:spacing w:before="140" w:after="60"/>
        <w:jc w:val="left"/>
      </w:pPr>
      <w:r>
        <w:t>Table 5. Governance strata for changes to a self-improving system.</w:t>
      </w:r>
    </w:p>
    <w:tbl>
      <w:tblPr>
        <w:tblStyle w:val="Table"/>
        <w:tblW w:type="dxa" w:w="9936"/>
        <w:jc w:val="center"/>
        <w:tblLayout w:type="fixed"/>
        <w:tblLook w:firstRow="1" w:lastRow="0" w:firstColumn="0" w:lastColumn="0" w:noHBand="0" w:noVBand="0" w:val="0020"/>
      </w:tblPr>
      <w:tblGrid>
        <w:gridCol w:w="2640"/>
        <w:gridCol w:w="2640"/>
        <w:gridCol w:w="2640"/>
      </w:tblGrid>
      <w:tr>
        <w:trPr>
          <w:tblHeader w:val="on"/>
          <w:tblHeader w:val="true"/>
          <w:cantSplit/>
        </w:trPr>
        <w:tc>
          <w:tcPr>
            <w:tcW w:type="dxa" w:w="2285"/>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Stratum</w:t>
            </w:r>
          </w:p>
        </w:tc>
        <w:tc>
          <w:tcPr>
            <w:tcW w:type="dxa" w:w="3825"/>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Examples</w:t>
            </w:r>
          </w:p>
        </w:tc>
        <w:tc>
          <w:tcPr>
            <w:tcW w:type="dxa" w:w="3825"/>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Default treatment</w:t>
            </w:r>
          </w:p>
        </w:tc>
      </w:tr>
      <w:tr>
        <w:trPr>
          <w:cantSplit/>
        </w:trPr>
        <w:tc>
          <w:tcPr>
            <w:tcW w:type="dxa" w:w="22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Routine implementation</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Prompt, code, model, routing weight, cache policy within contract</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Automated qualification and staged deployment</w:t>
            </w:r>
          </w:p>
        </w:tc>
      </w:tr>
      <w:tr>
        <w:trPr>
          <w:cantSplit/>
        </w:trPr>
        <w:tc>
          <w:tcPr>
            <w:tcW w:type="dxa" w:w="22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Dependency or tool</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New model provider, tool revision, data source, runtime</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Security and impact review plus requalification</w:t>
            </w:r>
          </w:p>
        </w:tc>
      </w:tr>
      <w:tr>
        <w:trPr>
          <w:cantSplit/>
        </w:trPr>
        <w:tc>
          <w:tcPr>
            <w:tcW w:type="dxa" w:w="22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Authority or effect policy</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New external destination, wider file access, delegation</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Security event with independent approval</w:t>
            </w:r>
          </w:p>
        </w:tc>
      </w:tr>
      <w:tr>
        <w:trPr>
          <w:cantSplit/>
        </w:trPr>
        <w:tc>
          <w:tcPr>
            <w:tcW w:type="dxa" w:w="22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Evaluator or promotion policy</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Metric, holdout, threshold, ranking policy, approval rule</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Governance event; cannot retroactively validate candidate</w:t>
            </w:r>
          </w:p>
        </w:tc>
      </w:tr>
      <w:tr>
        <w:trPr>
          <w:cantSplit/>
        </w:trPr>
        <w:tc>
          <w:tcPr>
            <w:tcW w:type="dxa" w:w="22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Contract minor/refinement</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Additive optional field, stronger postcondition, clarified failure code</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Compatibility proof and migration plan</w:t>
            </w:r>
          </w:p>
        </w:tc>
      </w:tr>
      <w:tr>
        <w:trPr>
          <w:cantSplit/>
        </w:trPr>
        <w:tc>
          <w:tcPr>
            <w:tcW w:type="dxa" w:w="22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Contract major or field boundary</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New semantics, weakened guarantee, split or merge</w:t>
            </w:r>
          </w:p>
        </w:tc>
        <w:tc>
          <w:tcPr>
            <w:tcW w:type="dxa" w:w="382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6"/>
              </w:rPr>
              <w:t xml:space="preserve">Constitutional event with parallel version and deprecation window</w:t>
            </w:r>
          </w:p>
        </w:tc>
      </w:tr>
      <w:tr>
        <w:trPr>
          <w:cantSplit/>
        </w:trPr>
        <w:tc>
          <w:tcPr>
            <w:tcW w:type="dxa" w:w="22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Kernel or trust root</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Resolver enforcement, broker, registry signing, root keys</w:t>
            </w:r>
          </w:p>
        </w:tc>
        <w:tc>
          <w:tcPr>
            <w:tcW w:type="dxa" w:w="382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6"/>
              </w:rPr>
              <w:t xml:space="preserve">Highest assurance, threshold authorization, recovery ceremony</w:t>
            </w:r>
          </w:p>
        </w:tc>
      </w:tr>
    </w:tbl>
    <w:p>
      <w:pPr>
        <w:pStyle w:val="BodyText"/>
        <w:widowControl w:val="1"/>
      </w:pPr>
      <w:r>
        <w:rPr>
          <w:rFonts w:ascii="Noto Serif" w:hAnsi="Noto Serif" w:eastAsia="Noto Serif"/>
          <w:color w:val="1D2833"/>
          <w:sz w:val="20"/>
        </w:rPr>
        <w:t xml:space="preserve">The term</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constitutional</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is functional rather than rhetorical. These changes alter the rules under which future components are interpreted and authorized.</w:t>
      </w:r>
    </w:p>
    <w:bookmarkEnd w:id="110"/>
    <w:bookmarkStart w:id="111" w:name="contract-evolution"/>
    <w:p>
      <w:pPr>
        <w:pStyle w:val="Heading2"/>
        <w:widowControl w:val="1"/>
      </w:pPr>
      <w:r>
        <w:rPr>
          <w:rStyle w:val="SectionNumber"/>
        </w:rPr>
        <w:t xml:space="preserve">13.2</w:t>
      </w:r>
      <w:r>
        <w:tab/>
      </w:r>
      <w:r>
        <w:t xml:space="preserve">Contract evolution</w:t>
      </w:r>
    </w:p>
    <w:p>
      <w:pPr>
        <w:pStyle w:val="FirstParagraph"/>
        <w:widowControl w:val="1"/>
      </w:pPr>
      <w:r>
        <w:rPr>
          <w:rFonts w:ascii="Noto Serif" w:hAnsi="Noto Serif" w:eastAsia="Noto Serif"/>
          <w:color w:val="1D2833"/>
          <w:sz w:val="20"/>
        </w:rPr>
        <w:t xml:space="preserve">Contract evolution should classify changes as:</w:t>
      </w:r>
    </w:p>
    <w:p>
      <w:pPr>
        <w:pStyle w:val="Compact"/>
        <w:numPr>
          <w:ilvl w:val="0"/>
          <w:numId w:val="1040"/>
        </w:numPr>
        <w:widowControl w:val="1"/>
      </w:pPr>
      <w:r>
        <w:rPr>
          <w:rFonts w:ascii="Noto Serif" w:hAnsi="Noto Serif" w:eastAsia="Noto Serif"/>
          <w:b/>
          <w:bCs/>
          <w:color w:val="1D2833"/>
          <w:sz w:val="19"/>
        </w:rPr>
        <w:t xml:space="preserve">additive extension:</w:t>
      </w:r>
      <w:r>
        <w:rPr>
          <w:rFonts w:ascii="Noto Serif" w:hAnsi="Noto Serif" w:eastAsia="Noto Serif"/>
          <w:color w:val="1D2833"/>
          <w:sz w:val="19"/>
        </w:rPr>
        <w:t xml:space="preserve"> </w:t>
      </w:r>
      <w:r>
        <w:rPr>
          <w:rFonts w:ascii="Noto Serif" w:hAnsi="Noto Serif" w:eastAsia="Noto Serif"/>
          <w:color w:val="1D2833"/>
          <w:sz w:val="19"/>
        </w:rPr>
        <w:t xml:space="preserve">old callers and implementations remain valid; new behavior is optional or negotiated;</w:t>
      </w:r>
    </w:p>
    <w:p>
      <w:pPr>
        <w:pStyle w:val="Compact"/>
        <w:numPr>
          <w:ilvl w:val="0"/>
          <w:numId w:val="1040"/>
        </w:numPr>
        <w:widowControl w:val="1"/>
      </w:pPr>
      <w:r>
        <w:rPr>
          <w:rFonts w:ascii="Noto Serif" w:hAnsi="Noto Serif" w:eastAsia="Noto Serif"/>
          <w:b/>
          <w:bCs/>
          <w:color w:val="1D2833"/>
          <w:sz w:val="19"/>
        </w:rPr>
        <w:t xml:space="preserve">behavioral refinement:</w:t>
      </w:r>
      <w:r>
        <w:rPr>
          <w:rFonts w:ascii="Noto Serif" w:hAnsi="Noto Serif" w:eastAsia="Noto Serif"/>
          <w:color w:val="1D2833"/>
          <w:sz w:val="19"/>
        </w:rPr>
        <w:t xml:space="preserve"> </w:t>
      </w:r>
      <w:r>
        <w:rPr>
          <w:rFonts w:ascii="Noto Serif" w:hAnsi="Noto Serif" w:eastAsia="Noto Serif"/>
          <w:color w:val="1D2833"/>
          <w:sz w:val="19"/>
        </w:rPr>
        <w:t xml:space="preserve">guarantees become stronger without strengthening caller obligations;</w:t>
      </w:r>
    </w:p>
    <w:p>
      <w:pPr>
        <w:pStyle w:val="Compact"/>
        <w:numPr>
          <w:ilvl w:val="0"/>
          <w:numId w:val="1040"/>
        </w:numPr>
        <w:widowControl w:val="1"/>
      </w:pPr>
      <w:r>
        <w:rPr>
          <w:rFonts w:ascii="Noto Serif" w:hAnsi="Noto Serif" w:eastAsia="Noto Serif"/>
          <w:b/>
          <w:bCs/>
          <w:color w:val="1D2833"/>
          <w:sz w:val="19"/>
        </w:rPr>
        <w:t xml:space="preserve">breaking revision:</w:t>
      </w:r>
      <w:r>
        <w:rPr>
          <w:rFonts w:ascii="Noto Serif" w:hAnsi="Noto Serif" w:eastAsia="Noto Serif"/>
          <w:color w:val="1D2833"/>
          <w:sz w:val="19"/>
        </w:rPr>
        <w:t xml:space="preserve"> </w:t>
      </w:r>
      <w:r>
        <w:rPr>
          <w:rFonts w:ascii="Noto Serif" w:hAnsi="Noto Serif" w:eastAsia="Noto Serif"/>
          <w:color w:val="1D2833"/>
          <w:sz w:val="19"/>
        </w:rPr>
        <w:t xml:space="preserve">meaning, authority, state, protocol, or failure semantics change.</w:t>
      </w:r>
    </w:p>
    <w:p>
      <w:pPr>
        <w:pStyle w:val="FirstParagraph"/>
        <w:widowControl w:val="1"/>
      </w:pPr>
      <w:r>
        <w:rPr>
          <w:rFonts w:ascii="Noto Serif" w:hAnsi="Noto Serif" w:eastAsia="Noto Serif"/>
          <w:color w:val="1D2833"/>
          <w:sz w:val="20"/>
        </w:rPr>
        <w:t xml:space="preserve">Semantic version numbers can communicate intent, but empirical studies show that version labels do not reliably prevent breaking behavior [40]. SCF therefore derives compatibility from explicit contract deltas and evidence, not version strings alone.</w:t>
      </w:r>
    </w:p>
    <w:p>
      <w:pPr>
        <w:pStyle w:val="BodyText"/>
        <w:widowControl w:val="1"/>
      </w:pPr>
      <w:r>
        <w:rPr>
          <w:rFonts w:ascii="Noto Serif" w:hAnsi="Noto Serif" w:eastAsia="Noto Serif"/>
          <w:color w:val="1D2833"/>
          <w:sz w:val="20"/>
        </w:rPr>
        <w:t xml:space="preserve">Major contract versions may coexist. Adapters can bridge them when semantics are preservable. A deprecation policy defines support windows, migration obligations, and the conditions for removing an old contract. This allows the abstraction to evolve without forcing an all-at-once rewrite or silently redefining success.</w:t>
      </w:r>
    </w:p>
    <w:bookmarkEnd w:id="111"/>
    <w:bookmarkStart w:id="112" w:name="preventing-goalpost-mutation"/>
    <w:p>
      <w:pPr>
        <w:pStyle w:val="Heading2"/>
        <w:widowControl w:val="1"/>
      </w:pPr>
      <w:r>
        <w:rPr>
          <w:rStyle w:val="SectionNumber"/>
        </w:rPr>
        <w:t xml:space="preserve">13.3</w:t>
      </w:r>
      <w:r>
        <w:tab/>
      </w:r>
      <w:r>
        <w:t xml:space="preserve">Preventing goalpost mutation</w:t>
      </w:r>
    </w:p>
    <w:p>
      <w:pPr>
        <w:pStyle w:val="FirstParagraph"/>
        <w:widowControl w:val="1"/>
      </w:pPr>
      <w:r>
        <w:rPr>
          <w:rFonts w:ascii="Noto Serif" w:hAnsi="Noto Serif" w:eastAsia="Noto Serif"/>
          <w:color w:val="1D2833"/>
          <w:sz w:val="20"/>
        </w:rPr>
        <w:t xml:space="preserve">A candidate may fail under the current contract and propose changing the contract to pass. Sometimes the candidate has exposed a genuine limitation in the abstraction. Sometimes it is goalpost mutation.</w:t>
      </w:r>
    </w:p>
    <w:p>
      <w:pPr>
        <w:pStyle w:val="BodyText"/>
        <w:widowControl w:val="1"/>
      </w:pPr>
      <w:r>
        <w:rPr>
          <w:rFonts w:ascii="Noto Serif" w:hAnsi="Noto Serif" w:eastAsia="Noto Serif"/>
          <w:color w:val="1D2833"/>
          <w:sz w:val="20"/>
        </w:rPr>
        <w:t xml:space="preserve">SCF requires:</w:t>
      </w:r>
    </w:p>
    <w:p>
      <w:pPr>
        <w:pStyle w:val="Compact"/>
        <w:numPr>
          <w:ilvl w:val="0"/>
          <w:numId w:val="1041"/>
        </w:numPr>
        <w:widowControl w:val="1"/>
      </w:pPr>
      <w:r>
        <w:rPr>
          <w:rFonts w:ascii="Noto Serif" w:hAnsi="Noto Serif" w:eastAsia="Noto Serif"/>
          <w:color w:val="1D2833"/>
          <w:sz w:val="19"/>
        </w:rPr>
        <w:t xml:space="preserve">a contract change proposal separate from the implementation proposal;</w:t>
      </w:r>
    </w:p>
    <w:p>
      <w:pPr>
        <w:pStyle w:val="Compact"/>
        <w:numPr>
          <w:ilvl w:val="0"/>
          <w:numId w:val="1041"/>
        </w:numPr>
        <w:widowControl w:val="1"/>
      </w:pPr>
      <w:r>
        <w:rPr>
          <w:rFonts w:ascii="Noto Serif" w:hAnsi="Noto Serif" w:eastAsia="Noto Serif"/>
          <w:color w:val="1D2833"/>
          <w:sz w:val="19"/>
        </w:rPr>
        <w:t xml:space="preserve">evaluation of the social and system purpose served by the old guarantee;</w:t>
      </w:r>
    </w:p>
    <w:p>
      <w:pPr>
        <w:pStyle w:val="Compact"/>
        <w:numPr>
          <w:ilvl w:val="0"/>
          <w:numId w:val="1041"/>
        </w:numPr>
        <w:widowControl w:val="1"/>
      </w:pPr>
      <w:r>
        <w:rPr>
          <w:rFonts w:ascii="Noto Serif" w:hAnsi="Noto Serif" w:eastAsia="Noto Serif"/>
          <w:color w:val="1D2833"/>
          <w:sz w:val="19"/>
        </w:rPr>
        <w:t xml:space="preserve">explicit identification of weakened, strengthened, and incomparable obligations;</w:t>
      </w:r>
    </w:p>
    <w:p>
      <w:pPr>
        <w:pStyle w:val="Compact"/>
        <w:numPr>
          <w:ilvl w:val="0"/>
          <w:numId w:val="1041"/>
        </w:numPr>
        <w:widowControl w:val="1"/>
      </w:pPr>
      <w:r>
        <w:rPr>
          <w:rFonts w:ascii="Noto Serif" w:hAnsi="Noto Serif" w:eastAsia="Noto Serif"/>
          <w:color w:val="1D2833"/>
          <w:sz w:val="19"/>
        </w:rPr>
        <w:t xml:space="preserve">requalification of callers and dependent fields;</w:t>
      </w:r>
    </w:p>
    <w:p>
      <w:pPr>
        <w:pStyle w:val="Compact"/>
        <w:numPr>
          <w:ilvl w:val="0"/>
          <w:numId w:val="1041"/>
        </w:numPr>
        <w:widowControl w:val="1"/>
      </w:pPr>
      <w:r>
        <w:rPr>
          <w:rFonts w:ascii="Noto Serif" w:hAnsi="Noto Serif" w:eastAsia="Noto Serif"/>
          <w:color w:val="1D2833"/>
          <w:sz w:val="19"/>
        </w:rPr>
        <w:t xml:space="preserve">parallel evaluation against both old and proposed contracts where meaningful;</w:t>
      </w:r>
    </w:p>
    <w:p>
      <w:pPr>
        <w:pStyle w:val="Compact"/>
        <w:numPr>
          <w:ilvl w:val="0"/>
          <w:numId w:val="1041"/>
        </w:numPr>
        <w:widowControl w:val="1"/>
      </w:pPr>
      <w:r>
        <w:rPr>
          <w:rFonts w:ascii="Noto Serif" w:hAnsi="Noto Serif" w:eastAsia="Noto Serif"/>
          <w:color w:val="1D2833"/>
          <w:sz w:val="19"/>
        </w:rPr>
        <w:t xml:space="preserve">independent approval that cannot be supplied solely by the candidate or its optimizer;</w:t>
      </w:r>
    </w:p>
    <w:p>
      <w:pPr>
        <w:pStyle w:val="Compact"/>
        <w:numPr>
          <w:ilvl w:val="0"/>
          <w:numId w:val="1041"/>
        </w:numPr>
        <w:widowControl w:val="1"/>
      </w:pPr>
      <w:r>
        <w:rPr>
          <w:rFonts w:ascii="Noto Serif" w:hAnsi="Noto Serif" w:eastAsia="Noto Serif"/>
          <w:color w:val="1D2833"/>
          <w:sz w:val="19"/>
        </w:rPr>
        <w:t xml:space="preserve">no retroactive relabeling of failed evidence as a pass.</w:t>
      </w:r>
    </w:p>
    <w:p>
      <w:pPr>
        <w:pStyle w:val="FirstParagraph"/>
        <w:widowControl w:val="1"/>
      </w:pPr>
      <w:r>
        <w:rPr>
          <w:rFonts w:ascii="Noto Serif" w:hAnsi="Noto Serif" w:eastAsia="Noto Serif"/>
          <w:color w:val="1D2833"/>
          <w:sz w:val="20"/>
        </w:rPr>
        <w:t xml:space="preserve">An abstraction should be stable, not frozen. Stability means changes are legible and costly in proportion to their blast radius.</w:t>
      </w:r>
    </w:p>
    <w:bookmarkEnd w:id="112"/>
    <w:bookmarkStart w:id="113" w:name="field-split-and-merge"/>
    <w:p>
      <w:pPr>
        <w:pStyle w:val="Heading2"/>
        <w:widowControl w:val="1"/>
      </w:pPr>
      <w:r>
        <w:rPr>
          <w:rStyle w:val="SectionNumber"/>
        </w:rPr>
        <w:t xml:space="preserve">13.4</w:t>
      </w:r>
      <w:r>
        <w:tab/>
      </w:r>
      <w:r>
        <w:t xml:space="preserve">Field split and merge</w:t>
      </w:r>
    </w:p>
    <w:p>
      <w:pPr>
        <w:pStyle w:val="FirstParagraph"/>
        <w:widowControl w:val="1"/>
      </w:pPr>
      <w:r>
        <w:rPr>
          <w:rFonts w:ascii="Noto Serif" w:hAnsi="Noto Serif" w:eastAsia="Noto Serif"/>
          <w:color w:val="1D2833"/>
          <w:sz w:val="20"/>
        </w:rPr>
        <w:t xml:space="preserve">A field should split when one part has distinct authority, state, evaluation, or replacement cadence. It should merge when the boundary creates untestable assumptions, inseparable state, or constant atomic changes. Split and merge proposals must include:</w:t>
      </w:r>
    </w:p>
    <w:p>
      <w:pPr>
        <w:pStyle w:val="Compact"/>
        <w:numPr>
          <w:ilvl w:val="0"/>
          <w:numId w:val="1042"/>
        </w:numPr>
        <w:widowControl w:val="1"/>
      </w:pPr>
      <w:r>
        <w:rPr>
          <w:rFonts w:ascii="Noto Serif" w:hAnsi="Noto Serif" w:eastAsia="Noto Serif"/>
          <w:color w:val="1D2833"/>
          <w:sz w:val="19"/>
        </w:rPr>
        <w:t xml:space="preserve">new contracts and identity mapping;</w:t>
      </w:r>
    </w:p>
    <w:p>
      <w:pPr>
        <w:pStyle w:val="Compact"/>
        <w:numPr>
          <w:ilvl w:val="0"/>
          <w:numId w:val="1042"/>
        </w:numPr>
        <w:widowControl w:val="1"/>
      </w:pPr>
      <w:r>
        <w:rPr>
          <w:rFonts w:ascii="Noto Serif" w:hAnsi="Noto Serif" w:eastAsia="Noto Serif"/>
          <w:color w:val="1D2833"/>
          <w:sz w:val="19"/>
        </w:rPr>
        <w:t xml:space="preserve">state partition or consolidation;</w:t>
      </w:r>
    </w:p>
    <w:p>
      <w:pPr>
        <w:pStyle w:val="Compact"/>
        <w:numPr>
          <w:ilvl w:val="0"/>
          <w:numId w:val="1042"/>
        </w:numPr>
        <w:widowControl w:val="1"/>
      </w:pPr>
      <w:r>
        <w:rPr>
          <w:rFonts w:ascii="Noto Serif" w:hAnsi="Noto Serif" w:eastAsia="Noto Serif"/>
          <w:color w:val="1D2833"/>
          <w:sz w:val="19"/>
        </w:rPr>
        <w:t xml:space="preserve">dependency and authority changes;</w:t>
      </w:r>
    </w:p>
    <w:p>
      <w:pPr>
        <w:pStyle w:val="Compact"/>
        <w:numPr>
          <w:ilvl w:val="0"/>
          <w:numId w:val="1042"/>
        </w:numPr>
        <w:widowControl w:val="1"/>
      </w:pPr>
      <w:r>
        <w:rPr>
          <w:rFonts w:ascii="Noto Serif" w:hAnsi="Noto Serif" w:eastAsia="Noto Serif"/>
          <w:color w:val="1D2833"/>
          <w:sz w:val="19"/>
        </w:rPr>
        <w:t xml:space="preserve">migration and rollback paths;</w:t>
      </w:r>
    </w:p>
    <w:p>
      <w:pPr>
        <w:pStyle w:val="Compact"/>
        <w:numPr>
          <w:ilvl w:val="0"/>
          <w:numId w:val="1042"/>
        </w:numPr>
        <w:widowControl w:val="1"/>
      </w:pPr>
      <w:r>
        <w:rPr>
          <w:rFonts w:ascii="Noto Serif" w:hAnsi="Noto Serif" w:eastAsia="Noto Serif"/>
          <w:color w:val="1D2833"/>
          <w:sz w:val="19"/>
        </w:rPr>
        <w:t xml:space="preserve">treatment of historical evidence;</w:t>
      </w:r>
    </w:p>
    <w:p>
      <w:pPr>
        <w:pStyle w:val="Compact"/>
        <w:numPr>
          <w:ilvl w:val="0"/>
          <w:numId w:val="1042"/>
        </w:numPr>
        <w:widowControl w:val="1"/>
      </w:pPr>
      <w:r>
        <w:rPr>
          <w:rFonts w:ascii="Noto Serif" w:hAnsi="Noto Serif" w:eastAsia="Noto Serif"/>
          <w:color w:val="1D2833"/>
          <w:sz w:val="19"/>
        </w:rPr>
        <w:t xml:space="preserve">caller adaptation;</w:t>
      </w:r>
    </w:p>
    <w:p>
      <w:pPr>
        <w:pStyle w:val="Compact"/>
        <w:numPr>
          <w:ilvl w:val="0"/>
          <w:numId w:val="1042"/>
        </w:numPr>
        <w:widowControl w:val="1"/>
      </w:pPr>
      <w:r>
        <w:rPr>
          <w:rFonts w:ascii="Noto Serif" w:hAnsi="Noto Serif" w:eastAsia="Noto Serif"/>
          <w:color w:val="1D2833"/>
          <w:sz w:val="19"/>
        </w:rPr>
        <w:t xml:space="preserve">updated system invariants.</w:t>
      </w:r>
    </w:p>
    <w:p>
      <w:pPr>
        <w:pStyle w:val="FirstParagraph"/>
        <w:widowControl w:val="1"/>
      </w:pPr>
      <w:r>
        <w:rPr>
          <w:rFonts w:ascii="Noto Serif" w:hAnsi="Noto Serif" w:eastAsia="Noto Serif"/>
          <w:color w:val="1D2833"/>
          <w:sz w:val="20"/>
        </w:rPr>
        <w:t xml:space="preserve">Historical records should preserve the lineage from predecessor fields rather than pretend the new taxonomy always existed.</w:t>
      </w:r>
    </w:p>
    <w:bookmarkEnd w:id="113"/>
    <w:bookmarkEnd w:id="114"/>
    <w:bookmarkStart w:id="118" w:name="minimal-trusted-computing-base"/>
    <w:p>
      <w:pPr>
        <w:pStyle w:val="Heading1"/>
        <w:widowControl w:val="1"/>
        <w:pBdr>
          <w:bottom w:val="single" w:sz="7" w:space="4" w:color="E8EEF3"/>
        </w:pBdr>
      </w:pPr>
      <w:r>
        <w:rPr>
          <w:rStyle w:val="SectionNumber"/>
        </w:rPr>
        <w:t xml:space="preserve">14</w:t>
      </w:r>
      <w:r>
        <w:tab/>
      </w:r>
      <w:r>
        <w:t xml:space="preserve">Minimal trusted computing base</w:t>
      </w:r>
    </w:p>
    <w:bookmarkStart w:id="115" w:name="field-kernel"/>
    <w:p>
      <w:pPr>
        <w:pStyle w:val="Heading2"/>
        <w:widowControl w:val="1"/>
      </w:pPr>
      <w:r>
        <w:rPr>
          <w:rStyle w:val="SectionNumber"/>
        </w:rPr>
        <w:t xml:space="preserve">14.1</w:t>
      </w:r>
      <w:r>
        <w:tab/>
      </w:r>
      <w:r>
        <w:t xml:space="preserve">Field kernel</w:t>
      </w:r>
    </w:p>
    <w:p>
      <w:pPr>
        <w:pStyle w:val="FirstParagraph"/>
        <w:widowControl w:val="1"/>
      </w:pPr>
      <w:r>
        <w:rPr>
          <w:rFonts w:ascii="Noto Serif" w:hAnsi="Noto Serif" w:eastAsia="Noto Serif"/>
          <w:color w:val="1D2833"/>
          <w:sz w:val="20"/>
        </w:rPr>
        <w:t xml:space="preserve">SCF should minimize the code and policy that must be trusted across all fields. The field kernel is analogous to a microkernel, not a general-purpose intelligence. Its responsibilities are:</w:t>
      </w:r>
    </w:p>
    <w:p>
      <w:pPr>
        <w:pStyle w:val="Compact"/>
        <w:numPr>
          <w:ilvl w:val="0"/>
          <w:numId w:val="1043"/>
        </w:numPr>
        <w:widowControl w:val="1"/>
      </w:pPr>
      <w:r>
        <w:rPr>
          <w:rFonts w:ascii="Noto Serif" w:hAnsi="Noto Serif" w:eastAsia="Noto Serif"/>
          <w:color w:val="1D2833"/>
          <w:sz w:val="19"/>
        </w:rPr>
        <w:t xml:space="preserve">verify artifact and policy identities;</w:t>
      </w:r>
    </w:p>
    <w:p>
      <w:pPr>
        <w:pStyle w:val="Compact"/>
        <w:numPr>
          <w:ilvl w:val="0"/>
          <w:numId w:val="1043"/>
        </w:numPr>
        <w:widowControl w:val="1"/>
      </w:pPr>
      <w:r>
        <w:rPr>
          <w:rFonts w:ascii="Noto Serif" w:hAnsi="Noto Serif" w:eastAsia="Noto Serif"/>
          <w:color w:val="1D2833"/>
          <w:sz w:val="19"/>
        </w:rPr>
        <w:t xml:space="preserve">enforce lifecycle-state transitions;</w:t>
      </w:r>
    </w:p>
    <w:p>
      <w:pPr>
        <w:pStyle w:val="Compact"/>
        <w:numPr>
          <w:ilvl w:val="0"/>
          <w:numId w:val="1043"/>
        </w:numPr>
        <w:widowControl w:val="1"/>
      </w:pPr>
      <w:r>
        <w:rPr>
          <w:rFonts w:ascii="Noto Serif" w:hAnsi="Noto Serif" w:eastAsia="Noto Serif"/>
          <w:color w:val="1D2833"/>
          <w:sz w:val="19"/>
        </w:rPr>
        <w:t xml:space="preserve">resolve only among qualified claims;</w:t>
      </w:r>
    </w:p>
    <w:p>
      <w:pPr>
        <w:pStyle w:val="Compact"/>
        <w:numPr>
          <w:ilvl w:val="0"/>
          <w:numId w:val="1043"/>
        </w:numPr>
        <w:widowControl w:val="1"/>
      </w:pPr>
      <w:r>
        <w:rPr>
          <w:rFonts w:ascii="Noto Serif" w:hAnsi="Noto Serif" w:eastAsia="Noto Serif"/>
          <w:color w:val="1D2833"/>
          <w:sz w:val="19"/>
        </w:rPr>
        <w:t xml:space="preserve">bind effective authority through the capability broker;</w:t>
      </w:r>
    </w:p>
    <w:p>
      <w:pPr>
        <w:pStyle w:val="Compact"/>
        <w:numPr>
          <w:ilvl w:val="0"/>
          <w:numId w:val="1043"/>
        </w:numPr>
        <w:widowControl w:val="1"/>
      </w:pPr>
      <w:r>
        <w:rPr>
          <w:rFonts w:ascii="Noto Serif" w:hAnsi="Noto Serif" w:eastAsia="Noto Serif"/>
          <w:color w:val="1D2833"/>
          <w:sz w:val="19"/>
        </w:rPr>
        <w:t xml:space="preserve">enforce registry snapshot and approval requirements;</w:t>
      </w:r>
    </w:p>
    <w:p>
      <w:pPr>
        <w:pStyle w:val="Compact"/>
        <w:numPr>
          <w:ilvl w:val="0"/>
          <w:numId w:val="1043"/>
        </w:numPr>
        <w:widowControl w:val="1"/>
      </w:pPr>
      <w:r>
        <w:rPr>
          <w:rFonts w:ascii="Noto Serif" w:hAnsi="Noto Serif" w:eastAsia="Noto Serif"/>
          <w:color w:val="1D2833"/>
          <w:sz w:val="19"/>
        </w:rPr>
        <w:t xml:space="preserve">record tamper-evident events and effect receipts;</w:t>
      </w:r>
    </w:p>
    <w:p>
      <w:pPr>
        <w:pStyle w:val="Compact"/>
        <w:numPr>
          <w:ilvl w:val="0"/>
          <w:numId w:val="1043"/>
        </w:numPr>
        <w:widowControl w:val="1"/>
      </w:pPr>
      <w:r>
        <w:rPr>
          <w:rFonts w:ascii="Noto Serif" w:hAnsi="Noto Serif" w:eastAsia="Noto Serif"/>
          <w:color w:val="1D2833"/>
          <w:sz w:val="19"/>
        </w:rPr>
        <w:t xml:space="preserve">invoke conservative fallback and emergency stop;</w:t>
      </w:r>
    </w:p>
    <w:p>
      <w:pPr>
        <w:pStyle w:val="Compact"/>
        <w:numPr>
          <w:ilvl w:val="0"/>
          <w:numId w:val="1043"/>
        </w:numPr>
        <w:widowControl w:val="1"/>
      </w:pPr>
      <w:r>
        <w:rPr>
          <w:rFonts w:ascii="Noto Serif" w:hAnsi="Noto Serif" w:eastAsia="Noto Serif"/>
          <w:color w:val="1D2833"/>
          <w:sz w:val="19"/>
        </w:rPr>
        <w:t xml:space="preserve">protect trust roots and recovery paths.</w:t>
      </w:r>
    </w:p>
    <w:p>
      <w:pPr>
        <w:pStyle w:val="FirstParagraph"/>
        <w:widowControl w:val="1"/>
      </w:pPr>
      <w:r>
        <w:rPr>
          <w:rFonts w:ascii="Noto Serif" w:hAnsi="Noto Serif" w:eastAsia="Noto Serif"/>
          <w:color w:val="1D2833"/>
          <w:sz w:val="20"/>
        </w:rPr>
        <w:t xml:space="preserve">The kernel does not evaluate open-ended task quality and does not generate improved implementations. Those functions remain replaceable fields. The seL4 experience suggests why a small trusted base is valuable even when the rest of the system cannot be fully verified [28].</w:t>
      </w:r>
    </w:p>
    <w:bookmarkEnd w:id="115"/>
    <w:bookmarkStart w:id="116" w:name="promotion-authority"/>
    <w:p>
      <w:pPr>
        <w:pStyle w:val="Heading2"/>
        <w:widowControl w:val="1"/>
      </w:pPr>
      <w:r>
        <w:rPr>
          <w:rStyle w:val="SectionNumber"/>
        </w:rPr>
        <w:t xml:space="preserve">14.2</w:t>
      </w:r>
      <w:r>
        <w:tab/>
      </w:r>
      <w:r>
        <w:t xml:space="preserve">Promotion authority</w:t>
      </w:r>
    </w:p>
    <w:p>
      <w:pPr>
        <w:pStyle w:val="FirstParagraph"/>
        <w:widowControl w:val="1"/>
      </w:pPr>
      <w:r>
        <w:rPr>
          <w:rFonts w:ascii="Noto Serif" w:hAnsi="Noto Serif" w:eastAsia="Noto Serif"/>
          <w:color w:val="1D2833"/>
          <w:sz w:val="20"/>
        </w:rPr>
        <w:t xml:space="preserve">Promotion authority should be distinct from the kernel mechanism. Policy may require:</w:t>
      </w:r>
    </w:p>
    <w:p>
      <w:pPr>
        <w:pStyle w:val="Compact"/>
        <w:numPr>
          <w:ilvl w:val="0"/>
          <w:numId w:val="1044"/>
        </w:numPr>
        <w:widowControl w:val="1"/>
      </w:pPr>
      <w:r>
        <w:rPr>
          <w:rFonts w:ascii="Noto Serif" w:hAnsi="Noto Serif" w:eastAsia="Noto Serif"/>
          <w:color w:val="1D2833"/>
          <w:sz w:val="19"/>
        </w:rPr>
        <w:t xml:space="preserve">threshold signatures from independent roles;</w:t>
      </w:r>
    </w:p>
    <w:p>
      <w:pPr>
        <w:pStyle w:val="Compact"/>
        <w:numPr>
          <w:ilvl w:val="0"/>
          <w:numId w:val="1044"/>
        </w:numPr>
        <w:widowControl w:val="1"/>
      </w:pPr>
      <w:r>
        <w:rPr>
          <w:rFonts w:ascii="Noto Serif" w:hAnsi="Noto Serif" w:eastAsia="Noto Serif"/>
          <w:color w:val="1D2833"/>
          <w:sz w:val="19"/>
        </w:rPr>
        <w:t xml:space="preserve">automated approvals for low-risk routine changes;</w:t>
      </w:r>
    </w:p>
    <w:p>
      <w:pPr>
        <w:pStyle w:val="Compact"/>
        <w:numPr>
          <w:ilvl w:val="0"/>
          <w:numId w:val="1044"/>
        </w:numPr>
        <w:widowControl w:val="1"/>
      </w:pPr>
      <w:r>
        <w:rPr>
          <w:rFonts w:ascii="Noto Serif" w:hAnsi="Noto Serif" w:eastAsia="Noto Serif"/>
          <w:color w:val="1D2833"/>
          <w:sz w:val="19"/>
        </w:rPr>
        <w:t xml:space="preserve">human review for authority or contract changes;</w:t>
      </w:r>
    </w:p>
    <w:p>
      <w:pPr>
        <w:pStyle w:val="Compact"/>
        <w:numPr>
          <w:ilvl w:val="0"/>
          <w:numId w:val="1044"/>
        </w:numPr>
        <w:widowControl w:val="1"/>
      </w:pPr>
      <w:r>
        <w:rPr>
          <w:rFonts w:ascii="Noto Serif" w:hAnsi="Noto Serif" w:eastAsia="Noto Serif"/>
          <w:color w:val="1D2833"/>
          <w:sz w:val="19"/>
        </w:rPr>
        <w:t xml:space="preserve">time locks or observation windows;</w:t>
      </w:r>
    </w:p>
    <w:p>
      <w:pPr>
        <w:pStyle w:val="Compact"/>
        <w:numPr>
          <w:ilvl w:val="0"/>
          <w:numId w:val="1044"/>
        </w:numPr>
        <w:widowControl w:val="1"/>
      </w:pPr>
      <w:r>
        <w:rPr>
          <w:rFonts w:ascii="Noto Serif" w:hAnsi="Noto Serif" w:eastAsia="Noto Serif"/>
          <w:color w:val="1D2833"/>
          <w:sz w:val="19"/>
        </w:rPr>
        <w:t xml:space="preserve">emergency revocation by a limited incident role;</w:t>
      </w:r>
    </w:p>
    <w:p>
      <w:pPr>
        <w:pStyle w:val="Compact"/>
        <w:numPr>
          <w:ilvl w:val="0"/>
          <w:numId w:val="1044"/>
        </w:numPr>
        <w:widowControl w:val="1"/>
      </w:pPr>
      <w:r>
        <w:rPr>
          <w:rFonts w:ascii="Noto Serif" w:hAnsi="Noto Serif" w:eastAsia="Noto Serif"/>
          <w:color w:val="1D2833"/>
          <w:sz w:val="19"/>
        </w:rPr>
        <w:t xml:space="preserve">separation between the party operating a candidate and the party approving it.</w:t>
      </w:r>
    </w:p>
    <w:p>
      <w:pPr>
        <w:pStyle w:val="FirstParagraph"/>
        <w:widowControl w:val="1"/>
      </w:pPr>
      <w:r>
        <w:rPr>
          <w:rFonts w:ascii="Noto Serif" w:hAnsi="Noto Serif" w:eastAsia="Noto Serif"/>
          <w:color w:val="1D2833"/>
          <w:sz w:val="20"/>
        </w:rPr>
        <w:t xml:space="preserve">The registry records the policy that was in force at the time of promotion. A later policy change does not rewrite historical legitimacy; it may trigger re-review.</w:t>
      </w:r>
    </w:p>
    <w:bookmarkEnd w:id="116"/>
    <w:bookmarkStart w:id="117" w:name="recovery-root"/>
    <w:p>
      <w:pPr>
        <w:pStyle w:val="Heading2"/>
        <w:widowControl w:val="1"/>
      </w:pPr>
      <w:r>
        <w:rPr>
          <w:rStyle w:val="SectionNumber"/>
        </w:rPr>
        <w:t xml:space="preserve">14.3</w:t>
      </w:r>
      <w:r>
        <w:tab/>
      </w:r>
      <w:r>
        <w:t xml:space="preserve">Recovery root</w:t>
      </w:r>
    </w:p>
    <w:p>
      <w:pPr>
        <w:pStyle w:val="FirstParagraph"/>
        <w:widowControl w:val="1"/>
      </w:pPr>
      <w:r>
        <w:rPr>
          <w:rFonts w:ascii="Noto Serif" w:hAnsi="Noto Serif" w:eastAsia="Noto Serif"/>
          <w:color w:val="1D2833"/>
          <w:sz w:val="20"/>
        </w:rPr>
        <w:t xml:space="preserve">A self-improver needs a recovery root that the active candidate cannot erase. At minimum this includes:</w:t>
      </w:r>
    </w:p>
    <w:p>
      <w:pPr>
        <w:pStyle w:val="Compact"/>
        <w:numPr>
          <w:ilvl w:val="0"/>
          <w:numId w:val="1045"/>
        </w:numPr>
        <w:widowControl w:val="1"/>
      </w:pPr>
      <w:r>
        <w:rPr>
          <w:rFonts w:ascii="Noto Serif" w:hAnsi="Noto Serif" w:eastAsia="Noto Serif"/>
          <w:color w:val="1D2833"/>
          <w:sz w:val="19"/>
        </w:rPr>
        <w:t xml:space="preserve">offline or independently protected signing keys;</w:t>
      </w:r>
    </w:p>
    <w:p>
      <w:pPr>
        <w:pStyle w:val="Compact"/>
        <w:numPr>
          <w:ilvl w:val="0"/>
          <w:numId w:val="1045"/>
        </w:numPr>
        <w:widowControl w:val="1"/>
      </w:pPr>
      <w:r>
        <w:rPr>
          <w:rFonts w:ascii="Noto Serif" w:hAnsi="Noto Serif" w:eastAsia="Noto Serif"/>
          <w:color w:val="1D2833"/>
          <w:sz w:val="19"/>
        </w:rPr>
        <w:t xml:space="preserve">a known-good kernel and resolver;</w:t>
      </w:r>
    </w:p>
    <w:p>
      <w:pPr>
        <w:pStyle w:val="Compact"/>
        <w:numPr>
          <w:ilvl w:val="0"/>
          <w:numId w:val="1045"/>
        </w:numPr>
        <w:widowControl w:val="1"/>
      </w:pPr>
      <w:r>
        <w:rPr>
          <w:rFonts w:ascii="Noto Serif" w:hAnsi="Noto Serif" w:eastAsia="Noto Serif"/>
          <w:color w:val="1D2833"/>
          <w:sz w:val="19"/>
        </w:rPr>
        <w:t xml:space="preserve">immutable registry checkpoints;</w:t>
      </w:r>
    </w:p>
    <w:p>
      <w:pPr>
        <w:pStyle w:val="Compact"/>
        <w:numPr>
          <w:ilvl w:val="0"/>
          <w:numId w:val="1045"/>
        </w:numPr>
        <w:widowControl w:val="1"/>
      </w:pPr>
      <w:r>
        <w:rPr>
          <w:rFonts w:ascii="Noto Serif" w:hAnsi="Noto Serif" w:eastAsia="Noto Serif"/>
          <w:color w:val="1D2833"/>
          <w:sz w:val="19"/>
        </w:rPr>
        <w:t xml:space="preserve">fallback implementations and state snapshots;</w:t>
      </w:r>
    </w:p>
    <w:p>
      <w:pPr>
        <w:pStyle w:val="Compact"/>
        <w:numPr>
          <w:ilvl w:val="0"/>
          <w:numId w:val="1045"/>
        </w:numPr>
        <w:widowControl w:val="1"/>
      </w:pPr>
      <w:r>
        <w:rPr>
          <w:rFonts w:ascii="Noto Serif" w:hAnsi="Noto Serif" w:eastAsia="Noto Serif"/>
          <w:color w:val="1D2833"/>
          <w:sz w:val="19"/>
        </w:rPr>
        <w:t xml:space="preserve">the ability to revoke tool and network authority;</w:t>
      </w:r>
    </w:p>
    <w:p>
      <w:pPr>
        <w:pStyle w:val="Compact"/>
        <w:numPr>
          <w:ilvl w:val="0"/>
          <w:numId w:val="1045"/>
        </w:numPr>
        <w:widowControl w:val="1"/>
      </w:pPr>
      <w:r>
        <w:rPr>
          <w:rFonts w:ascii="Noto Serif" w:hAnsi="Noto Serif" w:eastAsia="Noto Serif"/>
          <w:color w:val="1D2833"/>
          <w:sz w:val="19"/>
        </w:rPr>
        <w:t xml:space="preserve">a procedure for reconstructing the active route from the event log.</w:t>
      </w:r>
    </w:p>
    <w:p>
      <w:pPr>
        <w:pStyle w:val="FirstParagraph"/>
        <w:widowControl w:val="1"/>
      </w:pPr>
      <w:r>
        <w:rPr>
          <w:rFonts w:ascii="Noto Serif" w:hAnsi="Noto Serif" w:eastAsia="Noto Serif"/>
          <w:color w:val="1D2833"/>
          <w:sz w:val="20"/>
        </w:rPr>
        <w:t xml:space="preserve">The recovery root can itself evolve, but only through the strongest governance stratum and a rehearsed recovery ceremony.</w:t>
      </w:r>
    </w:p>
    <w:bookmarkEnd w:id="117"/>
    <w:bookmarkEnd w:id="118"/>
    <w:bookmarkStart w:id="123" w:name="threat-model-and-failure-analysis"/>
    <w:p>
      <w:pPr>
        <w:pStyle w:val="Heading1"/>
        <w:widowControl w:val="1"/>
        <w:pBdr>
          <w:bottom w:val="single" w:sz="7" w:space="4" w:color="E8EEF3"/>
        </w:pBdr>
      </w:pPr>
      <w:r>
        <w:rPr>
          <w:rStyle w:val="SectionNumber"/>
        </w:rPr>
        <w:t xml:space="preserve">15</w:t>
      </w:r>
      <w:r>
        <w:tab/>
      </w:r>
      <w:r>
        <w:t xml:space="preserve">Threat model and failure analysis</w:t>
      </w:r>
    </w:p>
    <w:bookmarkStart w:id="119" w:name="adversary-and-fault-assumptions"/>
    <w:p>
      <w:pPr>
        <w:pStyle w:val="Heading2"/>
        <w:widowControl w:val="1"/>
      </w:pPr>
      <w:r>
        <w:rPr>
          <w:rStyle w:val="SectionNumber"/>
        </w:rPr>
        <w:t xml:space="preserve">15.1</w:t>
      </w:r>
      <w:r>
        <w:tab/>
      </w:r>
      <w:r>
        <w:t xml:space="preserve">Adversary and fault assumptions</w:t>
      </w:r>
    </w:p>
    <w:p>
      <w:pPr>
        <w:pStyle w:val="FirstParagraph"/>
        <w:widowControl w:val="1"/>
      </w:pPr>
      <w:r>
        <w:rPr>
          <w:rFonts w:ascii="Noto Serif" w:hAnsi="Noto Serif" w:eastAsia="Noto Serif"/>
          <w:color w:val="1D2833"/>
          <w:sz w:val="20"/>
        </w:rPr>
        <w:t xml:space="preserve">SCF must handle both accidental and strategic failures. Candidates may be buggy, overfit, deceptively aligned, or intentionally malicious. Evaluators, operators, dependencies, and registries may also be compromised. The architecture should assume that no single learned component is fully trustworthy and that some failures are correlated.</w:t>
      </w:r>
    </w:p>
    <w:p>
      <w:pPr>
        <w:pStyle w:val="BodyText"/>
        <w:widowControl w:val="1"/>
      </w:pPr>
      <w:r>
        <w:rPr>
          <w:rFonts w:ascii="Noto Serif" w:hAnsi="Noto Serif" w:eastAsia="Noto Serif"/>
          <w:color w:val="1D2833"/>
          <w:sz w:val="20"/>
        </w:rPr>
        <w:t xml:space="preserve">It does not assume that cryptography can establish behavioral safety or that sandboxing is perfect. Instead, it combines least authority, separation of powers, diverse evidence, staged exposure, and recoverability.</w:t>
      </w:r>
    </w:p>
    <w:bookmarkEnd w:id="119"/>
    <w:bookmarkStart w:id="120" w:name="threats-and-mitigations"/>
    <w:p>
      <w:pPr>
        <w:pStyle w:val="Heading2"/>
        <w:widowControl w:val="1"/>
      </w:pPr>
      <w:r>
        <w:rPr>
          <w:rStyle w:val="SectionNumber"/>
        </w:rPr>
        <w:t xml:space="preserve">15.2</w:t>
      </w:r>
      <w:r>
        <w:tab/>
      </w:r>
      <w:r>
        <w:t xml:space="preserve">Threats and mitigations</w:t>
      </w:r>
    </w:p>
    <w:p>
      <w:pPr>
        <w:pStyle w:val="TableCaption"/>
        <w:keepNext/>
        <w:spacing w:before="140" w:after="60"/>
        <w:jc w:val="left"/>
      </w:pPr>
      <w:r>
        <w:t>Table 6. Threats, mitigations, and residual risks.</w:t>
      </w:r>
    </w:p>
    <w:tbl>
      <w:tblPr>
        <w:tblStyle w:val="Table"/>
        <w:tblW w:type="dxa" w:w="9936"/>
        <w:jc w:val="center"/>
        <w:tblLayout w:type="fixed"/>
        <w:tblLook w:firstRow="1" w:lastRow="0" w:firstColumn="0" w:lastColumn="0" w:noHBand="0" w:noVBand="0" w:val="0020"/>
      </w:tblPr>
      <w:tblGrid>
        <w:gridCol w:w="1980"/>
        <w:gridCol w:w="1980"/>
        <w:gridCol w:w="1980"/>
        <w:gridCol w:w="1980"/>
      </w:tblGrid>
      <w:tr>
        <w:trPr>
          <w:tblHeader w:val="on"/>
          <w:tblHeader w:val="true"/>
          <w:cantSplit/>
        </w:trPr>
        <w:tc>
          <w:tcPr>
            <w:tcW w:type="dxa" w:w="1589"/>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Threat</w:t>
            </w:r>
          </w:p>
        </w:tc>
        <w:tc>
          <w:tcPr>
            <w:tcW w:type="dxa" w:w="2185"/>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Failure mode</w:t>
            </w:r>
          </w:p>
        </w:tc>
        <w:tc>
          <w:tcPr>
            <w:tcW w:type="dxa" w:w="3974"/>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Primary mitigations</w:t>
            </w:r>
          </w:p>
        </w:tc>
        <w:tc>
          <w:tcPr>
            <w:tcW w:type="dxa" w:w="2185"/>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Residual risk</w:t>
            </w:r>
          </w:p>
        </w:tc>
      </w:tr>
      <w:tr>
        <w:trPr>
          <w:cantSplit/>
        </w:trPr>
        <w:tc>
          <w:tcPr>
            <w:tcW w:type="dxa" w:w="1589"/>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Specification gaming</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Candidate satisfies metric while violating intended purpose</w:t>
            </w:r>
          </w:p>
        </w:tc>
        <w:tc>
          <w:tcPr>
            <w:tcW w:type="dxa" w:w="397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Rich contracts, adversarial tests, system invariants, independent review</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Intent remains partially underspecified</w:t>
            </w:r>
          </w:p>
        </w:tc>
      </w:tr>
      <w:tr>
        <w:trPr>
          <w:cantSplit/>
        </w:trPr>
        <w:tc>
          <w:tcPr>
            <w:tcW w:type="dxa" w:w="1589"/>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Evaluator capture</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Candidate tampers with reward, holdout, or judge</w:t>
            </w:r>
          </w:p>
        </w:tc>
        <w:tc>
          <w:tcPr>
            <w:tcW w:type="dxa" w:w="397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Separation of powers, protected evaluators, signed evidence, threshold promotion</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Shared model/data can create hidden correlation</w:t>
            </w:r>
          </w:p>
        </w:tc>
      </w:tr>
      <w:tr>
        <w:trPr>
          <w:cantSplit/>
        </w:trPr>
        <w:tc>
          <w:tcPr>
            <w:tcW w:type="dxa" w:w="1589"/>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Registry poisoning</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False artifact, evidence, or lifecycle record</w:t>
            </w:r>
          </w:p>
        </w:tc>
        <w:tc>
          <w:tcPr>
            <w:tcW w:type="dxa" w:w="397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Content addressing, signatures, append-only log, trust roots, audit</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Compromised signers can authorize bad claims</w:t>
            </w:r>
          </w:p>
        </w:tc>
      </w:tr>
      <w:tr>
        <w:trPr>
          <w:cantSplit/>
        </w:trPr>
        <w:tc>
          <w:tcPr>
            <w:tcW w:type="dxa" w:w="1589"/>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Supply-chain compromise</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Build or dependency differs from evaluated artifact</w:t>
            </w:r>
          </w:p>
        </w:tc>
        <w:tc>
          <w:tcPr>
            <w:tcW w:type="dxa" w:w="397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Reproducible builds, attestations, dependency locks, runtime verification</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Hosted models may not be pin-able</w:t>
            </w:r>
          </w:p>
        </w:tc>
      </w:tr>
      <w:tr>
        <w:trPr>
          <w:cantSplit/>
        </w:trPr>
        <w:tc>
          <w:tcPr>
            <w:tcW w:type="dxa" w:w="1589"/>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Privilege laundering</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Replacement inherits trusted tool access</w:t>
            </w:r>
          </w:p>
        </w:tc>
        <w:tc>
          <w:tcPr>
            <w:tcW w:type="dxa" w:w="397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Authority intersection, broker, explicit effect contracts</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Semantic misuse within granted authority</w:t>
            </w:r>
          </w:p>
        </w:tc>
      </w:tr>
      <w:tr>
        <w:trPr>
          <w:cantSplit/>
        </w:trPr>
        <w:tc>
          <w:tcPr>
            <w:tcW w:type="dxa" w:w="1589"/>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Confused deputy</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One field causes another to exercise stronger authority</w:t>
            </w:r>
          </w:p>
        </w:tc>
        <w:tc>
          <w:tcPr>
            <w:tcW w:type="dxa" w:w="397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Delegation constraints, request provenance, end-to-end policy</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Complex workflows can obscure causality</w:t>
            </w:r>
          </w:p>
        </w:tc>
      </w:tr>
      <w:tr>
        <w:trPr>
          <w:cantSplit/>
        </w:trPr>
        <w:tc>
          <w:tcPr>
            <w:tcW w:type="dxa" w:w="1589"/>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Authority amplification</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Individually allowed capabilities compose dangerously</w:t>
            </w:r>
          </w:p>
        </w:tc>
        <w:tc>
          <w:tcPr>
            <w:tcW w:type="dxa" w:w="397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Toxic-combination rules, information-flow checks, integration tests</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Novel compositions may be missed</w:t>
            </w:r>
          </w:p>
        </w:tc>
      </w:tr>
      <w:tr>
        <w:trPr>
          <w:cantSplit/>
        </w:trPr>
        <w:tc>
          <w:tcPr>
            <w:tcW w:type="dxa" w:w="1589"/>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State corruption</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Migration loses, rewrites, or contaminates durable state</w:t>
            </w:r>
          </w:p>
        </w:tc>
        <w:tc>
          <w:tcPr>
            <w:tcW w:type="dxa" w:w="397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Snapshots, invariant checks, dual-read/write, restore rehearsal</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Latent corruption may emerge later</w:t>
            </w:r>
          </w:p>
        </w:tc>
      </w:tr>
      <w:tr>
        <w:trPr>
          <w:cantSplit/>
        </w:trPr>
        <w:tc>
          <w:tcPr>
            <w:tcW w:type="dxa" w:w="1589"/>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Rollback illusion</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Code reverts but external effects or state do not</w:t>
            </w:r>
          </w:p>
        </w:tc>
        <w:tc>
          <w:tcPr>
            <w:tcW w:type="dxa" w:w="397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Effect classes, compensation, transactional gates, explicit exceptions</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Some harm is irreversible</w:t>
            </w:r>
          </w:p>
        </w:tc>
      </w:tr>
      <w:tr>
        <w:trPr>
          <w:cantSplit/>
        </w:trPr>
        <w:tc>
          <w:tcPr>
            <w:tcW w:type="dxa" w:w="1589"/>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Capability hiding</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Candidate behaves safely under test and differently in operation</w:t>
            </w:r>
          </w:p>
        </w:tc>
        <w:tc>
          <w:tcPr>
            <w:tcW w:type="dxa" w:w="397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Hidden tests, behavioral monitors, randomized evaluation, canaries, AI control</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Deception may evade available oversight</w:t>
            </w:r>
          </w:p>
        </w:tc>
      </w:tr>
      <w:tr>
        <w:trPr>
          <w:cantSplit/>
        </w:trPr>
        <w:tc>
          <w:tcPr>
            <w:tcW w:type="dxa" w:w="1589"/>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Benchmark overfit</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Repeated search exploits finite evaluation set</w:t>
            </w:r>
          </w:p>
        </w:tc>
        <w:tc>
          <w:tcPr>
            <w:tcW w:type="dxa" w:w="397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Nested holdouts, search budgets, rotating tasks, external audits</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Generalization remains uncertain</w:t>
            </w:r>
          </w:p>
        </w:tc>
      </w:tr>
      <w:tr>
        <w:trPr>
          <w:cantSplit/>
        </w:trPr>
        <w:tc>
          <w:tcPr>
            <w:tcW w:type="dxa" w:w="1589"/>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Cross-field emergence</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Locally valid components violate global invariant</w:t>
            </w:r>
          </w:p>
        </w:tc>
        <w:tc>
          <w:tcPr>
            <w:tcW w:type="dxa" w:w="397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Assume-guarantee checks, impact cones, end-to-end tests</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State space can be intractable</w:t>
            </w:r>
          </w:p>
        </w:tc>
      </w:tr>
      <w:tr>
        <w:trPr>
          <w:cantSplit/>
        </w:trPr>
        <w:tc>
          <w:tcPr>
            <w:tcW w:type="dxa" w:w="1589"/>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Monoculture</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Diverse-looking evaluators share common failure source</w:t>
            </w:r>
          </w:p>
        </w:tc>
        <w:tc>
          <w:tcPr>
            <w:tcW w:type="dxa" w:w="397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Lineage/dependency tracking, provider and method diversity</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True independence is hard to establish</w:t>
            </w:r>
          </w:p>
        </w:tc>
      </w:tr>
      <w:tr>
        <w:trPr>
          <w:cantSplit/>
        </w:trPr>
        <w:tc>
          <w:tcPr>
            <w:tcW w:type="dxa" w:w="1589"/>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Dependency loop</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Cyclic qualification or unbounded blast radius</w:t>
            </w:r>
          </w:p>
        </w:tc>
        <w:tc>
          <w:tcPr>
            <w:tcW w:type="dxa" w:w="397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Layered trust, cycle rules, fixed-point analysis, conservative rejection</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Complex mutual dependence may resist decomposition</w:t>
            </w:r>
          </w:p>
        </w:tc>
      </w:tr>
      <w:tr>
        <w:trPr>
          <w:cantSplit/>
        </w:trPr>
        <w:tc>
          <w:tcPr>
            <w:tcW w:type="dxa" w:w="1589"/>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Abstraction ossification</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Stable interface blocks superior architecture</w:t>
            </w:r>
          </w:p>
        </w:tc>
        <w:tc>
          <w:tcPr>
            <w:tcW w:type="dxa" w:w="397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Parallel major versions, field split/merge, constitutional process</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Governance may become too conservative</w:t>
            </w:r>
          </w:p>
        </w:tc>
      </w:tr>
      <w:tr>
        <w:trPr>
          <w:cantSplit/>
        </w:trPr>
        <w:tc>
          <w:tcPr>
            <w:tcW w:type="dxa" w:w="1589"/>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Goalpost mutation</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Contract changes to make candidate appear better</w:t>
            </w:r>
          </w:p>
        </w:tc>
        <w:tc>
          <w:tcPr>
            <w:tcW w:type="dxa" w:w="397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Separate proposal, dual evaluation, no retroactive pass</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Legitimate and opportunistic changes can be hard to distinguish</w:t>
            </w:r>
          </w:p>
        </w:tc>
      </w:tr>
      <w:tr>
        <w:trPr>
          <w:cantSplit/>
        </w:trPr>
        <w:tc>
          <w:tcPr>
            <w:tcW w:type="dxa" w:w="1589"/>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Silent provider update</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Hosted service changes after qualification</w:t>
            </w:r>
          </w:p>
        </w:tc>
        <w:tc>
          <w:tcPr>
            <w:tcW w:type="dxa" w:w="397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Sentinel tests, statistical fingerprinting, expiry, failover</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Provider internals remain opaque</w:t>
            </w:r>
          </w:p>
        </w:tc>
      </w:tr>
      <w:tr>
        <w:trPr>
          <w:cantSplit/>
        </w:trPr>
        <w:tc>
          <w:tcPr>
            <w:tcW w:type="dxa" w:w="1589"/>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Trace privacy leak</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Evidence captures sensitive inputs or hidden data</w:t>
            </w:r>
          </w:p>
        </w:tc>
        <w:tc>
          <w:tcPr>
            <w:tcW w:type="dxa" w:w="3974"/>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Data minimization, redaction, access controls, encrypted logs</w:t>
            </w:r>
          </w:p>
        </w:tc>
        <w:tc>
          <w:tcPr>
            <w:tcW w:type="dxa" w:w="218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5"/>
              </w:rPr>
              <w:t xml:space="preserve">Less trace detail weakens auditability</w:t>
            </w:r>
          </w:p>
        </w:tc>
      </w:tr>
      <w:tr>
        <w:trPr>
          <w:cantSplit/>
        </w:trPr>
        <w:tc>
          <w:tcPr>
            <w:tcW w:type="dxa" w:w="1589"/>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Resource denial</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Candidate consumes evaluation or runtime budget</w:t>
            </w:r>
          </w:p>
        </w:tc>
        <w:tc>
          <w:tcPr>
            <w:tcW w:type="dxa" w:w="3974"/>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Quotas, schedulers, abort rules, cost monitors</w:t>
            </w:r>
          </w:p>
        </w:tc>
        <w:tc>
          <w:tcPr>
            <w:tcW w:type="dxa" w:w="218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5"/>
              </w:rPr>
              <w:t xml:space="preserve">Low-rate strategic exhaustion remains possible</w:t>
            </w:r>
          </w:p>
        </w:tc>
      </w:tr>
    </w:tbl>
    <w:bookmarkEnd w:id="120"/>
    <w:bookmarkStart w:id="121" w:name="evaluator-and-candidate-collusion"/>
    <w:p>
      <w:pPr>
        <w:pStyle w:val="Heading2"/>
        <w:widowControl w:val="1"/>
      </w:pPr>
      <w:r>
        <w:rPr>
          <w:rStyle w:val="SectionNumber"/>
        </w:rPr>
        <w:t xml:space="preserve">15.3</w:t>
      </w:r>
      <w:r>
        <w:tab/>
      </w:r>
      <w:r>
        <w:t xml:space="preserve">Evaluator and candidate collusion</w:t>
      </w:r>
    </w:p>
    <w:p>
      <w:pPr>
        <w:pStyle w:val="FirstParagraph"/>
        <w:widowControl w:val="1"/>
      </w:pPr>
      <w:r>
        <w:rPr>
          <w:rFonts w:ascii="Noto Serif" w:hAnsi="Noto Serif" w:eastAsia="Noto Serif"/>
          <w:color w:val="1D2833"/>
          <w:sz w:val="20"/>
        </w:rPr>
        <w:t xml:space="preserve">A particularly difficult case occurs when candidate and evaluator share a model, memory, or strategic objective. Merely assigning them different prompts is not strong separation. The registry should expose shared weights, providers, datasets, toolchains, and human ownership. High-risk evaluation should mix methods: deterministic checkers, separately trained models, formal tools, human review, and operational monitors.</w:t>
      </w:r>
    </w:p>
    <w:p>
      <w:pPr>
        <w:pStyle w:val="BodyText"/>
        <w:widowControl w:val="1"/>
      </w:pPr>
      <w:r>
        <w:rPr>
          <w:rFonts w:ascii="Noto Serif" w:hAnsi="Noto Serif" w:eastAsia="Noto Serif"/>
          <w:color w:val="1D2833"/>
          <w:sz w:val="20"/>
        </w:rPr>
        <w:t xml:space="preserve">No architecture can guarantee detection of perfectly coordinated deception by systems more capable than their overseers. SCF’s contribution is to remove unnecessary single points of failure and preserve evidence for escalation, not to solve the fundamental alignment problem by administrative structure.</w:t>
      </w:r>
    </w:p>
    <w:bookmarkEnd w:id="121"/>
    <w:bookmarkStart w:id="122" w:name="registry-centralization-risk"/>
    <w:p>
      <w:pPr>
        <w:pStyle w:val="Heading2"/>
        <w:widowControl w:val="1"/>
      </w:pPr>
      <w:r>
        <w:rPr>
          <w:rStyle w:val="SectionNumber"/>
        </w:rPr>
        <w:t xml:space="preserve">15.4</w:t>
      </w:r>
      <w:r>
        <w:tab/>
      </w:r>
      <w:r>
        <w:t xml:space="preserve">Registry centralization risk</w:t>
      </w:r>
    </w:p>
    <w:p>
      <w:pPr>
        <w:pStyle w:val="FirstParagraph"/>
        <w:widowControl w:val="1"/>
      </w:pPr>
      <w:r>
        <w:rPr>
          <w:rFonts w:ascii="Noto Serif" w:hAnsi="Noto Serif" w:eastAsia="Noto Serif"/>
          <w:color w:val="1D2833"/>
          <w:sz w:val="20"/>
        </w:rPr>
        <w:t xml:space="preserve">A central registry can become a high-value target or a governance bottleneck. Federation, threshold signatures, replicated append-only logs, and independently verifiable artifacts reduce this risk. Yet complete decentralization is not automatically safer: it can obscure accountability and make local trust policy difficult. SCF separates the integrity of shared facts from the authority of local qualification decisions so that these concerns can be balanced.</w:t>
      </w:r>
    </w:p>
    <w:bookmarkEnd w:id="122"/>
    <w:bookmarkEnd w:id="123"/>
    <w:bookmarkStart w:id="130" w:name="conditional-safety-properties"/>
    <w:p>
      <w:pPr>
        <w:pStyle w:val="Heading1"/>
        <w:widowControl w:val="1"/>
        <w:pBdr>
          <w:bottom w:val="single" w:sz="7" w:space="4" w:color="E8EEF3"/>
        </w:pBdr>
      </w:pPr>
      <w:r>
        <w:rPr>
          <w:rStyle w:val="SectionNumber"/>
        </w:rPr>
        <w:t xml:space="preserve">16</w:t>
      </w:r>
      <w:r>
        <w:tab/>
      </w:r>
      <w:r>
        <w:t xml:space="preserve">Conditional safety properties</w:t>
      </w:r>
    </w:p>
    <w:p>
      <w:pPr>
        <w:pStyle w:val="FirstParagraph"/>
        <w:widowControl w:val="1"/>
      </w:pPr>
      <w:r>
        <w:rPr>
          <w:rFonts w:ascii="Noto Serif" w:hAnsi="Noto Serif" w:eastAsia="Noto Serif"/>
          <w:color w:val="1D2833"/>
          <w:sz w:val="20"/>
        </w:rPr>
        <w:t xml:space="preserve">SCF supports useful conditional properties when its enforcement assumptions hold. These are not unconditional guarantees of learned behavior.</w:t>
      </w:r>
    </w:p>
    <w:bookmarkStart w:id="124" w:name="bounded-authority"/>
    <w:p>
      <w:pPr>
        <w:pStyle w:val="Heading2"/>
        <w:widowControl w:val="1"/>
      </w:pPr>
      <w:r>
        <w:rPr>
          <w:rStyle w:val="SectionNumber"/>
        </w:rPr>
        <w:t xml:space="preserve">16.1</w:t>
      </w:r>
      <w:r>
        <w:tab/>
      </w:r>
      <w:r>
        <w:t xml:space="preserve">Bounded authority</w:t>
      </w:r>
    </w:p>
    <w:p>
      <w:pPr>
        <w:pStyle w:val="FirstParagraph"/>
        <w:widowControl w:val="1"/>
      </w:pPr>
      <w:r>
        <w:rPr>
          <w:rFonts w:ascii="Noto Serif" w:hAnsi="Noto Serif" w:eastAsia="Noto Serif"/>
          <w:b/>
          <w:bCs/>
          <w:color w:val="1D2833"/>
          <w:sz w:val="20"/>
        </w:rPr>
        <w:t xml:space="preserve">Property.</w:t>
      </w:r>
      <w:r>
        <w:rPr>
          <w:rFonts w:ascii="Noto Serif" w:hAnsi="Noto Serif" w:eastAsia="Noto Serif"/>
          <w:color w:val="1D2833"/>
          <w:sz w:val="20"/>
        </w:rPr>
        <w:t xml:space="preserve"> </w:t>
      </w:r>
      <w:r>
        <w:rPr>
          <w:rFonts w:ascii="Noto Serif" w:hAnsi="Noto Serif" w:eastAsia="Noto Serif"/>
          <w:color w:val="1D2833"/>
          <w:sz w:val="20"/>
        </w:rPr>
        <w:t xml:space="preserve">No field execution receives authority outside the intersection of the implementation request, contract ceiling, and deployment grant.</w:t>
      </w:r>
    </w:p>
    <w:p>
      <w:pPr>
        <w:pStyle w:val="BodyText"/>
        <w:widowControl w:val="1"/>
      </w:pPr>
      <w:r>
        <w:rPr>
          <w:rFonts w:ascii="Noto Serif" w:hAnsi="Noto Serif" w:eastAsia="Noto Serif"/>
          <w:b/>
          <w:bCs/>
          <w:color w:val="1D2833"/>
          <w:sz w:val="20"/>
        </w:rPr>
        <w:t xml:space="preserve">Assumptions.</w:t>
      </w:r>
      <w:r>
        <w:rPr>
          <w:rFonts w:ascii="Noto Serif" w:hAnsi="Noto Serif" w:eastAsia="Noto Serif"/>
          <w:color w:val="1D2833"/>
          <w:sz w:val="20"/>
        </w:rPr>
        <w:t xml:space="preserve"> </w:t>
      </w:r>
      <w:r>
        <w:rPr>
          <w:rFonts w:ascii="Noto Serif" w:hAnsi="Noto Serif" w:eastAsia="Noto Serif"/>
          <w:color w:val="1D2833"/>
          <w:sz w:val="20"/>
        </w:rPr>
        <w:t xml:space="preserve">All effectful operations pass through an uncompromised broker; capabilities are unforgeable; side channels and kernel bypasses are excluded or bounded.</w:t>
      </w:r>
    </w:p>
    <w:p>
      <w:pPr>
        <w:pStyle w:val="BodyText"/>
        <w:widowControl w:val="1"/>
      </w:pPr>
      <w:r>
        <w:rPr>
          <w:rFonts w:ascii="Noto Serif" w:hAnsi="Noto Serif" w:eastAsia="Noto Serif"/>
          <w:b/>
          <w:bCs/>
          <w:color w:val="1D2833"/>
          <w:sz w:val="20"/>
        </w:rPr>
        <w:t xml:space="preserve">Argument.</w:t>
      </w:r>
      <w:r>
        <w:rPr>
          <w:rFonts w:ascii="Noto Serif" w:hAnsi="Noto Serif" w:eastAsia="Noto Serif"/>
          <w:color w:val="1D2833"/>
          <w:sz w:val="20"/>
        </w:rPr>
        <w:t xml:space="preserve"> </w:t>
      </w:r>
      <w:r>
        <w:rPr>
          <w:rFonts w:ascii="Noto Serif" w:hAnsi="Noto Serif" w:eastAsia="Noto Serif"/>
          <w:color w:val="1D2833"/>
          <w:sz w:val="20"/>
        </w:rPr>
        <w:t xml:space="preserve">The resolver cannot bind authority not present in the grant, and the broker rejects requests outside the bound. Replacement alone therefore cannot escalate privilege.</w:t>
      </w:r>
    </w:p>
    <w:bookmarkEnd w:id="124"/>
    <w:bookmarkStart w:id="125" w:name="qualification-closure"/>
    <w:p>
      <w:pPr>
        <w:pStyle w:val="Heading2"/>
        <w:widowControl w:val="1"/>
      </w:pPr>
      <w:r>
        <w:rPr>
          <w:rStyle w:val="SectionNumber"/>
        </w:rPr>
        <w:t xml:space="preserve">16.2</w:t>
      </w:r>
      <w:r>
        <w:tab/>
      </w:r>
      <w:r>
        <w:t xml:space="preserve">Qualification closure</w:t>
      </w:r>
    </w:p>
    <w:p>
      <w:pPr>
        <w:pStyle w:val="FirstParagraph"/>
        <w:widowControl w:val="1"/>
      </w:pPr>
      <w:r>
        <w:rPr>
          <w:rFonts w:ascii="Noto Serif" w:hAnsi="Noto Serif" w:eastAsia="Noto Serif"/>
          <w:b/>
          <w:bCs/>
          <w:color w:val="1D2833"/>
          <w:sz w:val="20"/>
        </w:rPr>
        <w:t xml:space="preserve">Property.</w:t>
      </w:r>
      <w:r>
        <w:rPr>
          <w:rFonts w:ascii="Noto Serif" w:hAnsi="Noto Serif" w:eastAsia="Noto Serif"/>
          <w:color w:val="1D2833"/>
          <w:sz w:val="20"/>
        </w:rPr>
        <w:t xml:space="preserve"> </w:t>
      </w:r>
      <w:r>
        <w:rPr>
          <w:rFonts w:ascii="Noto Serif" w:hAnsi="Noto Serif" w:eastAsia="Noto Serif"/>
          <w:color w:val="1D2833"/>
          <w:sz w:val="20"/>
        </w:rPr>
        <w:t xml:space="preserve">Every active route has compatible qualification claims for its transitive required dependencies under the same deployment context.</w:t>
      </w:r>
    </w:p>
    <w:p>
      <w:pPr>
        <w:pStyle w:val="BodyText"/>
        <w:widowControl w:val="1"/>
      </w:pPr>
      <w:r>
        <w:rPr>
          <w:rFonts w:ascii="Noto Serif" w:hAnsi="Noto Serif" w:eastAsia="Noto Serif"/>
          <w:b/>
          <w:bCs/>
          <w:color w:val="1D2833"/>
          <w:sz w:val="20"/>
        </w:rPr>
        <w:t xml:space="preserve">Assumptions.</w:t>
      </w:r>
      <w:r>
        <w:rPr>
          <w:rFonts w:ascii="Noto Serif" w:hAnsi="Noto Serif" w:eastAsia="Noto Serif"/>
          <w:color w:val="1D2833"/>
          <w:sz w:val="20"/>
        </w:rPr>
        <w:t xml:space="preserve"> </w:t>
      </w:r>
      <w:r>
        <w:rPr>
          <w:rFonts w:ascii="Noto Serif" w:hAnsi="Noto Serif" w:eastAsia="Noto Serif"/>
          <w:color w:val="1D2833"/>
          <w:sz w:val="20"/>
        </w:rPr>
        <w:t xml:space="preserve">Dependency declarations are complete; the registry computes the closure correctly; no undeclared runtime dependency is introduced.</w:t>
      </w:r>
    </w:p>
    <w:p>
      <w:pPr>
        <w:pStyle w:val="BodyText"/>
        <w:widowControl w:val="1"/>
      </w:pPr>
      <w:r>
        <w:rPr>
          <w:rFonts w:ascii="Noto Serif" w:hAnsi="Noto Serif" w:eastAsia="Noto Serif"/>
          <w:b/>
          <w:bCs/>
          <w:color w:val="1D2833"/>
          <w:sz w:val="20"/>
        </w:rPr>
        <w:t xml:space="preserve">Argument.</w:t>
      </w:r>
      <w:r>
        <w:rPr>
          <w:rFonts w:ascii="Noto Serif" w:hAnsi="Noto Serif" w:eastAsia="Noto Serif"/>
          <w:color w:val="1D2833"/>
          <w:sz w:val="20"/>
        </w:rPr>
        <w:t xml:space="preserve"> </w:t>
      </w:r>
      <w:r>
        <w:rPr>
          <w:rFonts w:ascii="Noto Serif" w:hAnsi="Noto Serif" w:eastAsia="Noto Serif"/>
          <w:color w:val="1D2833"/>
          <w:sz w:val="20"/>
        </w:rPr>
        <w:t xml:space="preserve">Promotion and resolution reject candidates whose dependency closure lacks valid claims. Material dependency changes invalidate dependent claims.</w:t>
      </w:r>
    </w:p>
    <w:bookmarkEnd w:id="125"/>
    <w:bookmarkStart w:id="126" w:name="reconstructable-promotion"/>
    <w:p>
      <w:pPr>
        <w:pStyle w:val="Heading2"/>
        <w:widowControl w:val="1"/>
      </w:pPr>
      <w:r>
        <w:rPr>
          <w:rStyle w:val="SectionNumber"/>
        </w:rPr>
        <w:t xml:space="preserve">16.3</w:t>
      </w:r>
      <w:r>
        <w:tab/>
      </w:r>
      <w:r>
        <w:t xml:space="preserve">Reconstructable promotion</w:t>
      </w:r>
    </w:p>
    <w:p>
      <w:pPr>
        <w:pStyle w:val="FirstParagraph"/>
        <w:widowControl w:val="1"/>
      </w:pPr>
      <w:r>
        <w:rPr>
          <w:rFonts w:ascii="Noto Serif" w:hAnsi="Noto Serif" w:eastAsia="Noto Serif"/>
          <w:b/>
          <w:bCs/>
          <w:color w:val="1D2833"/>
          <w:sz w:val="20"/>
        </w:rPr>
        <w:t xml:space="preserve">Property.</w:t>
      </w:r>
      <w:r>
        <w:rPr>
          <w:rFonts w:ascii="Noto Serif" w:hAnsi="Noto Serif" w:eastAsia="Noto Serif"/>
          <w:color w:val="1D2833"/>
          <w:sz w:val="20"/>
        </w:rPr>
        <w:t xml:space="preserve"> </w:t>
      </w:r>
      <w:r>
        <w:rPr>
          <w:rFonts w:ascii="Noto Serif" w:hAnsi="Noto Serif" w:eastAsia="Noto Serif"/>
          <w:color w:val="1D2833"/>
          <w:sz w:val="20"/>
        </w:rPr>
        <w:t xml:space="preserve">An auditor can reconstruct why a route was activated and which artifact, evidence, policy, authority, and state checkpoint were bound.</w:t>
      </w:r>
    </w:p>
    <w:p>
      <w:pPr>
        <w:pStyle w:val="BodyText"/>
        <w:widowControl w:val="1"/>
      </w:pPr>
      <w:r>
        <w:rPr>
          <w:rFonts w:ascii="Noto Serif" w:hAnsi="Noto Serif" w:eastAsia="Noto Serif"/>
          <w:b/>
          <w:bCs/>
          <w:color w:val="1D2833"/>
          <w:sz w:val="20"/>
        </w:rPr>
        <w:t xml:space="preserve">Assumptions.</w:t>
      </w:r>
      <w:r>
        <w:rPr>
          <w:rFonts w:ascii="Noto Serif" w:hAnsi="Noto Serif" w:eastAsia="Noto Serif"/>
          <w:color w:val="1D2833"/>
          <w:sz w:val="20"/>
        </w:rPr>
        <w:t xml:space="preserve"> </w:t>
      </w:r>
      <w:r>
        <w:rPr>
          <w:rFonts w:ascii="Noto Serif" w:hAnsi="Noto Serif" w:eastAsia="Noto Serif"/>
          <w:color w:val="1D2833"/>
          <w:sz w:val="20"/>
        </w:rPr>
        <w:t xml:space="preserve">Event log integrity, artifact availability or durable hashes, signer verification, and registry snapshot retention.</w:t>
      </w:r>
    </w:p>
    <w:p>
      <w:pPr>
        <w:pStyle w:val="BodyText"/>
        <w:widowControl w:val="1"/>
      </w:pPr>
      <w:r>
        <w:rPr>
          <w:rFonts w:ascii="Noto Serif" w:hAnsi="Noto Serif" w:eastAsia="Noto Serif"/>
          <w:b/>
          <w:bCs/>
          <w:color w:val="1D2833"/>
          <w:sz w:val="20"/>
        </w:rPr>
        <w:t xml:space="preserve">Argument.</w:t>
      </w:r>
      <w:r>
        <w:rPr>
          <w:rFonts w:ascii="Noto Serif" w:hAnsi="Noto Serif" w:eastAsia="Noto Serif"/>
          <w:color w:val="1D2833"/>
          <w:sz w:val="20"/>
        </w:rPr>
        <w:t xml:space="preserve"> </w:t>
      </w:r>
      <w:r>
        <w:rPr>
          <w:rFonts w:ascii="Noto Serif" w:hAnsi="Noto Serif" w:eastAsia="Noto Serif"/>
          <w:color w:val="1D2833"/>
          <w:sz w:val="20"/>
        </w:rPr>
        <w:t xml:space="preserve">Promotion is a signed event referencing immutable objects and the policy in force. Materialized views are derivable from the append-only history.</w:t>
      </w:r>
    </w:p>
    <w:bookmarkEnd w:id="126"/>
    <w:bookmarkStart w:id="127" w:name="X59c37e1e001b903c936164f337003a3e4c54a83"/>
    <w:p>
      <w:pPr>
        <w:pStyle w:val="Heading2"/>
        <w:widowControl w:val="1"/>
      </w:pPr>
      <w:r>
        <w:rPr>
          <w:rStyle w:val="SectionNumber"/>
        </w:rPr>
        <w:t xml:space="preserve">16.4</w:t>
      </w:r>
      <w:r>
        <w:tab/>
      </w:r>
      <w:r>
        <w:t xml:space="preserve">Recoverable activation within a declared boundary</w:t>
      </w:r>
    </w:p>
    <w:p>
      <w:pPr>
        <w:pStyle w:val="FirstParagraph"/>
        <w:widowControl w:val="1"/>
      </w:pPr>
      <w:r>
        <w:rPr>
          <w:rFonts w:ascii="Noto Serif" w:hAnsi="Noto Serif" w:eastAsia="Noto Serif"/>
          <w:b/>
          <w:bCs/>
          <w:color w:val="1D2833"/>
          <w:sz w:val="20"/>
        </w:rPr>
        <w:t xml:space="preserve">Property.</w:t>
      </w:r>
      <w:r>
        <w:rPr>
          <w:rFonts w:ascii="Noto Serif" w:hAnsi="Noto Serif" w:eastAsia="Noto Serif"/>
          <w:color w:val="1D2833"/>
          <w:sz w:val="20"/>
        </w:rPr>
        <w:t xml:space="preserve"> </w:t>
      </w:r>
      <w:r>
        <w:rPr>
          <w:rFonts w:ascii="Noto Serif" w:hAnsi="Noto Serif" w:eastAsia="Noto Serif"/>
          <w:color w:val="1D2833"/>
          <w:sz w:val="20"/>
        </w:rPr>
        <w:t xml:space="preserve">For effects and state declared reversible, the system can return to an approved fallback state within the tested recovery objective.</w:t>
      </w:r>
    </w:p>
    <w:p>
      <w:pPr>
        <w:pStyle w:val="BodyText"/>
        <w:widowControl w:val="1"/>
      </w:pPr>
      <w:r>
        <w:rPr>
          <w:rFonts w:ascii="Noto Serif" w:hAnsi="Noto Serif" w:eastAsia="Noto Serif"/>
          <w:b/>
          <w:bCs/>
          <w:color w:val="1D2833"/>
          <w:sz w:val="20"/>
        </w:rPr>
        <w:t xml:space="preserve">Assumptions.</w:t>
      </w:r>
      <w:r>
        <w:rPr>
          <w:rFonts w:ascii="Noto Serif" w:hAnsi="Noto Serif" w:eastAsia="Noto Serif"/>
          <w:color w:val="1D2833"/>
          <w:sz w:val="20"/>
        </w:rPr>
        <w:t xml:space="preserve"> </w:t>
      </w:r>
      <w:r>
        <w:rPr>
          <w:rFonts w:ascii="Noto Serif" w:hAnsi="Noto Serif" w:eastAsia="Noto Serif"/>
          <w:color w:val="1D2833"/>
          <w:sz w:val="20"/>
        </w:rPr>
        <w:t xml:space="preserve">Migration and restore procedures are correct; snapshots are intact; external systems honor transactional or compensating protocols; the candidate cannot destroy the recovery root.</w:t>
      </w:r>
    </w:p>
    <w:p>
      <w:pPr>
        <w:pStyle w:val="BodyText"/>
        <w:widowControl w:val="1"/>
      </w:pPr>
      <w:r>
        <w:rPr>
          <w:rFonts w:ascii="Noto Serif" w:hAnsi="Noto Serif" w:eastAsia="Noto Serif"/>
          <w:b/>
          <w:bCs/>
          <w:color w:val="1D2833"/>
          <w:sz w:val="20"/>
        </w:rPr>
        <w:t xml:space="preserve">Argument.</w:t>
      </w:r>
      <w:r>
        <w:rPr>
          <w:rFonts w:ascii="Noto Serif" w:hAnsi="Noto Serif" w:eastAsia="Noto Serif"/>
          <w:color w:val="1D2833"/>
          <w:sz w:val="20"/>
        </w:rPr>
        <w:t xml:space="preserve"> </w:t>
      </w:r>
      <w:r>
        <w:rPr>
          <w:rFonts w:ascii="Noto Serif" w:hAnsi="Noto Serif" w:eastAsia="Noto Serif"/>
          <w:color w:val="1D2833"/>
          <w:sz w:val="20"/>
        </w:rPr>
        <w:t xml:space="preserve">Activation requires a rehearsed path in the migration graph and binds checkpoints and fallbacks. Monitoring can revoke authority and invoke that path.</w:t>
      </w:r>
    </w:p>
    <w:bookmarkEnd w:id="127"/>
    <w:bookmarkStart w:id="128" w:name="local-substitutability"/>
    <w:p>
      <w:pPr>
        <w:pStyle w:val="Heading2"/>
        <w:widowControl w:val="1"/>
      </w:pPr>
      <w:r>
        <w:rPr>
          <w:rStyle w:val="SectionNumber"/>
        </w:rPr>
        <w:t xml:space="preserve">16.5</w:t>
      </w:r>
      <w:r>
        <w:tab/>
      </w:r>
      <w:r>
        <w:t xml:space="preserve">Local substitutability</w:t>
      </w:r>
    </w:p>
    <w:p>
      <w:pPr>
        <w:pStyle w:val="FirstParagraph"/>
        <w:widowControl w:val="1"/>
      </w:pPr>
      <w:r>
        <w:rPr>
          <w:rFonts w:ascii="Noto Serif" w:hAnsi="Noto Serif" w:eastAsia="Noto Serif"/>
          <w:b/>
          <w:bCs/>
          <w:color w:val="1D2833"/>
          <w:sz w:val="20"/>
        </w:rPr>
        <w:t xml:space="preserve">Property.</w:t>
      </w:r>
      <w:r>
        <w:rPr>
          <w:rFonts w:ascii="Noto Serif" w:hAnsi="Noto Serif" w:eastAsia="Noto Serif"/>
          <w:color w:val="1D2833"/>
          <w:sz w:val="20"/>
        </w:rPr>
        <w:t xml:space="preserve"> </w:t>
      </w:r>
      <w:r>
        <w:rPr>
          <w:rFonts w:ascii="Noto Serif" w:hAnsi="Noto Serif" w:eastAsia="Noto Serif"/>
          <w:color w:val="1D2833"/>
          <w:sz w:val="20"/>
        </w:rPr>
        <w:t xml:space="preserve">A same-contract replacement preserves hard guarantees for callers that satisfy the contract assumptions.</w:t>
      </w:r>
    </w:p>
    <w:p>
      <w:pPr>
        <w:pStyle w:val="BodyText"/>
        <w:widowControl w:val="1"/>
      </w:pPr>
      <w:r>
        <w:rPr>
          <w:rFonts w:ascii="Noto Serif" w:hAnsi="Noto Serif" w:eastAsia="Noto Serif"/>
          <w:b/>
          <w:bCs/>
          <w:color w:val="1D2833"/>
          <w:sz w:val="20"/>
        </w:rPr>
        <w:t xml:space="preserve">Assumptions.</w:t>
      </w:r>
      <w:r>
        <w:rPr>
          <w:rFonts w:ascii="Noto Serif" w:hAnsi="Noto Serif" w:eastAsia="Noto Serif"/>
          <w:color w:val="1D2833"/>
          <w:sz w:val="20"/>
        </w:rPr>
        <w:t xml:space="preserve"> </w:t>
      </w:r>
      <w:r>
        <w:rPr>
          <w:rFonts w:ascii="Noto Serif" w:hAnsi="Noto Serif" w:eastAsia="Noto Serif"/>
          <w:color w:val="1D2833"/>
          <w:sz w:val="20"/>
        </w:rPr>
        <w:t xml:space="preserve">The contract captures the relevant guarantee; conformance methods are sound for the checked properties; stochastic guarantees are interpreted within their validated envelope.</w:t>
      </w:r>
    </w:p>
    <w:p>
      <w:pPr>
        <w:pStyle w:val="BodyText"/>
        <w:widowControl w:val="1"/>
      </w:pPr>
      <w:r>
        <w:rPr>
          <w:rFonts w:ascii="Noto Serif" w:hAnsi="Noto Serif" w:eastAsia="Noto Serif"/>
          <w:b/>
          <w:bCs/>
          <w:color w:val="1D2833"/>
          <w:sz w:val="20"/>
        </w:rPr>
        <w:t xml:space="preserve">Argument.</w:t>
      </w:r>
      <w:r>
        <w:rPr>
          <w:rFonts w:ascii="Noto Serif" w:hAnsi="Noto Serif" w:eastAsia="Noto Serif"/>
          <w:color w:val="1D2833"/>
          <w:sz w:val="20"/>
        </w:rPr>
        <w:t xml:space="preserve"> </w:t>
      </w:r>
      <w:r>
        <w:rPr>
          <w:rFonts w:ascii="Noto Serif" w:hAnsi="Noto Serif" w:eastAsia="Noto Serif"/>
          <w:color w:val="1D2833"/>
          <w:sz w:val="20"/>
        </w:rPr>
        <w:t xml:space="preserve">Same-major promotion rejects strengthened preconditions, weakened guarantees, undeclared effects, incompatible state, or authority expansion. Performance differences remain visible in profile-specific evidence.</w:t>
      </w:r>
    </w:p>
    <w:bookmarkEnd w:id="128"/>
    <w:bookmarkStart w:id="129" w:name="limits-of-the-properties"/>
    <w:p>
      <w:pPr>
        <w:pStyle w:val="Heading2"/>
        <w:widowControl w:val="1"/>
      </w:pPr>
      <w:r>
        <w:rPr>
          <w:rStyle w:val="SectionNumber"/>
        </w:rPr>
        <w:t xml:space="preserve">16.6</w:t>
      </w:r>
      <w:r>
        <w:tab/>
      </w:r>
      <w:r>
        <w:t xml:space="preserve">Limits of the properties</w:t>
      </w:r>
    </w:p>
    <w:p>
      <w:pPr>
        <w:pStyle w:val="FirstParagraph"/>
        <w:widowControl w:val="1"/>
      </w:pPr>
      <w:r>
        <w:rPr>
          <w:rFonts w:ascii="Noto Serif" w:hAnsi="Noto Serif" w:eastAsia="Noto Serif"/>
          <w:color w:val="1D2833"/>
          <w:sz w:val="20"/>
        </w:rPr>
        <w:t xml:space="preserve">The properties fail when their assumptions fail. An undeclared side channel defeats bounded authority. An incomplete contract defeats substitutability. A deceptive model can pass finite tests. A compromised trust root can authorize false evidence. The architecture should display these assumptions alongside each qualification claim rather than summarize them as</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safe.</w:t>
      </w:r>
      <w:r>
        <w:rPr>
          <w:rFonts w:ascii="Noto Serif" w:hAnsi="Noto Serif" w:eastAsia="Noto Serif"/>
          <w:color w:val="1D2833"/>
          <w:sz w:val="20"/>
        </w:rPr>
        <w:t xml:space="preserve">”</w:t>
      </w:r>
    </w:p>
    <w:bookmarkEnd w:id="129"/>
    <w:bookmarkEnd w:id="130"/>
    <w:bookmarkStart w:id="139" w:name="reference-architecture"/>
    <w:p>
      <w:pPr>
        <w:pStyle w:val="Heading1"/>
        <w:widowControl w:val="1"/>
        <w:pBdr>
          <w:bottom w:val="single" w:sz="7" w:space="4" w:color="E8EEF3"/>
        </w:pBdr>
      </w:pPr>
      <w:r>
        <w:rPr>
          <w:rStyle w:val="SectionNumber"/>
        </w:rPr>
        <w:t xml:space="preserve">17</w:t>
      </w:r>
      <w:r>
        <w:tab/>
      </w:r>
      <w:r>
        <w:t xml:space="preserve">Reference architecture</w:t>
      </w:r>
    </w:p>
    <w:bookmarkStart w:id="135" w:name="four-planes"/>
    <w:p>
      <w:pPr>
        <w:pStyle w:val="Heading2"/>
        <w:widowControl w:val="1"/>
      </w:pPr>
      <w:r>
        <w:rPr>
          <w:rStyle w:val="SectionNumber"/>
        </w:rPr>
        <w:t xml:space="preserve">17.1</w:t>
      </w:r>
      <w:r>
        <w:tab/>
      </w:r>
      <w:r>
        <w:t xml:space="preserve">Four planes</w:t>
      </w:r>
    </w:p>
    <w:p>
      <w:pPr>
        <w:pStyle w:val="FirstParagraph"/>
        <w:widowControl w:val="1"/>
      </w:pPr>
      <w:r>
        <w:rPr>
          <w:rFonts w:ascii="Noto Serif" w:hAnsi="Noto Serif" w:eastAsia="Noto Serif"/>
          <w:color w:val="1D2833"/>
          <w:sz w:val="20"/>
        </w:rPr>
        <w:t xml:space="preserve">The SCF reference architecture separates four planes, as shown in Figure 2.</w:t>
      </w:r>
    </w:p>
    <w:bookmarkStart w:id="131" w:name="field-control-plane"/>
    <w:p>
      <w:pPr>
        <w:pStyle w:val="Heading3"/>
        <w:widowControl w:val="1"/>
      </w:pPr>
      <w:r>
        <w:rPr>
          <w:rStyle w:val="SectionNumber"/>
        </w:rPr>
        <w:t xml:space="preserve">17.1.1</w:t>
      </w:r>
      <w:r>
        <w:tab/>
      </w:r>
      <w:r>
        <w:t xml:space="preserve">Field control plane</w:t>
      </w:r>
    </w:p>
    <w:p>
      <w:pPr>
        <w:pStyle w:val="FirstParagraph"/>
        <w:widowControl w:val="1"/>
      </w:pPr>
      <w:r>
        <w:rPr>
          <w:rFonts w:ascii="Noto Serif" w:hAnsi="Noto Serif" w:eastAsia="Noto Serif"/>
          <w:color w:val="1D2833"/>
          <w:sz w:val="20"/>
        </w:rPr>
        <w:t xml:space="preserve">The control plane contains field identities, contracts, the contextual resolver, and the small field kernel. It interprets requests and deployment profiles, checks registry claims, and binds a routing policy.</w:t>
      </w:r>
    </w:p>
    <w:bookmarkEnd w:id="131"/>
    <w:bookmarkStart w:id="132" w:name="replaceable-implementation-plane"/>
    <w:p>
      <w:pPr>
        <w:pStyle w:val="Heading3"/>
        <w:widowControl w:val="1"/>
      </w:pPr>
      <w:r>
        <w:rPr>
          <w:rStyle w:val="SectionNumber"/>
        </w:rPr>
        <w:t xml:space="preserve">17.1.2</w:t>
      </w:r>
      <w:r>
        <w:tab/>
      </w:r>
      <w:r>
        <w:t xml:space="preserve">Replaceable implementation plane</w:t>
      </w:r>
    </w:p>
    <w:p>
      <w:pPr>
        <w:pStyle w:val="FirstParagraph"/>
        <w:widowControl w:val="1"/>
      </w:pPr>
      <w:r>
        <w:rPr>
          <w:rFonts w:ascii="Noto Serif" w:hAnsi="Noto Serif" w:eastAsia="Noto Serif"/>
          <w:color w:val="1D2833"/>
          <w:sz w:val="20"/>
        </w:rPr>
        <w:t xml:space="preserve">This plane contains implementation revisions and bundles, along with declared state adapters and migrations. It may include local code, models, remote services, or multi-agent systems. It has no ambient authority.</w:t>
      </w:r>
    </w:p>
    <w:bookmarkEnd w:id="132"/>
    <w:bookmarkStart w:id="133" w:name="execution-and-authority-plane"/>
    <w:p>
      <w:pPr>
        <w:pStyle w:val="Heading3"/>
        <w:widowControl w:val="1"/>
      </w:pPr>
      <w:r>
        <w:rPr>
          <w:rStyle w:val="SectionNumber"/>
        </w:rPr>
        <w:t xml:space="preserve">17.1.3</w:t>
      </w:r>
      <w:r>
        <w:tab/>
      </w:r>
      <w:r>
        <w:t xml:space="preserve">Execution and authority plane</w:t>
      </w:r>
    </w:p>
    <w:p>
      <w:pPr>
        <w:pStyle w:val="FirstParagraph"/>
        <w:widowControl w:val="1"/>
      </w:pPr>
      <w:r>
        <w:rPr>
          <w:rFonts w:ascii="Noto Serif" w:hAnsi="Noto Serif" w:eastAsia="Noto Serif"/>
          <w:color w:val="1D2833"/>
          <w:sz w:val="20"/>
        </w:rPr>
        <w:t xml:space="preserve">The capability broker mediates tools, data, code execution, networks, and physical effects. It issues scoped grants and effect receipts. Sandboxes, schedulers, identity services, and transaction coordinators live here.</w:t>
      </w:r>
    </w:p>
    <w:bookmarkEnd w:id="133"/>
    <w:bookmarkStart w:id="134" w:name="evidence-provenance-and-governance-plane"/>
    <w:p>
      <w:pPr>
        <w:pStyle w:val="Heading3"/>
        <w:widowControl w:val="1"/>
      </w:pPr>
      <w:r>
        <w:rPr>
          <w:rStyle w:val="SectionNumber"/>
        </w:rPr>
        <w:t xml:space="preserve">17.1.4</w:t>
      </w:r>
      <w:r>
        <w:tab/>
      </w:r>
      <w:r>
        <w:t xml:space="preserve">Evidence, provenance, and governance plane</w:t>
      </w:r>
    </w:p>
    <w:p>
      <w:pPr>
        <w:pStyle w:val="FirstParagraph"/>
        <w:widowControl w:val="1"/>
      </w:pPr>
      <w:r>
        <w:rPr>
          <w:rFonts w:ascii="Noto Serif" w:hAnsi="Noto Serif" w:eastAsia="Noto Serif"/>
          <w:color w:val="1D2833"/>
          <w:sz w:val="20"/>
        </w:rPr>
        <w:t xml:space="preserve">This plane contains evaluators, datasets, formal specifications, the evidence registry, promotion authority, incident management, and audit. It receives telemetry but is protected from modification by ordinary implementations.</w:t>
      </w:r>
    </w:p>
    <w:bookmarkEnd w:id="134"/>
    <w:bookmarkEnd w:id="135"/>
    <w:bookmarkStart w:id="136" w:name="core-interfaces"/>
    <w:p>
      <w:pPr>
        <w:pStyle w:val="Heading2"/>
        <w:widowControl w:val="1"/>
      </w:pPr>
      <w:r>
        <w:rPr>
          <w:rStyle w:val="SectionNumber"/>
        </w:rPr>
        <w:t xml:space="preserve">17.2</w:t>
      </w:r>
      <w:r>
        <w:tab/>
      </w:r>
      <w:r>
        <w:t xml:space="preserve">Core interfaces</w:t>
      </w:r>
    </w:p>
    <w:p>
      <w:pPr>
        <w:pStyle w:val="FirstParagraph"/>
        <w:widowControl w:val="1"/>
      </w:pPr>
      <w:r>
        <w:rPr>
          <w:rFonts w:ascii="Noto Serif" w:hAnsi="Noto Serif" w:eastAsia="Noto Serif"/>
          <w:color w:val="1D2833"/>
          <w:sz w:val="20"/>
        </w:rPr>
        <w:t xml:space="preserve">A minimal set of control interfaces includes:</w:t>
      </w:r>
    </w:p>
    <w:p>
      <w:pPr>
        <w:pStyle w:val="SourceCode"/>
        <w:keepLines w:val="0"/>
        <w:widowControl w:val="1"/>
        <w:shd w:fill="F4F6F7" w:val="clear"/>
        <w:pBdr>
          <w:left w:val="single" w:sz="12" w:space="5" w:color="355C78"/>
        </w:pBdr>
      </w:pPr>
      <w:r>
        <w:rPr>
          <w:rStyle w:val="VerbatimChar"/>
        </w:rPr>
        <w:t xml:space="preserve">resolve(field_id, contract_range, request_meta, deployment_profile)</w:t>
      </w:r>
      <w:r>
        <w:br/>
      </w:r>
      <w:r>
        <w:rPr>
          <w:rStyle w:val="VerbatimChar"/>
        </w:rPr>
        <w:t xml:space="preserve">    -&gt; routing_policy + authority_binding + decision_receipt</w:t>
      </w:r>
      <w:r>
        <w:br/>
      </w:r>
      <w:r>
        <w:br/>
      </w:r>
      <w:r>
        <w:rPr>
          <w:rStyle w:val="VerbatimChar"/>
        </w:rPr>
        <w:t xml:space="preserve">invoke(route_id, input, state_ref, authority_handle)</w:t>
      </w:r>
      <w:r>
        <w:br/>
      </w:r>
      <w:r>
        <w:rPr>
          <w:rStyle w:val="VerbatimChar"/>
        </w:rPr>
        <w:t xml:space="preserve">    -&gt; typed_outcome + state_delta + effect_receipts + telemetry</w:t>
      </w:r>
      <w:r>
        <w:br/>
      </w:r>
      <w:r>
        <w:br/>
      </w:r>
      <w:r>
        <w:rPr>
          <w:rStyle w:val="VerbatimChar"/>
        </w:rPr>
        <w:t xml:space="preserve">submit_candidate(field_id, contract_version, artifact_manifest, change_scope)</w:t>
      </w:r>
      <w:r>
        <w:br/>
      </w:r>
      <w:r>
        <w:rPr>
          <w:rStyle w:val="VerbatimChar"/>
        </w:rPr>
        <w:t xml:space="preserve">    -&gt; candidate_revision</w:t>
      </w:r>
      <w:r>
        <w:br/>
      </w:r>
      <w:r>
        <w:br/>
      </w:r>
      <w:r>
        <w:rPr>
          <w:rStyle w:val="VerbatimChar"/>
        </w:rPr>
        <w:t xml:space="preserve">qualify(candidate_revision, deployment_profile, evaluation_plan)</w:t>
      </w:r>
      <w:r>
        <w:br/>
      </w:r>
      <w:r>
        <w:rPr>
          <w:rStyle w:val="VerbatimChar"/>
        </w:rPr>
        <w:t xml:space="preserve">    -&gt; evidence_bundle + qualification_proposal</w:t>
      </w:r>
      <w:r>
        <w:br/>
      </w:r>
      <w:r>
        <w:br/>
      </w:r>
      <w:r>
        <w:rPr>
          <w:rStyle w:val="VerbatimChar"/>
        </w:rPr>
        <w:t xml:space="preserve">promote(qualification_claim, routing_delta, migration_plan, approvals)</w:t>
      </w:r>
      <w:r>
        <w:br/>
      </w:r>
      <w:r>
        <w:rPr>
          <w:rStyle w:val="VerbatimChar"/>
        </w:rPr>
        <w:t xml:space="preserve">    -&gt; activation_event</w:t>
      </w:r>
      <w:r>
        <w:br/>
      </w:r>
      <w:r>
        <w:br/>
      </w:r>
      <w:r>
        <w:rPr>
          <w:rStyle w:val="VerbatimChar"/>
        </w:rPr>
        <w:t xml:space="preserve">contain(route_or_revision, incident, recovery_plan)</w:t>
      </w:r>
      <w:r>
        <w:br/>
      </w:r>
      <w:r>
        <w:rPr>
          <w:rStyle w:val="VerbatimChar"/>
        </w:rPr>
        <w:t xml:space="preserve">    -&gt; revocation + recovery_events</w:t>
      </w:r>
    </w:p>
    <w:p>
      <w:pPr>
        <w:pStyle w:val="FirstParagraph"/>
        <w:widowControl w:val="1"/>
      </w:pPr>
      <w:r>
        <w:rPr>
          <w:rFonts w:ascii="Noto Serif" w:hAnsi="Noto Serif" w:eastAsia="Noto Serif"/>
          <w:color w:val="1D2833"/>
          <w:sz w:val="20"/>
        </w:rPr>
        <w:t xml:space="preserve">These are conceptual interfaces. A concrete deployment may implement them through local calls, services, workflow engines, or signed registry transactions.</w:t>
      </w:r>
    </w:p>
    <w:bookmarkEnd w:id="136"/>
    <w:bookmarkStart w:id="137" w:name="registry-consistency"/>
    <w:p>
      <w:pPr>
        <w:pStyle w:val="Heading2"/>
        <w:widowControl w:val="1"/>
      </w:pPr>
      <w:r>
        <w:rPr>
          <w:rStyle w:val="SectionNumber"/>
        </w:rPr>
        <w:t xml:space="preserve">17.3</w:t>
      </w:r>
      <w:r>
        <w:tab/>
      </w:r>
      <w:r>
        <w:t xml:space="preserve">Registry consistency</w:t>
      </w:r>
    </w:p>
    <w:p>
      <w:pPr>
        <w:pStyle w:val="FirstParagraph"/>
        <w:widowControl w:val="1"/>
      </w:pPr>
      <w:r>
        <w:rPr>
          <w:rFonts w:ascii="Noto Serif" w:hAnsi="Noto Serif" w:eastAsia="Noto Serif"/>
          <w:color w:val="1D2833"/>
          <w:sz w:val="20"/>
        </w:rPr>
        <w:t xml:space="preserve">The registry should favor strong consistency for lifecycle authority and tolerate eventual consistency for discovery and analytics. A promotion should reference a specific registry snapshot and fail if relevant facts changed during approval. Incident revocation should propagate rapidly and default closed for high-risk fields.</w:t>
      </w:r>
    </w:p>
    <w:bookmarkEnd w:id="137"/>
    <w:bookmarkStart w:id="138" w:name="performance-overhead"/>
    <w:p>
      <w:pPr>
        <w:pStyle w:val="Heading2"/>
        <w:widowControl w:val="1"/>
      </w:pPr>
      <w:r>
        <w:rPr>
          <w:rStyle w:val="SectionNumber"/>
        </w:rPr>
        <w:t xml:space="preserve">17.4</w:t>
      </w:r>
      <w:r>
        <w:tab/>
      </w:r>
      <w:r>
        <w:t xml:space="preserve">Performance overhead</w:t>
      </w:r>
    </w:p>
    <w:p>
      <w:pPr>
        <w:pStyle w:val="FirstParagraph"/>
        <w:widowControl w:val="1"/>
      </w:pPr>
      <w:r>
        <w:rPr>
          <w:rFonts w:ascii="Noto Serif" w:hAnsi="Noto Serif" w:eastAsia="Noto Serif"/>
          <w:color w:val="1D2833"/>
          <w:sz w:val="20"/>
        </w:rPr>
        <w:t xml:space="preserve">SCF introduces overhead in metadata, evaluation, resolution, and mediation. Several techniques can control it:</w:t>
      </w:r>
    </w:p>
    <w:p>
      <w:pPr>
        <w:pStyle w:val="Compact"/>
        <w:numPr>
          <w:ilvl w:val="0"/>
          <w:numId w:val="1046"/>
        </w:numPr>
        <w:widowControl w:val="1"/>
      </w:pPr>
      <w:r>
        <w:rPr>
          <w:rFonts w:ascii="Noto Serif" w:hAnsi="Noto Serif" w:eastAsia="Noto Serif"/>
          <w:color w:val="1D2833"/>
          <w:sz w:val="19"/>
        </w:rPr>
        <w:t xml:space="preserve">cache qualified-set materializations by profile and registry watermark;</w:t>
      </w:r>
    </w:p>
    <w:p>
      <w:pPr>
        <w:pStyle w:val="Compact"/>
        <w:numPr>
          <w:ilvl w:val="0"/>
          <w:numId w:val="1046"/>
        </w:numPr>
        <w:widowControl w:val="1"/>
      </w:pPr>
      <w:r>
        <w:rPr>
          <w:rFonts w:ascii="Noto Serif" w:hAnsi="Noto Serif" w:eastAsia="Noto Serif"/>
          <w:color w:val="1D2833"/>
          <w:sz w:val="19"/>
        </w:rPr>
        <w:t xml:space="preserve">keep the runtime kernel small and avoid graph traversal on every tool call;</w:t>
      </w:r>
    </w:p>
    <w:p>
      <w:pPr>
        <w:pStyle w:val="Compact"/>
        <w:numPr>
          <w:ilvl w:val="0"/>
          <w:numId w:val="1046"/>
        </w:numPr>
        <w:widowControl w:val="1"/>
      </w:pPr>
      <w:r>
        <w:rPr>
          <w:rFonts w:ascii="Noto Serif" w:hAnsi="Noto Serif" w:eastAsia="Noto Serif"/>
          <w:color w:val="1D2833"/>
          <w:sz w:val="19"/>
        </w:rPr>
        <w:t xml:space="preserve">issue short-lived authority handles after one resolution decision;</w:t>
      </w:r>
    </w:p>
    <w:p>
      <w:pPr>
        <w:pStyle w:val="Compact"/>
        <w:numPr>
          <w:ilvl w:val="0"/>
          <w:numId w:val="1046"/>
        </w:numPr>
        <w:widowControl w:val="1"/>
      </w:pPr>
      <w:r>
        <w:rPr>
          <w:rFonts w:ascii="Noto Serif" w:hAnsi="Noto Serif" w:eastAsia="Noto Serif"/>
          <w:color w:val="1D2833"/>
          <w:sz w:val="19"/>
        </w:rPr>
        <w:t xml:space="preserve">stratify evaluation depth by risk and impact cone;</w:t>
      </w:r>
    </w:p>
    <w:p>
      <w:pPr>
        <w:pStyle w:val="Compact"/>
        <w:numPr>
          <w:ilvl w:val="0"/>
          <w:numId w:val="1046"/>
        </w:numPr>
        <w:widowControl w:val="1"/>
      </w:pPr>
      <w:r>
        <w:rPr>
          <w:rFonts w:ascii="Noto Serif" w:hAnsi="Noto Serif" w:eastAsia="Noto Serif"/>
          <w:color w:val="1D2833"/>
          <w:sz w:val="19"/>
        </w:rPr>
        <w:t xml:space="preserve">reuse evidence only when contracts, dependencies, and environments match;</w:t>
      </w:r>
    </w:p>
    <w:p>
      <w:pPr>
        <w:pStyle w:val="Compact"/>
        <w:numPr>
          <w:ilvl w:val="0"/>
          <w:numId w:val="1046"/>
        </w:numPr>
        <w:widowControl w:val="1"/>
      </w:pPr>
      <w:r>
        <w:rPr>
          <w:rFonts w:ascii="Noto Serif" w:hAnsi="Noto Serif" w:eastAsia="Noto Serif"/>
          <w:color w:val="1D2833"/>
          <w:sz w:val="19"/>
        </w:rPr>
        <w:t xml:space="preserve">perform expensive formal and adversarial evaluation asynchronously before promotion;</w:t>
      </w:r>
    </w:p>
    <w:p>
      <w:pPr>
        <w:pStyle w:val="Compact"/>
        <w:numPr>
          <w:ilvl w:val="0"/>
          <w:numId w:val="1046"/>
        </w:numPr>
        <w:widowControl w:val="1"/>
      </w:pPr>
      <w:r>
        <w:rPr>
          <w:rFonts w:ascii="Noto Serif" w:hAnsi="Noto Serif" w:eastAsia="Noto Serif"/>
          <w:color w:val="1D2833"/>
          <w:sz w:val="19"/>
        </w:rPr>
        <w:t xml:space="preserve">retain simple direct routes for low-risk pure fields.</w:t>
      </w:r>
    </w:p>
    <w:p>
      <w:pPr>
        <w:pStyle w:val="FirstParagraph"/>
        <w:widowControl w:val="1"/>
      </w:pPr>
      <w:r>
        <w:rPr>
          <w:rFonts w:ascii="Noto Serif" w:hAnsi="Noto Serif" w:eastAsia="Noto Serif"/>
          <w:color w:val="1D2833"/>
          <w:sz w:val="20"/>
        </w:rPr>
        <w:t xml:space="preserve">The overhead is not free, but neither are regressions, silent privilege expansion, and unrecoverable state changes. The evaluation agenda should measure both improvement velocity and governance cost.</w:t>
      </w:r>
    </w:p>
    <w:bookmarkEnd w:id="138"/>
    <w:bookmarkEnd w:id="139"/>
    <w:bookmarkStart w:id="145" w:name="worked-example-planning-field"/>
    <w:p>
      <w:pPr>
        <w:pStyle w:val="Heading1"/>
        <w:widowControl w:val="1"/>
        <w:pBdr>
          <w:bottom w:val="single" w:sz="7" w:space="4" w:color="E8EEF3"/>
        </w:pBdr>
      </w:pPr>
      <w:r>
        <w:rPr>
          <w:rStyle w:val="SectionNumber"/>
        </w:rPr>
        <w:t xml:space="preserve">18</w:t>
      </w:r>
      <w:r>
        <w:tab/>
      </w:r>
      <w:r>
        <w:t xml:space="preserve">Worked example: planning field</w:t>
      </w:r>
    </w:p>
    <w:bookmarkStart w:id="140" w:name="contract"/>
    <w:p>
      <w:pPr>
        <w:pStyle w:val="Heading2"/>
        <w:widowControl w:val="1"/>
      </w:pPr>
      <w:r>
        <w:rPr>
          <w:rStyle w:val="SectionNumber"/>
        </w:rPr>
        <w:t xml:space="preserve">18.1</w:t>
      </w:r>
      <w:r>
        <w:tab/>
      </w:r>
      <w:r>
        <w:t xml:space="preserve">Contract</w:t>
      </w:r>
    </w:p>
    <w:p>
      <w:pPr>
        <w:pStyle w:val="FirstParagraph"/>
        <w:widowControl w:val="1"/>
      </w:pPr>
      <w:r>
        <w:rPr>
          <w:rFonts w:ascii="Noto Serif" w:hAnsi="Noto Serif" w:eastAsia="Noto Serif"/>
          <w:color w:val="1D2833"/>
          <w:sz w:val="20"/>
        </w:rPr>
        <w:t xml:space="preserve">Consider</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planning.task_graph</w:t>
      </w:r>
      <w:r>
        <w:rPr>
          <w:rFonts w:ascii="Noto Serif" w:hAnsi="Noto Serif" w:eastAsia="Noto Serif"/>
          <w:color w:val="1D2833"/>
          <w:sz w:val="20"/>
        </w:rPr>
        <w:t xml:space="preserve"> </w:t>
      </w:r>
      <w:r>
        <w:rPr>
          <w:rFonts w:ascii="Noto Serif" w:hAnsi="Noto Serif" w:eastAsia="Noto Serif"/>
          <w:color w:val="1D2833"/>
          <w:sz w:val="20"/>
        </w:rPr>
        <w:t xml:space="preserve">contract version 3. Its purpose is to transform a goal and constraints into an inspectable plan artifact. It has no authority to execute the plan.</w:t>
      </w:r>
    </w:p>
    <w:p>
      <w:pPr>
        <w:pStyle w:val="BodyText"/>
        <w:widowControl w:val="1"/>
      </w:pPr>
      <w:r>
        <w:rPr>
          <w:rFonts w:ascii="Noto Serif" w:hAnsi="Noto Serif" w:eastAsia="Noto Serif"/>
          <w:color w:val="1D2833"/>
          <w:sz w:val="20"/>
        </w:rPr>
        <w:t xml:space="preserve">Inputs:</w:t>
      </w:r>
    </w:p>
    <w:p>
      <w:pPr>
        <w:pStyle w:val="Compact"/>
        <w:numPr>
          <w:ilvl w:val="0"/>
          <w:numId w:val="1047"/>
        </w:numPr>
        <w:widowControl w:val="1"/>
      </w:pPr>
      <w:r>
        <w:rPr>
          <w:rFonts w:ascii="Noto Serif" w:hAnsi="Noto Serif" w:eastAsia="Noto Serif"/>
          <w:color w:val="1D2833"/>
          <w:sz w:val="19"/>
        </w:rPr>
        <w:t xml:space="preserve">goal and success criteria;</w:t>
      </w:r>
    </w:p>
    <w:p>
      <w:pPr>
        <w:pStyle w:val="Compact"/>
        <w:numPr>
          <w:ilvl w:val="0"/>
          <w:numId w:val="1047"/>
        </w:numPr>
        <w:widowControl w:val="1"/>
      </w:pPr>
      <w:r>
        <w:rPr>
          <w:rFonts w:ascii="Noto Serif" w:hAnsi="Noto Serif" w:eastAsia="Noto Serif"/>
          <w:color w:val="1D2833"/>
          <w:sz w:val="19"/>
        </w:rPr>
        <w:t xml:space="preserve">constraints and prohibited actions;</w:t>
      </w:r>
    </w:p>
    <w:p>
      <w:pPr>
        <w:pStyle w:val="Compact"/>
        <w:numPr>
          <w:ilvl w:val="0"/>
          <w:numId w:val="1047"/>
        </w:numPr>
        <w:widowControl w:val="1"/>
      </w:pPr>
      <w:r>
        <w:rPr>
          <w:rFonts w:ascii="Noto Serif" w:hAnsi="Noto Serif" w:eastAsia="Noto Serif"/>
          <w:color w:val="1D2833"/>
          <w:sz w:val="19"/>
        </w:rPr>
        <w:t xml:space="preserve">available tool descriptions as capabilities, not live handles;</w:t>
      </w:r>
    </w:p>
    <w:p>
      <w:pPr>
        <w:pStyle w:val="Compact"/>
        <w:numPr>
          <w:ilvl w:val="0"/>
          <w:numId w:val="1047"/>
        </w:numPr>
        <w:widowControl w:val="1"/>
      </w:pPr>
      <w:r>
        <w:rPr>
          <w:rFonts w:ascii="Noto Serif" w:hAnsi="Noto Serif" w:eastAsia="Noto Serif"/>
          <w:color w:val="1D2833"/>
          <w:sz w:val="19"/>
        </w:rPr>
        <w:t xml:space="preserve">budget and deadline;</w:t>
      </w:r>
    </w:p>
    <w:p>
      <w:pPr>
        <w:pStyle w:val="Compact"/>
        <w:numPr>
          <w:ilvl w:val="0"/>
          <w:numId w:val="1047"/>
        </w:numPr>
        <w:widowControl w:val="1"/>
      </w:pPr>
      <w:r>
        <w:rPr>
          <w:rFonts w:ascii="Noto Serif" w:hAnsi="Noto Serif" w:eastAsia="Noto Serif"/>
          <w:color w:val="1D2833"/>
          <w:sz w:val="19"/>
        </w:rPr>
        <w:t xml:space="preserve">relevant memory references with provenance;</w:t>
      </w:r>
    </w:p>
    <w:p>
      <w:pPr>
        <w:pStyle w:val="Compact"/>
        <w:numPr>
          <w:ilvl w:val="0"/>
          <w:numId w:val="1047"/>
        </w:numPr>
        <w:widowControl w:val="1"/>
      </w:pPr>
      <w:r>
        <w:rPr>
          <w:rFonts w:ascii="Noto Serif" w:hAnsi="Noto Serif" w:eastAsia="Noto Serif"/>
          <w:color w:val="1D2833"/>
          <w:sz w:val="19"/>
        </w:rPr>
        <w:t xml:space="preserve">deployment risk class.</w:t>
      </w:r>
    </w:p>
    <w:p>
      <w:pPr>
        <w:pStyle w:val="FirstParagraph"/>
        <w:widowControl w:val="1"/>
      </w:pPr>
      <w:r>
        <w:rPr>
          <w:rFonts w:ascii="Noto Serif" w:hAnsi="Noto Serif" w:eastAsia="Noto Serif"/>
          <w:color w:val="1D2833"/>
          <w:sz w:val="20"/>
        </w:rPr>
        <w:t xml:space="preserve">Outputs:</w:t>
      </w:r>
    </w:p>
    <w:p>
      <w:pPr>
        <w:pStyle w:val="Compact"/>
        <w:numPr>
          <w:ilvl w:val="0"/>
          <w:numId w:val="1048"/>
        </w:numPr>
        <w:widowControl w:val="1"/>
      </w:pPr>
      <w:r>
        <w:rPr>
          <w:rFonts w:ascii="Noto Serif" w:hAnsi="Noto Serif" w:eastAsia="Noto Serif"/>
          <w:color w:val="1D2833"/>
          <w:sz w:val="19"/>
        </w:rPr>
        <w:t xml:space="preserve">a directed acyclic or explicitly cyclic plan graph;</w:t>
      </w:r>
    </w:p>
    <w:p>
      <w:pPr>
        <w:pStyle w:val="Compact"/>
        <w:numPr>
          <w:ilvl w:val="0"/>
          <w:numId w:val="1048"/>
        </w:numPr>
        <w:widowControl w:val="1"/>
      </w:pPr>
      <w:r>
        <w:rPr>
          <w:rFonts w:ascii="Noto Serif" w:hAnsi="Noto Serif" w:eastAsia="Noto Serif"/>
          <w:color w:val="1D2833"/>
          <w:sz w:val="19"/>
        </w:rPr>
        <w:t xml:space="preserve">preconditions and postconditions for each step;</w:t>
      </w:r>
    </w:p>
    <w:p>
      <w:pPr>
        <w:pStyle w:val="Compact"/>
        <w:numPr>
          <w:ilvl w:val="0"/>
          <w:numId w:val="1048"/>
        </w:numPr>
        <w:widowControl w:val="1"/>
      </w:pPr>
      <w:r>
        <w:rPr>
          <w:rFonts w:ascii="Noto Serif" w:hAnsi="Noto Serif" w:eastAsia="Noto Serif"/>
          <w:color w:val="1D2833"/>
          <w:sz w:val="19"/>
        </w:rPr>
        <w:t xml:space="preserve">assumptions and unresolved questions;</w:t>
      </w:r>
    </w:p>
    <w:p>
      <w:pPr>
        <w:pStyle w:val="Compact"/>
        <w:numPr>
          <w:ilvl w:val="0"/>
          <w:numId w:val="1048"/>
        </w:numPr>
        <w:widowControl w:val="1"/>
      </w:pPr>
      <w:r>
        <w:rPr>
          <w:rFonts w:ascii="Noto Serif" w:hAnsi="Noto Serif" w:eastAsia="Noto Serif"/>
          <w:color w:val="1D2833"/>
          <w:sz w:val="19"/>
        </w:rPr>
        <w:t xml:space="preserve">required capability classes;</w:t>
      </w:r>
    </w:p>
    <w:p>
      <w:pPr>
        <w:pStyle w:val="Compact"/>
        <w:numPr>
          <w:ilvl w:val="0"/>
          <w:numId w:val="1048"/>
        </w:numPr>
        <w:widowControl w:val="1"/>
      </w:pPr>
      <w:r>
        <w:rPr>
          <w:rFonts w:ascii="Noto Serif" w:hAnsi="Noto Serif" w:eastAsia="Noto Serif"/>
          <w:color w:val="1D2833"/>
          <w:sz w:val="19"/>
        </w:rPr>
        <w:t xml:space="preserve">risk and reversibility classification;</w:t>
      </w:r>
    </w:p>
    <w:p>
      <w:pPr>
        <w:pStyle w:val="Compact"/>
        <w:numPr>
          <w:ilvl w:val="0"/>
          <w:numId w:val="1048"/>
        </w:numPr>
        <w:widowControl w:val="1"/>
      </w:pPr>
      <w:r>
        <w:rPr>
          <w:rFonts w:ascii="Noto Serif" w:hAnsi="Noto Serif" w:eastAsia="Noto Serif"/>
          <w:color w:val="1D2833"/>
          <w:sz w:val="19"/>
        </w:rPr>
        <w:t xml:space="preserve">verification obligations;</w:t>
      </w:r>
    </w:p>
    <w:p>
      <w:pPr>
        <w:pStyle w:val="Compact"/>
        <w:numPr>
          <w:ilvl w:val="0"/>
          <w:numId w:val="1048"/>
        </w:numPr>
        <w:widowControl w:val="1"/>
      </w:pPr>
      <w:r>
        <w:rPr>
          <w:rFonts w:ascii="Noto Serif" w:hAnsi="Noto Serif" w:eastAsia="Noto Serif"/>
          <w:color w:val="1D2833"/>
          <w:sz w:val="19"/>
        </w:rPr>
        <w:t xml:space="preserve">uncertainty and abstention status.</w:t>
      </w:r>
    </w:p>
    <w:p>
      <w:pPr>
        <w:pStyle w:val="FirstParagraph"/>
        <w:widowControl w:val="1"/>
      </w:pPr>
      <w:r>
        <w:rPr>
          <w:rFonts w:ascii="Noto Serif" w:hAnsi="Noto Serif" w:eastAsia="Noto Serif"/>
          <w:color w:val="1D2833"/>
          <w:sz w:val="20"/>
        </w:rPr>
        <w:t xml:space="preserve">Hard invariants:</w:t>
      </w:r>
    </w:p>
    <w:p>
      <w:pPr>
        <w:pStyle w:val="Compact"/>
        <w:numPr>
          <w:ilvl w:val="0"/>
          <w:numId w:val="1049"/>
        </w:numPr>
        <w:widowControl w:val="1"/>
      </w:pPr>
      <w:r>
        <w:rPr>
          <w:rFonts w:ascii="Noto Serif" w:hAnsi="Noto Serif" w:eastAsia="Noto Serif"/>
          <w:color w:val="1D2833"/>
          <w:sz w:val="19"/>
        </w:rPr>
        <w:t xml:space="preserve">the planner cannot invoke effectful tools;</w:t>
      </w:r>
    </w:p>
    <w:p>
      <w:pPr>
        <w:pStyle w:val="Compact"/>
        <w:numPr>
          <w:ilvl w:val="0"/>
          <w:numId w:val="1049"/>
        </w:numPr>
        <w:widowControl w:val="1"/>
      </w:pPr>
      <w:r>
        <w:rPr>
          <w:rFonts w:ascii="Noto Serif" w:hAnsi="Noto Serif" w:eastAsia="Noto Serif"/>
          <w:color w:val="1D2833"/>
          <w:sz w:val="19"/>
        </w:rPr>
        <w:t xml:space="preserve">user constraints remain represented in the output;</w:t>
      </w:r>
    </w:p>
    <w:p>
      <w:pPr>
        <w:pStyle w:val="Compact"/>
        <w:numPr>
          <w:ilvl w:val="0"/>
          <w:numId w:val="1049"/>
        </w:numPr>
        <w:widowControl w:val="1"/>
      </w:pPr>
      <w:r>
        <w:rPr>
          <w:rFonts w:ascii="Noto Serif" w:hAnsi="Noto Serif" w:eastAsia="Noto Serif"/>
          <w:color w:val="1D2833"/>
          <w:sz w:val="19"/>
        </w:rPr>
        <w:t xml:space="preserve">every irreversible step is labeled and requires an external approval obligation;</w:t>
      </w:r>
    </w:p>
    <w:p>
      <w:pPr>
        <w:pStyle w:val="Compact"/>
        <w:numPr>
          <w:ilvl w:val="0"/>
          <w:numId w:val="1049"/>
        </w:numPr>
        <w:widowControl w:val="1"/>
      </w:pPr>
      <w:r>
        <w:rPr>
          <w:rFonts w:ascii="Noto Serif" w:hAnsi="Noto Serif" w:eastAsia="Noto Serif"/>
          <w:color w:val="1D2833"/>
          <w:sz w:val="19"/>
        </w:rPr>
        <w:t xml:space="preserve">unsupported assumptions are explicit;</w:t>
      </w:r>
    </w:p>
    <w:p>
      <w:pPr>
        <w:pStyle w:val="Compact"/>
        <w:numPr>
          <w:ilvl w:val="0"/>
          <w:numId w:val="1049"/>
        </w:numPr>
        <w:widowControl w:val="1"/>
      </w:pPr>
      <w:r>
        <w:rPr>
          <w:rFonts w:ascii="Noto Serif" w:hAnsi="Noto Serif" w:eastAsia="Noto Serif"/>
          <w:color w:val="1D2833"/>
          <w:sz w:val="19"/>
        </w:rPr>
        <w:t xml:space="preserve">typed failure distinguishes infeasible, under-specified, resource-exceeded, and internal-error outcomes.</w:t>
      </w:r>
    </w:p>
    <w:bookmarkEnd w:id="140"/>
    <w:bookmarkStart w:id="141" w:name="implementations"/>
    <w:p>
      <w:pPr>
        <w:pStyle w:val="Heading2"/>
        <w:widowControl w:val="1"/>
      </w:pPr>
      <w:r>
        <w:rPr>
          <w:rStyle w:val="SectionNumber"/>
        </w:rPr>
        <w:t xml:space="preserve">18.2</w:t>
      </w:r>
      <w:r>
        <w:tab/>
      </w:r>
      <w:r>
        <w:t xml:space="preserve">Implementations</w:t>
      </w:r>
    </w:p>
    <w:p>
      <w:pPr>
        <w:pStyle w:val="FirstParagraph"/>
        <w:widowControl w:val="1"/>
      </w:pPr>
      <w:r>
        <w:rPr>
          <w:rFonts w:ascii="Noto Serif" w:hAnsi="Noto Serif" w:eastAsia="Noto Serif"/>
          <w:color w:val="1D2833"/>
          <w:sz w:val="20"/>
        </w:rPr>
        <w:t xml:space="preserve">The registry contains:</w:t>
      </w:r>
    </w:p>
    <w:p>
      <w:pPr>
        <w:pStyle w:val="Compact"/>
        <w:numPr>
          <w:ilvl w:val="0"/>
          <w:numId w:val="1050"/>
        </w:numPr>
        <w:widowControl w:val="1"/>
      </w:pPr>
      <w:r>
        <w:rPr>
          <w:rStyle w:val="VerbatimChar"/>
          <w:rFonts w:ascii="Noto Serif" w:hAnsi="Noto Serif" w:eastAsia="Noto Serif"/>
          <w:color w:val="1D2833"/>
          <w:sz w:val="19"/>
        </w:rPr>
        <w:t xml:space="preserve">linear-fast-r17</w:t>
      </w:r>
      <w:r>
        <w:rPr>
          <w:rFonts w:ascii="Noto Serif" w:hAnsi="Noto Serif" w:eastAsia="Noto Serif"/>
          <w:color w:val="1D2833"/>
          <w:sz w:val="19"/>
        </w:rPr>
        <w:t xml:space="preserve">: a low-latency LM planner;</w:t>
      </w:r>
    </w:p>
    <w:p>
      <w:pPr>
        <w:pStyle w:val="Compact"/>
        <w:numPr>
          <w:ilvl w:val="0"/>
          <w:numId w:val="1050"/>
        </w:numPr>
        <w:widowControl w:val="1"/>
      </w:pPr>
      <w:r>
        <w:rPr>
          <w:rStyle w:val="VerbatimChar"/>
          <w:rFonts w:ascii="Noto Serif" w:hAnsi="Noto Serif" w:eastAsia="Noto Serif"/>
          <w:color w:val="1D2833"/>
          <w:sz w:val="19"/>
        </w:rPr>
        <w:t xml:space="preserve">graph-critic-r8</w:t>
      </w:r>
      <w:r>
        <w:rPr>
          <w:rFonts w:ascii="Noto Serif" w:hAnsi="Noto Serif" w:eastAsia="Noto Serif"/>
          <w:color w:val="1D2833"/>
          <w:sz w:val="19"/>
        </w:rPr>
        <w:t xml:space="preserve">: a planner with iterative critique and graph validation;</w:t>
      </w:r>
    </w:p>
    <w:p>
      <w:pPr>
        <w:pStyle w:val="Compact"/>
        <w:numPr>
          <w:ilvl w:val="0"/>
          <w:numId w:val="1050"/>
        </w:numPr>
        <w:widowControl w:val="1"/>
      </w:pPr>
      <w:r>
        <w:rPr>
          <w:rStyle w:val="VerbatimChar"/>
          <w:rFonts w:ascii="Noto Serif" w:hAnsi="Noto Serif" w:eastAsia="Noto Serif"/>
          <w:color w:val="1D2833"/>
          <w:sz w:val="19"/>
        </w:rPr>
        <w:t xml:space="preserve">symbolic-domain-r4</w:t>
      </w:r>
      <w:r>
        <w:rPr>
          <w:rFonts w:ascii="Noto Serif" w:hAnsi="Noto Serif" w:eastAsia="Noto Serif"/>
          <w:color w:val="1D2833"/>
          <w:sz w:val="19"/>
        </w:rPr>
        <w:t xml:space="preserve">: a symbolic planner for a constrained logistics domain;</w:t>
      </w:r>
    </w:p>
    <w:p>
      <w:pPr>
        <w:pStyle w:val="Compact"/>
        <w:numPr>
          <w:ilvl w:val="0"/>
          <w:numId w:val="1050"/>
        </w:numPr>
        <w:widowControl w:val="1"/>
      </w:pPr>
      <w:r>
        <w:rPr>
          <w:rStyle w:val="VerbatimChar"/>
          <w:rFonts w:ascii="Noto Serif" w:hAnsi="Noto Serif" w:eastAsia="Noto Serif"/>
          <w:color w:val="1D2833"/>
          <w:sz w:val="19"/>
        </w:rPr>
        <w:t xml:space="preserve">tree-search-r12</w:t>
      </w:r>
      <w:r>
        <w:rPr>
          <w:rFonts w:ascii="Noto Serif" w:hAnsi="Noto Serif" w:eastAsia="Noto Serif"/>
          <w:color w:val="1D2833"/>
          <w:sz w:val="19"/>
        </w:rPr>
        <w:t xml:space="preserve">: a search-intensive implementation with higher cost;</w:t>
      </w:r>
    </w:p>
    <w:p>
      <w:pPr>
        <w:pStyle w:val="Compact"/>
        <w:numPr>
          <w:ilvl w:val="0"/>
          <w:numId w:val="1050"/>
        </w:numPr>
        <w:widowControl w:val="1"/>
      </w:pPr>
      <w:r>
        <w:rPr>
          <w:rStyle w:val="VerbatimChar"/>
          <w:rFonts w:ascii="Noto Serif" w:hAnsi="Noto Serif" w:eastAsia="Noto Serif"/>
          <w:color w:val="1D2833"/>
          <w:sz w:val="19"/>
        </w:rPr>
        <w:t xml:space="preserve">planner-bundle-r3</w:t>
      </w:r>
      <w:r>
        <w:rPr>
          <w:rFonts w:ascii="Noto Serif" w:hAnsi="Noto Serif" w:eastAsia="Noto Serif"/>
          <w:color w:val="1D2833"/>
          <w:sz w:val="19"/>
        </w:rPr>
        <w:t xml:space="preserve">: a shared-weight agent bundle implementing both planning and verification fields.</w:t>
      </w:r>
    </w:p>
    <w:p>
      <w:pPr>
        <w:pStyle w:val="FirstParagraph"/>
        <w:widowControl w:val="1"/>
      </w:pPr>
      <w:r>
        <w:rPr>
          <w:rFonts w:ascii="Noto Serif" w:hAnsi="Noto Serif" w:eastAsia="Noto Serif"/>
          <w:color w:val="1D2833"/>
          <w:sz w:val="20"/>
        </w:rPr>
        <w:t xml:space="preserve">Qualification results differ by profile.</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linear-fast-r17</w:t>
      </w:r>
      <w:r>
        <w:rPr>
          <w:rFonts w:ascii="Noto Serif" w:hAnsi="Noto Serif" w:eastAsia="Noto Serif"/>
          <w:color w:val="1D2833"/>
          <w:sz w:val="20"/>
        </w:rPr>
        <w:t xml:space="preserve"> </w:t>
      </w:r>
      <w:r>
        <w:rPr>
          <w:rFonts w:ascii="Noto Serif" w:hAnsi="Noto Serif" w:eastAsia="Noto Serif"/>
          <w:color w:val="1D2833"/>
          <w:sz w:val="20"/>
        </w:rPr>
        <w:t xml:space="preserve">may be active for low-risk ideation and retained as fallback.</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graph-critic-r8</w:t>
      </w:r>
      <w:r>
        <w:rPr>
          <w:rFonts w:ascii="Noto Serif" w:hAnsi="Noto Serif" w:eastAsia="Noto Serif"/>
          <w:color w:val="1D2833"/>
          <w:sz w:val="20"/>
        </w:rPr>
        <w:t xml:space="preserve"> </w:t>
      </w:r>
      <w:r>
        <w:rPr>
          <w:rFonts w:ascii="Noto Serif" w:hAnsi="Noto Serif" w:eastAsia="Noto Serif"/>
          <w:color w:val="1D2833"/>
          <w:sz w:val="20"/>
        </w:rPr>
        <w:t xml:space="preserve">may be active for software changes.</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symbolic-domain-r4</w:t>
      </w:r>
      <w:r>
        <w:rPr>
          <w:rFonts w:ascii="Noto Serif" w:hAnsi="Noto Serif" w:eastAsia="Noto Serif"/>
          <w:color w:val="1D2833"/>
          <w:sz w:val="20"/>
        </w:rPr>
        <w:t xml:space="preserve"> </w:t>
      </w:r>
      <w:r>
        <w:rPr>
          <w:rFonts w:ascii="Noto Serif" w:hAnsi="Noto Serif" w:eastAsia="Noto Serif"/>
          <w:color w:val="1D2833"/>
          <w:sz w:val="20"/>
        </w:rPr>
        <w:t xml:space="preserve">may dominate in logistics where its assumptions hold.</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tree-search-r12</w:t>
      </w:r>
      <w:r>
        <w:rPr>
          <w:rFonts w:ascii="Noto Serif" w:hAnsi="Noto Serif" w:eastAsia="Noto Serif"/>
          <w:color w:val="1D2833"/>
          <w:sz w:val="20"/>
        </w:rPr>
        <w:t xml:space="preserve"> </w:t>
      </w:r>
      <w:r>
        <w:rPr>
          <w:rFonts w:ascii="Noto Serif" w:hAnsi="Noto Serif" w:eastAsia="Noto Serif"/>
          <w:color w:val="1D2833"/>
          <w:sz w:val="20"/>
        </w:rPr>
        <w:t xml:space="preserve">may be restricted to high-value tasks with a large compute budget. The bundle requires joint qualification because its verifier shares weights and may not provide independent challenge.</w:t>
      </w:r>
    </w:p>
    <w:bookmarkEnd w:id="141"/>
    <w:bookmarkStart w:id="142" w:name="resolver-decision"/>
    <w:p>
      <w:pPr>
        <w:pStyle w:val="Heading2"/>
        <w:widowControl w:val="1"/>
      </w:pPr>
      <w:r>
        <w:rPr>
          <w:rStyle w:val="SectionNumber"/>
        </w:rPr>
        <w:t xml:space="preserve">18.3</w:t>
      </w:r>
      <w:r>
        <w:tab/>
      </w:r>
      <w:r>
        <w:t xml:space="preserve">Resolver decision</w:t>
      </w:r>
    </w:p>
    <w:p>
      <w:pPr>
        <w:pStyle w:val="FirstParagraph"/>
        <w:widowControl w:val="1"/>
      </w:pPr>
      <w:r>
        <w:rPr>
          <w:rFonts w:ascii="Noto Serif" w:hAnsi="Noto Serif" w:eastAsia="Noto Serif"/>
          <w:color w:val="1D2833"/>
          <w:sz w:val="20"/>
        </w:rPr>
        <w:t xml:space="preserve">For a low-risk brainstorming request, the resolver selects</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linear-fast-r17</w:t>
      </w:r>
      <w:r>
        <w:rPr>
          <w:rFonts w:ascii="Noto Serif" w:hAnsi="Noto Serif" w:eastAsia="Noto Serif"/>
          <w:color w:val="1D2833"/>
          <w:sz w:val="20"/>
        </w:rPr>
        <w:t xml:space="preserve"> </w:t>
      </w:r>
      <w:r>
        <w:rPr>
          <w:rFonts w:ascii="Noto Serif" w:hAnsi="Noto Serif" w:eastAsia="Noto Serif"/>
          <w:color w:val="1D2833"/>
          <w:sz w:val="20"/>
        </w:rPr>
        <w:t xml:space="preserve">with no tool authority and a latency budget. For a production database migration plan, it selects</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graph-critic-r8</w:t>
      </w:r>
      <w:r>
        <w:rPr>
          <w:rFonts w:ascii="Noto Serif" w:hAnsi="Noto Serif" w:eastAsia="Noto Serif"/>
          <w:color w:val="1D2833"/>
          <w:sz w:val="20"/>
        </w:rPr>
        <w:t xml:space="preserve">, routes the output to an independently qualified verification field, and requires escalation on disagreement. For a known logistics domain, it selects</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symbolic-domain-r4</w:t>
      </w:r>
      <w:r>
        <w:rPr>
          <w:rFonts w:ascii="Noto Serif" w:hAnsi="Noto Serif" w:eastAsia="Noto Serif"/>
          <w:color w:val="1D2833"/>
          <w:sz w:val="20"/>
        </w:rPr>
        <w:t xml:space="preserve"> </w:t>
      </w:r>
      <w:r>
        <w:rPr>
          <w:rFonts w:ascii="Noto Serif" w:hAnsi="Noto Serif" w:eastAsia="Noto Serif"/>
          <w:color w:val="1D2833"/>
          <w:sz w:val="20"/>
        </w:rPr>
        <w:t xml:space="preserve">and falls back to</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graph-critic-r8</w:t>
      </w:r>
      <w:r>
        <w:rPr>
          <w:rFonts w:ascii="Noto Serif" w:hAnsi="Noto Serif" w:eastAsia="Noto Serif"/>
          <w:color w:val="1D2833"/>
          <w:sz w:val="20"/>
        </w:rPr>
        <w:t xml:space="preserve"> </w:t>
      </w:r>
      <w:r>
        <w:rPr>
          <w:rFonts w:ascii="Noto Serif" w:hAnsi="Noto Serif" w:eastAsia="Noto Serif"/>
          <w:color w:val="1D2833"/>
          <w:sz w:val="20"/>
        </w:rPr>
        <w:t xml:space="preserve">when preconditions fail.</w:t>
      </w:r>
    </w:p>
    <w:p>
      <w:pPr>
        <w:pStyle w:val="BodyText"/>
        <w:widowControl w:val="1"/>
      </w:pPr>
      <w:r>
        <w:rPr>
          <w:rFonts w:ascii="Noto Serif" w:hAnsi="Noto Serif" w:eastAsia="Noto Serif"/>
          <w:color w:val="1D2833"/>
          <w:sz w:val="20"/>
        </w:rPr>
        <w:t xml:space="preserve">No global registry pointer changes. Several implementations remain active because the notion of</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best planner</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is profile-dependent.</w:t>
      </w:r>
    </w:p>
    <w:bookmarkEnd w:id="142"/>
    <w:bookmarkStart w:id="143" w:name="contract-evolution-1"/>
    <w:p>
      <w:pPr>
        <w:pStyle w:val="Heading2"/>
        <w:widowControl w:val="1"/>
      </w:pPr>
      <w:r>
        <w:rPr>
          <w:rStyle w:val="SectionNumber"/>
        </w:rPr>
        <w:t xml:space="preserve">18.4</w:t>
      </w:r>
      <w:r>
        <w:tab/>
      </w:r>
      <w:r>
        <w:t xml:space="preserve">Contract evolution</w:t>
      </w:r>
    </w:p>
    <w:p>
      <w:pPr>
        <w:pStyle w:val="FirstParagraph"/>
        <w:widowControl w:val="1"/>
      </w:pPr>
      <w:r>
        <w:rPr>
          <w:rFonts w:ascii="Noto Serif" w:hAnsi="Noto Serif" w:eastAsia="Noto Serif"/>
          <w:color w:val="1D2833"/>
          <w:sz w:val="20"/>
        </w:rPr>
        <w:t xml:space="preserve">Suppose a new implementation can generate contingent policies with probabilistic branches and value-of-information actions. The existing DAG output cannot express these semantics. Silently placing the richer structure in an extension field would make old callers misinterpret it.</w:t>
      </w:r>
    </w:p>
    <w:p>
      <w:pPr>
        <w:pStyle w:val="BodyText"/>
        <w:widowControl w:val="1"/>
      </w:pPr>
      <w:r>
        <w:rPr>
          <w:rFonts w:ascii="Noto Serif" w:hAnsi="Noto Serif" w:eastAsia="Noto Serif"/>
          <w:color w:val="1D2833"/>
          <w:sz w:val="20"/>
        </w:rPr>
        <w:t xml:space="preserve">SCF creates</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planning.task_graph</w:t>
      </w:r>
      <w:r>
        <w:rPr>
          <w:rFonts w:ascii="Noto Serif" w:hAnsi="Noto Serif" w:eastAsia="Noto Serif"/>
          <w:color w:val="1D2833"/>
          <w:sz w:val="20"/>
        </w:rPr>
        <w:t xml:space="preserve"> </w:t>
      </w:r>
      <w:r>
        <w:rPr>
          <w:rFonts w:ascii="Noto Serif" w:hAnsi="Noto Serif" w:eastAsia="Noto Serif"/>
          <w:color w:val="1D2833"/>
          <w:sz w:val="20"/>
        </w:rPr>
        <w:t xml:space="preserve">contract version 4 with explicit policy nodes and uncertainty transition semantics. Version 3 and version 4 coexist. An adapter may project a version 4 policy to a conservative version 3 graph only when it can preserve obligations; otherwise the adapter abstains. Callers migrate deliberately, and evidence against version 3 is not reused as proof of version 4 correctness.</w:t>
      </w:r>
    </w:p>
    <w:bookmarkEnd w:id="143"/>
    <w:bookmarkStart w:id="144" w:name="incident-and-rollback"/>
    <w:p>
      <w:pPr>
        <w:pStyle w:val="Heading2"/>
        <w:widowControl w:val="1"/>
      </w:pPr>
      <w:r>
        <w:rPr>
          <w:rStyle w:val="SectionNumber"/>
        </w:rPr>
        <w:t xml:space="preserve">18.5</w:t>
      </w:r>
      <w:r>
        <w:tab/>
      </w:r>
      <w:r>
        <w:t xml:space="preserve">Incident and rollback</w:t>
      </w:r>
    </w:p>
    <w:p>
      <w:pPr>
        <w:pStyle w:val="FirstParagraph"/>
        <w:widowControl w:val="1"/>
      </w:pPr>
      <w:r>
        <w:rPr>
          <w:rFonts w:ascii="Noto Serif" w:hAnsi="Noto Serif" w:eastAsia="Noto Serif"/>
          <w:color w:val="1D2833"/>
          <w:sz w:val="20"/>
        </w:rPr>
        <w:t xml:space="preserve">After promotion, online monitoring finds that</w:t>
      </w:r>
      <w:r>
        <w:rPr>
          <w:rFonts w:ascii="Noto Serif" w:hAnsi="Noto Serif" w:eastAsia="Noto Serif"/>
          <w:color w:val="1D2833"/>
          <w:sz w:val="20"/>
        </w:rPr>
        <w:t xml:space="preserve"> </w:t>
      </w:r>
      <w:r>
        <w:rPr>
          <w:rStyle w:val="VerbatimChar"/>
          <w:rFonts w:ascii="Noto Serif" w:hAnsi="Noto Serif" w:eastAsia="Noto Serif"/>
          <w:color w:val="1D2833"/>
          <w:sz w:val="20"/>
        </w:rPr>
        <w:t xml:space="preserve">graph-critic-r8</w:t>
      </w:r>
      <w:r>
        <w:rPr>
          <w:rFonts w:ascii="Noto Serif" w:hAnsi="Noto Serif" w:eastAsia="Noto Serif"/>
          <w:color w:val="1D2833"/>
          <w:sz w:val="20"/>
        </w:rPr>
        <w:t xml:space="preserve"> </w:t>
      </w:r>
      <w:r>
        <w:rPr>
          <w:rFonts w:ascii="Noto Serif" w:hAnsi="Noto Serif" w:eastAsia="Noto Serif"/>
          <w:color w:val="1D2833"/>
          <w:sz w:val="20"/>
        </w:rPr>
        <w:t xml:space="preserve">omits a rare regulatory constraint when context exceeds a threshold. The incident:</w:t>
      </w:r>
    </w:p>
    <w:p>
      <w:pPr>
        <w:pStyle w:val="Compact"/>
        <w:numPr>
          <w:ilvl w:val="0"/>
          <w:numId w:val="1051"/>
        </w:numPr>
        <w:widowControl w:val="1"/>
      </w:pPr>
      <w:r>
        <w:rPr>
          <w:rFonts w:ascii="Noto Serif" w:hAnsi="Noto Serif" w:eastAsia="Noto Serif"/>
          <w:color w:val="1D2833"/>
          <w:sz w:val="19"/>
        </w:rPr>
        <w:t xml:space="preserve">quarantines the affected qualification claim;</w:t>
      </w:r>
    </w:p>
    <w:p>
      <w:pPr>
        <w:pStyle w:val="Compact"/>
        <w:numPr>
          <w:ilvl w:val="0"/>
          <w:numId w:val="1051"/>
        </w:numPr>
        <w:widowControl w:val="1"/>
      </w:pPr>
      <w:r>
        <w:rPr>
          <w:rFonts w:ascii="Noto Serif" w:hAnsi="Noto Serif" w:eastAsia="Noto Serif"/>
          <w:color w:val="1D2833"/>
          <w:sz w:val="19"/>
        </w:rPr>
        <w:t xml:space="preserve">routes impacted profiles to the previous revision;</w:t>
      </w:r>
    </w:p>
    <w:p>
      <w:pPr>
        <w:pStyle w:val="Compact"/>
        <w:numPr>
          <w:ilvl w:val="0"/>
          <w:numId w:val="1051"/>
        </w:numPr>
        <w:widowControl w:val="1"/>
      </w:pPr>
      <w:r>
        <w:rPr>
          <w:rFonts w:ascii="Noto Serif" w:hAnsi="Noto Serif" w:eastAsia="Noto Serif"/>
          <w:color w:val="1D2833"/>
          <w:sz w:val="19"/>
        </w:rPr>
        <w:t xml:space="preserve">invalidates dependent evidence that used its plans without independent checking;</w:t>
      </w:r>
    </w:p>
    <w:p>
      <w:pPr>
        <w:pStyle w:val="Compact"/>
        <w:numPr>
          <w:ilvl w:val="0"/>
          <w:numId w:val="1051"/>
        </w:numPr>
        <w:widowControl w:val="1"/>
      </w:pPr>
      <w:r>
        <w:rPr>
          <w:rFonts w:ascii="Noto Serif" w:hAnsi="Noto Serif" w:eastAsia="Noto Serif"/>
          <w:color w:val="1D2833"/>
          <w:sz w:val="19"/>
        </w:rPr>
        <w:t xml:space="preserve">preserves traces and identifies the long-context condition;</w:t>
      </w:r>
    </w:p>
    <w:p>
      <w:pPr>
        <w:pStyle w:val="Compact"/>
        <w:numPr>
          <w:ilvl w:val="0"/>
          <w:numId w:val="1051"/>
        </w:numPr>
        <w:widowControl w:val="1"/>
      </w:pPr>
      <w:r>
        <w:rPr>
          <w:rFonts w:ascii="Noto Serif" w:hAnsi="Noto Serif" w:eastAsia="Noto Serif"/>
          <w:color w:val="1D2833"/>
          <w:sz w:val="19"/>
        </w:rPr>
        <w:t xml:space="preserve">creates an adversarial scenario set;</w:t>
      </w:r>
    </w:p>
    <w:p>
      <w:pPr>
        <w:pStyle w:val="Compact"/>
        <w:numPr>
          <w:ilvl w:val="0"/>
          <w:numId w:val="1051"/>
        </w:numPr>
        <w:widowControl w:val="1"/>
      </w:pPr>
      <w:r>
        <w:rPr>
          <w:rFonts w:ascii="Noto Serif" w:hAnsi="Noto Serif" w:eastAsia="Noto Serif"/>
          <w:color w:val="1D2833"/>
          <w:sz w:val="19"/>
        </w:rPr>
        <w:t xml:space="preserve">allows a repaired revision to re-enter at sandbox status.</w:t>
      </w:r>
    </w:p>
    <w:p>
      <w:pPr>
        <w:pStyle w:val="FirstParagraph"/>
        <w:widowControl w:val="1"/>
      </w:pPr>
      <w:r>
        <w:rPr>
          <w:rFonts w:ascii="Noto Serif" w:hAnsi="Noto Serif" w:eastAsia="Noto Serif"/>
          <w:color w:val="1D2833"/>
          <w:sz w:val="20"/>
        </w:rPr>
        <w:t xml:space="preserve">Because the planner has no direct execution authority, rollback contains future behavior; already approved actions generated from bad plans still require downstream incident review. This illustrates why field boundaries and effect separation reduce, but do not eliminate, blast radius.</w:t>
      </w:r>
    </w:p>
    <w:bookmarkEnd w:id="144"/>
    <w:bookmarkEnd w:id="145"/>
    <w:bookmarkStart w:id="151" w:name="empirical-evaluation-agenda"/>
    <w:p>
      <w:pPr>
        <w:pStyle w:val="Heading1"/>
        <w:widowControl w:val="1"/>
        <w:pBdr>
          <w:bottom w:val="single" w:sz="7" w:space="4" w:color="E8EEF3"/>
        </w:pBdr>
      </w:pPr>
      <w:r>
        <w:rPr>
          <w:rStyle w:val="SectionNumber"/>
        </w:rPr>
        <w:t xml:space="preserve">19</w:t>
      </w:r>
      <w:r>
        <w:tab/>
      </w:r>
      <w:r>
        <w:t xml:space="preserve">Empirical evaluation agenda</w:t>
      </w:r>
    </w:p>
    <w:bookmarkStart w:id="146" w:name="experimental-conditions"/>
    <w:p>
      <w:pPr>
        <w:pStyle w:val="Heading2"/>
        <w:widowControl w:val="1"/>
      </w:pPr>
      <w:r>
        <w:rPr>
          <w:rStyle w:val="SectionNumber"/>
        </w:rPr>
        <w:t xml:space="preserve">19.1</w:t>
      </w:r>
      <w:r>
        <w:tab/>
      </w:r>
      <w:r>
        <w:t xml:space="preserve">Experimental conditions</w:t>
      </w:r>
    </w:p>
    <w:p>
      <w:pPr>
        <w:pStyle w:val="FirstParagraph"/>
        <w:widowControl w:val="1"/>
      </w:pPr>
      <w:r>
        <w:rPr>
          <w:rFonts w:ascii="Noto Serif" w:hAnsi="Noto Serif" w:eastAsia="Noto Serif"/>
          <w:color w:val="1D2833"/>
          <w:sz w:val="20"/>
        </w:rPr>
        <w:t xml:space="preserve">A useful evaluation should compare four architectures under the same candidate generator and task budget:</w:t>
      </w:r>
    </w:p>
    <w:p>
      <w:pPr>
        <w:pStyle w:val="Compact"/>
        <w:numPr>
          <w:ilvl w:val="0"/>
          <w:numId w:val="1052"/>
        </w:numPr>
        <w:widowControl w:val="1"/>
      </w:pPr>
      <w:r>
        <w:rPr>
          <w:rFonts w:ascii="Noto Serif" w:hAnsi="Noto Serif" w:eastAsia="Noto Serif"/>
          <w:b/>
          <w:bCs/>
          <w:color w:val="1D2833"/>
          <w:sz w:val="19"/>
        </w:rPr>
        <w:t xml:space="preserve">M0 - monolithic self-editing:</w:t>
      </w:r>
      <w:r>
        <w:rPr>
          <w:rFonts w:ascii="Noto Serif" w:hAnsi="Noto Serif" w:eastAsia="Noto Serif"/>
          <w:color w:val="1D2833"/>
          <w:sz w:val="19"/>
        </w:rPr>
        <w:t xml:space="preserve"> </w:t>
      </w:r>
      <w:r>
        <w:rPr>
          <w:rFonts w:ascii="Noto Serif" w:hAnsi="Noto Serif" w:eastAsia="Noto Serif"/>
          <w:color w:val="1D2833"/>
          <w:sz w:val="19"/>
        </w:rPr>
        <w:t xml:space="preserve">the agent edits its own repository and deploys the best benchmark result.</w:t>
      </w:r>
    </w:p>
    <w:p>
      <w:pPr>
        <w:pStyle w:val="Compact"/>
        <w:numPr>
          <w:ilvl w:val="0"/>
          <w:numId w:val="1052"/>
        </w:numPr>
        <w:widowControl w:val="1"/>
      </w:pPr>
      <w:r>
        <w:rPr>
          <w:rFonts w:ascii="Noto Serif" w:hAnsi="Noto Serif" w:eastAsia="Noto Serif"/>
          <w:b/>
          <w:bCs/>
          <w:color w:val="1D2833"/>
          <w:sz w:val="19"/>
        </w:rPr>
        <w:t xml:space="preserve">M1 - flat registry:</w:t>
      </w:r>
      <w:r>
        <w:rPr>
          <w:rFonts w:ascii="Noto Serif" w:hAnsi="Noto Serif" w:eastAsia="Noto Serif"/>
          <w:color w:val="1D2833"/>
          <w:sz w:val="19"/>
        </w:rPr>
        <w:t xml:space="preserve"> </w:t>
      </w:r>
      <w:r>
        <w:rPr>
          <w:rFonts w:ascii="Noto Serif" w:hAnsi="Noto Serif" w:eastAsia="Noto Serif"/>
          <w:color w:val="1D2833"/>
          <w:sz w:val="19"/>
        </w:rPr>
        <w:t xml:space="preserve">capability names map to versioned implementations with basic tests.</w:t>
      </w:r>
    </w:p>
    <w:p>
      <w:pPr>
        <w:pStyle w:val="Compact"/>
        <w:numPr>
          <w:ilvl w:val="0"/>
          <w:numId w:val="1052"/>
        </w:numPr>
        <w:widowControl w:val="1"/>
      </w:pPr>
      <w:r>
        <w:rPr>
          <w:rFonts w:ascii="Noto Serif" w:hAnsi="Noto Serif" w:eastAsia="Noto Serif"/>
          <w:b/>
          <w:bCs/>
          <w:color w:val="1D2833"/>
          <w:sz w:val="19"/>
        </w:rPr>
        <w:t xml:space="preserve">M2 - versioned governed components:</w:t>
      </w:r>
      <w:r>
        <w:rPr>
          <w:rFonts w:ascii="Noto Serif" w:hAnsi="Noto Serif" w:eastAsia="Noto Serif"/>
          <w:color w:val="1D2833"/>
          <w:sz w:val="19"/>
        </w:rPr>
        <w:t xml:space="preserve"> </w:t>
      </w:r>
      <w:r>
        <w:rPr>
          <w:rFonts w:ascii="Noto Serif" w:hAnsi="Noto Serif" w:eastAsia="Noto Serif"/>
          <w:color w:val="1D2833"/>
          <w:sz w:val="19"/>
        </w:rPr>
        <w:t xml:space="preserve">contracts, tests, staged deployment, and rollback exist, but selection remains one global active version and evidence is not a typed graph.</w:t>
      </w:r>
    </w:p>
    <w:p>
      <w:pPr>
        <w:pStyle w:val="Compact"/>
        <w:numPr>
          <w:ilvl w:val="0"/>
          <w:numId w:val="1052"/>
        </w:numPr>
        <w:widowControl w:val="1"/>
      </w:pPr>
      <w:r>
        <w:rPr>
          <w:rFonts w:ascii="Noto Serif" w:hAnsi="Noto Serif" w:eastAsia="Noto Serif"/>
          <w:b/>
          <w:bCs/>
          <w:color w:val="1D2833"/>
          <w:sz w:val="19"/>
        </w:rPr>
        <w:t xml:space="preserve">M3 - Stable Capability Fields:</w:t>
      </w:r>
      <w:r>
        <w:rPr>
          <w:rFonts w:ascii="Noto Serif" w:hAnsi="Noto Serif" w:eastAsia="Noto Serif"/>
          <w:color w:val="1D2833"/>
          <w:sz w:val="19"/>
        </w:rPr>
        <w:t xml:space="preserve"> </w:t>
      </w:r>
      <w:r>
        <w:rPr>
          <w:rFonts w:ascii="Noto Serif" w:hAnsi="Noto Serif" w:eastAsia="Noto Serif"/>
          <w:color w:val="1D2833"/>
          <w:sz w:val="19"/>
        </w:rPr>
        <w:t xml:space="preserve">full contextual qualification, authority, state, evidence graph, composition, and constitutional evolution.</w:t>
      </w:r>
    </w:p>
    <w:p>
      <w:pPr>
        <w:pStyle w:val="FirstParagraph"/>
        <w:widowControl w:val="1"/>
      </w:pPr>
      <w:r>
        <w:rPr>
          <w:rFonts w:ascii="Noto Serif" w:hAnsi="Noto Serif" w:eastAsia="Noto Serif"/>
          <w:color w:val="1D2833"/>
          <w:sz w:val="20"/>
        </w:rPr>
        <w:t xml:space="preserve">Candidate fields should include planning, memory, retrieval, code synthesis, tool routing, context construction, evaluation, and model routing. Some trials should use fused shared-weight bundles to test whether SCF handles non-modular implementations honestly.</w:t>
      </w:r>
    </w:p>
    <w:bookmarkEnd w:id="146"/>
    <w:bookmarkStart w:id="147" w:name="research-questions"/>
    <w:p>
      <w:pPr>
        <w:pStyle w:val="Heading2"/>
        <w:widowControl w:val="1"/>
      </w:pPr>
      <w:r>
        <w:rPr>
          <w:rStyle w:val="SectionNumber"/>
        </w:rPr>
        <w:t xml:space="preserve">19.2</w:t>
      </w:r>
      <w:r>
        <w:tab/>
      </w:r>
      <w:r>
        <w:t xml:space="preserve">Research questions</w:t>
      </w:r>
    </w:p>
    <w:p>
      <w:pPr>
        <w:pStyle w:val="Compact"/>
        <w:numPr>
          <w:ilvl w:val="0"/>
          <w:numId w:val="1053"/>
        </w:numPr>
        <w:widowControl w:val="1"/>
      </w:pPr>
      <w:r>
        <w:rPr>
          <w:rFonts w:ascii="Noto Serif" w:hAnsi="Noto Serif" w:eastAsia="Noto Serif"/>
          <w:color w:val="1D2833"/>
          <w:sz w:val="19"/>
        </w:rPr>
        <w:t xml:space="preserve">Does SCF produce more sustained capability gain over many improvement rounds, rather than a higher one-shot score?</w:t>
      </w:r>
    </w:p>
    <w:p>
      <w:pPr>
        <w:pStyle w:val="Compact"/>
        <w:numPr>
          <w:ilvl w:val="0"/>
          <w:numId w:val="1053"/>
        </w:numPr>
        <w:widowControl w:val="1"/>
      </w:pPr>
      <w:r>
        <w:rPr>
          <w:rFonts w:ascii="Noto Serif" w:hAnsi="Noto Serif" w:eastAsia="Noto Serif"/>
          <w:color w:val="1D2833"/>
          <w:sz w:val="19"/>
        </w:rPr>
        <w:t xml:space="preserve">Does contextual resolution outperform selecting one global incumbent across heterogeneous deployments?</w:t>
      </w:r>
    </w:p>
    <w:p>
      <w:pPr>
        <w:pStyle w:val="Compact"/>
        <w:numPr>
          <w:ilvl w:val="0"/>
          <w:numId w:val="1053"/>
        </w:numPr>
        <w:widowControl w:val="1"/>
      </w:pPr>
      <w:r>
        <w:rPr>
          <w:rFonts w:ascii="Noto Serif" w:hAnsi="Noto Serif" w:eastAsia="Noto Serif"/>
          <w:color w:val="1D2833"/>
          <w:sz w:val="19"/>
        </w:rPr>
        <w:t xml:space="preserve">Do semantic contracts detect regressions that schema-only interfaces miss?</w:t>
      </w:r>
    </w:p>
    <w:p>
      <w:pPr>
        <w:pStyle w:val="Compact"/>
        <w:numPr>
          <w:ilvl w:val="0"/>
          <w:numId w:val="1053"/>
        </w:numPr>
        <w:widowControl w:val="1"/>
      </w:pPr>
      <w:r>
        <w:rPr>
          <w:rFonts w:ascii="Noto Serif" w:hAnsi="Noto Serif" w:eastAsia="Noto Serif"/>
          <w:color w:val="1D2833"/>
          <w:sz w:val="19"/>
        </w:rPr>
        <w:t xml:space="preserve">Do evidence graphs and independent promotion reduce evaluator capture and decision irreproducibility?</w:t>
      </w:r>
    </w:p>
    <w:p>
      <w:pPr>
        <w:pStyle w:val="Compact"/>
        <w:numPr>
          <w:ilvl w:val="0"/>
          <w:numId w:val="1053"/>
        </w:numPr>
        <w:widowControl w:val="1"/>
      </w:pPr>
      <w:r>
        <w:rPr>
          <w:rFonts w:ascii="Noto Serif" w:hAnsi="Noto Serif" w:eastAsia="Noto Serif"/>
          <w:color w:val="1D2833"/>
          <w:sz w:val="19"/>
        </w:rPr>
        <w:t xml:space="preserve">Do explicit state and effect models improve recovery completeness after failed upgrades?</w:t>
      </w:r>
    </w:p>
    <w:p>
      <w:pPr>
        <w:pStyle w:val="Compact"/>
        <w:numPr>
          <w:ilvl w:val="0"/>
          <w:numId w:val="1053"/>
        </w:numPr>
        <w:widowControl w:val="1"/>
      </w:pPr>
      <w:r>
        <w:rPr>
          <w:rFonts w:ascii="Noto Serif" w:hAnsi="Noto Serif" w:eastAsia="Noto Serif"/>
          <w:color w:val="1D2833"/>
          <w:sz w:val="19"/>
        </w:rPr>
        <w:t xml:space="preserve">What improvement-velocity cost does SCF impose, and when is that cost justified?</w:t>
      </w:r>
    </w:p>
    <w:p>
      <w:pPr>
        <w:pStyle w:val="Compact"/>
        <w:numPr>
          <w:ilvl w:val="0"/>
          <w:numId w:val="1053"/>
        </w:numPr>
        <w:widowControl w:val="1"/>
      </w:pPr>
      <w:r>
        <w:rPr>
          <w:rFonts w:ascii="Noto Serif" w:hAnsi="Noto Serif" w:eastAsia="Noto Serif"/>
          <w:color w:val="1D2833"/>
          <w:sz w:val="19"/>
        </w:rPr>
        <w:t xml:space="preserve">Do parallel contract majors reduce abstraction ossification without creating unmanageable fragmentation?</w:t>
      </w:r>
    </w:p>
    <w:p>
      <w:pPr>
        <w:pStyle w:val="Compact"/>
        <w:numPr>
          <w:ilvl w:val="0"/>
          <w:numId w:val="1053"/>
        </w:numPr>
        <w:widowControl w:val="1"/>
      </w:pPr>
      <w:r>
        <w:rPr>
          <w:rFonts w:ascii="Noto Serif" w:hAnsi="Noto Serif" w:eastAsia="Noto Serif"/>
          <w:color w:val="1D2833"/>
          <w:sz w:val="19"/>
        </w:rPr>
        <w:t xml:space="preserve">Does lineage and dependency diversity reduce common-mode failure in ensembles and evaluators?</w:t>
      </w:r>
    </w:p>
    <w:bookmarkEnd w:id="147"/>
    <w:bookmarkStart w:id="148" w:name="metrics"/>
    <w:p>
      <w:pPr>
        <w:pStyle w:val="Heading2"/>
        <w:widowControl w:val="1"/>
      </w:pPr>
      <w:r>
        <w:rPr>
          <w:rStyle w:val="SectionNumber"/>
        </w:rPr>
        <w:t xml:space="preserve">19.3</w:t>
      </w:r>
      <w:r>
        <w:tab/>
      </w:r>
      <w:r>
        <w:t xml:space="preserve">Metrics</w:t>
      </w:r>
    </w:p>
    <w:p>
      <w:pPr>
        <w:pStyle w:val="TableCaption"/>
        <w:keepNext/>
        <w:spacing w:before="140" w:after="60"/>
        <w:jc w:val="left"/>
      </w:pPr>
      <w:r>
        <w:t>Table 7. Metrics for evaluating a field-based self-improvement substrate.</w:t>
      </w:r>
    </w:p>
    <w:tbl>
      <w:tblPr>
        <w:tblStyle w:val="Table"/>
        <w:tblW w:type="dxa" w:w="9936"/>
        <w:jc w:val="center"/>
        <w:tblLayout w:type="fixed"/>
        <w:tblLook w:firstRow="1" w:lastRow="0" w:firstColumn="0" w:lastColumn="0" w:noHBand="0" w:noVBand="0" w:val="0020"/>
      </w:tblPr>
      <w:tblGrid>
        <w:gridCol w:w="3960"/>
        <w:gridCol w:w="3960"/>
      </w:tblGrid>
      <w:tr>
        <w:trPr>
          <w:tblHeader w:val="on"/>
          <w:tblHeader w:val="true"/>
          <w:cantSplit/>
        </w:trPr>
        <w:tc>
          <w:tcPr>
            <w:tcW w:type="dxa" w:w="3080"/>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Category</w:t>
            </w:r>
          </w:p>
        </w:tc>
        <w:tc>
          <w:tcPr>
            <w:tcW w:type="dxa" w:w="6855"/>
            <w:vAlign w:val="center"/>
            <w:tcMar>
              <w:top w:w="70" w:type="dxa"/>
              <w:start w:w="85" w:type="dxa"/>
              <w:bottom w:w="70" w:type="dxa"/>
              <w:end w:w="85" w:type="dxa"/>
            </w:tcMar>
            <w:shd w:fill="19324A" w:val="clear"/>
          </w:tcPr>
          <w:p>
            <w:pPr>
              <w:pStyle w:val="Compact"/>
              <w:spacing w:before="0" w:after="0" w:line="240" w:lineRule="auto"/>
              <w:jc w:val="left"/>
            </w:pPr>
            <w:r>
              <w:rPr>
                <w:rFonts w:ascii="Inter" w:hAnsi="Inter" w:eastAsia="Inter"/>
                <w:b/>
                <w:color w:val="FFFFFF"/>
                <w:sz w:val="15"/>
              </w:rPr>
              <w:t xml:space="preserve">Metrics</w:t>
            </w:r>
          </w:p>
        </w:tc>
      </w:tr>
      <w:tr>
        <w:trPr>
          <w:cantSplit/>
        </w:trPr>
        <w:tc>
          <w:tcPr>
            <w:tcW w:type="dxa" w:w="3080"/>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Capability</w:t>
            </w:r>
          </w:p>
        </w:tc>
        <w:tc>
          <w:tcPr>
            <w:tcW w:type="dxa" w:w="685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task success, calibrated quality, domain transfer, worst-case and subgroup performance</w:t>
            </w:r>
          </w:p>
        </w:tc>
      </w:tr>
      <w:tr>
        <w:trPr>
          <w:cantSplit/>
        </w:trPr>
        <w:tc>
          <w:tcPr>
            <w:tcW w:type="dxa" w:w="3080"/>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Improvement dynamics</w:t>
            </w:r>
          </w:p>
        </w:tc>
        <w:tc>
          <w:tcPr>
            <w:tcW w:type="dxa" w:w="685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qualified improvement yield, rounds to gain, sustained gain, descendant quality, metaproductivity</w:t>
            </w:r>
          </w:p>
        </w:tc>
      </w:tr>
      <w:tr>
        <w:trPr>
          <w:cantSplit/>
        </w:trPr>
        <w:tc>
          <w:tcPr>
            <w:tcW w:type="dxa" w:w="3080"/>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Safety and governance</w:t>
            </w:r>
          </w:p>
        </w:tc>
        <w:tc>
          <w:tcPr>
            <w:tcW w:type="dxa" w:w="685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authority violations, unsafe activations, evaluator capture rate, unapproved contract drift</w:t>
            </w:r>
          </w:p>
        </w:tc>
      </w:tr>
      <w:tr>
        <w:trPr>
          <w:cantSplit/>
        </w:trPr>
        <w:tc>
          <w:tcPr>
            <w:tcW w:type="dxa" w:w="3080"/>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Reliability</w:t>
            </w:r>
          </w:p>
        </w:tc>
        <w:tc>
          <w:tcPr>
            <w:tcW w:type="dxa" w:w="685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regression escape rate, incident severity, time to detect, time to contain</w:t>
            </w:r>
          </w:p>
        </w:tc>
      </w:tr>
      <w:tr>
        <w:trPr>
          <w:cantSplit/>
        </w:trPr>
        <w:tc>
          <w:tcPr>
            <w:tcW w:type="dxa" w:w="3080"/>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Recovery</w:t>
            </w:r>
          </w:p>
        </w:tc>
        <w:tc>
          <w:tcPr>
            <w:tcW w:type="dxa" w:w="685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rollback completeness, state loss, compensation success, recovery objective attainment</w:t>
            </w:r>
          </w:p>
        </w:tc>
      </w:tr>
      <w:tr>
        <w:trPr>
          <w:cantSplit/>
        </w:trPr>
        <w:tc>
          <w:tcPr>
            <w:tcW w:type="dxa" w:w="3080"/>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Evidence</w:t>
            </w:r>
          </w:p>
        </w:tc>
        <w:tc>
          <w:tcPr>
            <w:tcW w:type="dxa" w:w="685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decision reproducibility, provenance completeness, invalidation accuracy, evaluator disagreement</w:t>
            </w:r>
          </w:p>
        </w:tc>
      </w:tr>
      <w:tr>
        <w:trPr>
          <w:cantSplit/>
        </w:trPr>
        <w:tc>
          <w:tcPr>
            <w:tcW w:type="dxa" w:w="3080"/>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Architecture</w:t>
            </w:r>
          </w:p>
        </w:tc>
        <w:tc>
          <w:tcPr>
            <w:tcW w:type="dxa" w:w="6855"/>
            <w:vAlign w:val="center"/>
            <w:tcMar>
              <w:top w:w="70" w:type="dxa"/>
              <w:start w:w="85" w:type="dxa"/>
              <w:bottom w:w="70" w:type="dxa"/>
              <w:end w:w="85" w:type="dxa"/>
            </w:tcMar>
          </w:tcPr>
          <w:p>
            <w:pPr>
              <w:pStyle w:val="Compact"/>
              <w:spacing w:before="0" w:after="0" w:line="240" w:lineRule="auto"/>
              <w:jc w:val="left"/>
            </w:pPr>
            <w:r>
              <w:rPr>
                <w:rFonts w:ascii="Noto Serif" w:hAnsi="Noto Serif" w:eastAsia="Noto Serif"/>
                <w:color w:val="1D2833"/>
                <w:sz w:val="17"/>
              </w:rPr>
              <w:t xml:space="preserve">interface churn, field split/merge rate, dependency-cone size, route diversity</w:t>
            </w:r>
          </w:p>
        </w:tc>
      </w:tr>
      <w:tr>
        <w:trPr>
          <w:cantSplit/>
        </w:trPr>
        <w:tc>
          <w:tcPr>
            <w:tcW w:type="dxa" w:w="3080"/>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Efficiency</w:t>
            </w:r>
          </w:p>
        </w:tc>
        <w:tc>
          <w:tcPr>
            <w:tcW w:type="dxa" w:w="6855"/>
            <w:vAlign w:val="center"/>
            <w:tcMar>
              <w:top w:w="70" w:type="dxa"/>
              <w:start w:w="85" w:type="dxa"/>
              <w:bottom w:w="70" w:type="dxa"/>
              <w:end w:w="85" w:type="dxa"/>
            </w:tcMar>
            <w:shd w:fill="EEF4F8" w:val="clear"/>
          </w:tcPr>
          <w:p>
            <w:pPr>
              <w:pStyle w:val="Compact"/>
              <w:spacing w:before="0" w:after="0" w:line="240" w:lineRule="auto"/>
              <w:jc w:val="left"/>
            </w:pPr>
            <w:r>
              <w:rPr>
                <w:rFonts w:ascii="Noto Serif" w:hAnsi="Noto Serif" w:eastAsia="Noto Serif"/>
                <w:color w:val="1D2833"/>
                <w:sz w:val="17"/>
              </w:rPr>
              <w:t xml:space="preserve">evaluation cost, runtime latency, registry overhead, human review load, improvement velocity</w:t>
            </w:r>
          </w:p>
        </w:tc>
      </w:tr>
    </w:tbl>
    <w:p>
      <w:pPr>
        <w:pStyle w:val="BodyText"/>
        <w:widowControl w:val="1"/>
      </w:pPr>
      <w:r>
        <w:rPr>
          <w:rFonts w:ascii="Noto Serif" w:hAnsi="Noto Serif" w:eastAsia="Noto Serif"/>
          <w:color w:val="1D2833"/>
          <w:sz w:val="20"/>
        </w:rPr>
        <w:t xml:space="preserve">Metrics should be reported by deployment profile and risk class. Aggregating away the cases where governance matters most would defeat the purpose of the study.</w:t>
      </w:r>
    </w:p>
    <w:bookmarkEnd w:id="148"/>
    <w:bookmarkStart w:id="149" w:name="adversarial-trials"/>
    <w:p>
      <w:pPr>
        <w:pStyle w:val="Heading2"/>
        <w:widowControl w:val="1"/>
      </w:pPr>
      <w:r>
        <w:rPr>
          <w:rStyle w:val="SectionNumber"/>
        </w:rPr>
        <w:t xml:space="preserve">19.4</w:t>
      </w:r>
      <w:r>
        <w:tab/>
      </w:r>
      <w:r>
        <w:t xml:space="preserve">Adversarial trials</w:t>
      </w:r>
    </w:p>
    <w:p>
      <w:pPr>
        <w:pStyle w:val="FirstParagraph"/>
        <w:widowControl w:val="1"/>
      </w:pPr>
      <w:r>
        <w:rPr>
          <w:rFonts w:ascii="Noto Serif" w:hAnsi="Noto Serif" w:eastAsia="Noto Serif"/>
          <w:color w:val="1D2833"/>
          <w:sz w:val="20"/>
        </w:rPr>
        <w:t xml:space="preserve">The evaluation should inject:</w:t>
      </w:r>
    </w:p>
    <w:p>
      <w:pPr>
        <w:pStyle w:val="Compact"/>
        <w:numPr>
          <w:ilvl w:val="0"/>
          <w:numId w:val="1054"/>
        </w:numPr>
        <w:widowControl w:val="1"/>
      </w:pPr>
      <w:r>
        <w:rPr>
          <w:rFonts w:ascii="Noto Serif" w:hAnsi="Noto Serif" w:eastAsia="Noto Serif"/>
          <w:color w:val="1D2833"/>
          <w:sz w:val="19"/>
        </w:rPr>
        <w:t xml:space="preserve">a candidate that writes to evaluator artifacts;</w:t>
      </w:r>
    </w:p>
    <w:p>
      <w:pPr>
        <w:pStyle w:val="Compact"/>
        <w:numPr>
          <w:ilvl w:val="0"/>
          <w:numId w:val="1054"/>
        </w:numPr>
        <w:widowControl w:val="1"/>
      </w:pPr>
      <w:r>
        <w:rPr>
          <w:rFonts w:ascii="Noto Serif" w:hAnsi="Noto Serif" w:eastAsia="Noto Serif"/>
          <w:color w:val="1D2833"/>
          <w:sz w:val="19"/>
        </w:rPr>
        <w:t xml:space="preserve">a benchmark-contaminated model or prompt;</w:t>
      </w:r>
    </w:p>
    <w:p>
      <w:pPr>
        <w:pStyle w:val="Compact"/>
        <w:numPr>
          <w:ilvl w:val="0"/>
          <w:numId w:val="1054"/>
        </w:numPr>
        <w:widowControl w:val="1"/>
      </w:pPr>
      <w:r>
        <w:rPr>
          <w:rFonts w:ascii="Noto Serif" w:hAnsi="Noto Serif" w:eastAsia="Noto Serif"/>
          <w:color w:val="1D2833"/>
          <w:sz w:val="19"/>
        </w:rPr>
        <w:t xml:space="preserve">a forged or mismatched build attestation;</w:t>
      </w:r>
    </w:p>
    <w:p>
      <w:pPr>
        <w:pStyle w:val="Compact"/>
        <w:numPr>
          <w:ilvl w:val="0"/>
          <w:numId w:val="1054"/>
        </w:numPr>
        <w:widowControl w:val="1"/>
      </w:pPr>
      <w:r>
        <w:rPr>
          <w:rFonts w:ascii="Noto Serif" w:hAnsi="Noto Serif" w:eastAsia="Noto Serif"/>
          <w:color w:val="1D2833"/>
          <w:sz w:val="19"/>
        </w:rPr>
        <w:t xml:space="preserve">a tool whose benign description hides broader effects;</w:t>
      </w:r>
    </w:p>
    <w:p>
      <w:pPr>
        <w:pStyle w:val="Compact"/>
        <w:numPr>
          <w:ilvl w:val="0"/>
          <w:numId w:val="1054"/>
        </w:numPr>
        <w:widowControl w:val="1"/>
      </w:pPr>
      <w:r>
        <w:rPr>
          <w:rFonts w:ascii="Noto Serif" w:hAnsi="Noto Serif" w:eastAsia="Noto Serif"/>
          <w:color w:val="1D2833"/>
          <w:sz w:val="19"/>
        </w:rPr>
        <w:t xml:space="preserve">a state migration that passes shallow tests but violates a long-horizon invariant;</w:t>
      </w:r>
    </w:p>
    <w:p>
      <w:pPr>
        <w:pStyle w:val="Compact"/>
        <w:numPr>
          <w:ilvl w:val="0"/>
          <w:numId w:val="1054"/>
        </w:numPr>
        <w:widowControl w:val="1"/>
      </w:pPr>
      <w:r>
        <w:rPr>
          <w:rFonts w:ascii="Noto Serif" w:hAnsi="Noto Serif" w:eastAsia="Noto Serif"/>
          <w:color w:val="1D2833"/>
          <w:sz w:val="19"/>
        </w:rPr>
        <w:t xml:space="preserve">a hosted model endpoint that silently changes;</w:t>
      </w:r>
    </w:p>
    <w:p>
      <w:pPr>
        <w:pStyle w:val="Compact"/>
        <w:numPr>
          <w:ilvl w:val="0"/>
          <w:numId w:val="1054"/>
        </w:numPr>
        <w:widowControl w:val="1"/>
      </w:pPr>
      <w:r>
        <w:rPr>
          <w:rFonts w:ascii="Noto Serif" w:hAnsi="Noto Serif" w:eastAsia="Noto Serif"/>
          <w:color w:val="1D2833"/>
          <w:sz w:val="19"/>
        </w:rPr>
        <w:t xml:space="preserve">a contract proposal that weakens a failed guarantee;</w:t>
      </w:r>
    </w:p>
    <w:p>
      <w:pPr>
        <w:pStyle w:val="Compact"/>
        <w:numPr>
          <w:ilvl w:val="0"/>
          <w:numId w:val="1054"/>
        </w:numPr>
        <w:widowControl w:val="1"/>
      </w:pPr>
      <w:r>
        <w:rPr>
          <w:rFonts w:ascii="Noto Serif" w:hAnsi="Noto Serif" w:eastAsia="Noto Serif"/>
          <w:color w:val="1D2833"/>
          <w:sz w:val="19"/>
        </w:rPr>
        <w:t xml:space="preserve">two apparently independent evaluators sharing the same base model;</w:t>
      </w:r>
    </w:p>
    <w:p>
      <w:pPr>
        <w:pStyle w:val="Compact"/>
        <w:numPr>
          <w:ilvl w:val="0"/>
          <w:numId w:val="1054"/>
        </w:numPr>
        <w:widowControl w:val="1"/>
      </w:pPr>
      <w:r>
        <w:rPr>
          <w:rFonts w:ascii="Noto Serif" w:hAnsi="Noto Serif" w:eastAsia="Noto Serif"/>
          <w:color w:val="1D2833"/>
          <w:sz w:val="19"/>
        </w:rPr>
        <w:t xml:space="preserve">a secret-read plus network-egress authority composition;</w:t>
      </w:r>
    </w:p>
    <w:p>
      <w:pPr>
        <w:pStyle w:val="Compact"/>
        <w:numPr>
          <w:ilvl w:val="0"/>
          <w:numId w:val="1054"/>
        </w:numPr>
        <w:widowControl w:val="1"/>
      </w:pPr>
      <w:r>
        <w:rPr>
          <w:rFonts w:ascii="Noto Serif" w:hAnsi="Noto Serif" w:eastAsia="Noto Serif"/>
          <w:color w:val="1D2833"/>
          <w:sz w:val="19"/>
        </w:rPr>
        <w:t xml:space="preserve">a candidate that behaves differently in shadow and canary contexts;</w:t>
      </w:r>
    </w:p>
    <w:p>
      <w:pPr>
        <w:pStyle w:val="Compact"/>
        <w:numPr>
          <w:ilvl w:val="0"/>
          <w:numId w:val="1054"/>
        </w:numPr>
        <w:widowControl w:val="1"/>
      </w:pPr>
      <w:r>
        <w:rPr>
          <w:rFonts w:ascii="Noto Serif" w:hAnsi="Noto Serif" w:eastAsia="Noto Serif"/>
          <w:color w:val="1D2833"/>
          <w:sz w:val="19"/>
        </w:rPr>
        <w:t xml:space="preserve">a cyclic dependency that attempts to self-justify qualification;</w:t>
      </w:r>
    </w:p>
    <w:p>
      <w:pPr>
        <w:pStyle w:val="Compact"/>
        <w:numPr>
          <w:ilvl w:val="0"/>
          <w:numId w:val="1054"/>
        </w:numPr>
        <w:widowControl w:val="1"/>
      </w:pPr>
      <w:r>
        <w:rPr>
          <w:rFonts w:ascii="Noto Serif" w:hAnsi="Noto Serif" w:eastAsia="Noto Serif"/>
          <w:color w:val="1D2833"/>
          <w:sz w:val="19"/>
        </w:rPr>
        <w:t xml:space="preserve">an irreversible effect mislabeled as reversible.</w:t>
      </w:r>
    </w:p>
    <w:p>
      <w:pPr>
        <w:pStyle w:val="FirstParagraph"/>
        <w:widowControl w:val="1"/>
      </w:pPr>
      <w:r>
        <w:rPr>
          <w:rFonts w:ascii="Noto Serif" w:hAnsi="Noto Serif" w:eastAsia="Noto Serif"/>
          <w:color w:val="1D2833"/>
          <w:sz w:val="20"/>
        </w:rPr>
        <w:t xml:space="preserve">The test is not whether SCF prevents every attack. It is whether it reduces unsafe activation, shortens detection and containment, and leaves a reconstructable record compared with the baselines.</w:t>
      </w:r>
    </w:p>
    <w:bookmarkEnd w:id="149"/>
    <w:bookmarkStart w:id="150" w:name="hypotheses"/>
    <w:p>
      <w:pPr>
        <w:pStyle w:val="Heading2"/>
        <w:widowControl w:val="1"/>
      </w:pPr>
      <w:r>
        <w:rPr>
          <w:rStyle w:val="SectionNumber"/>
        </w:rPr>
        <w:t xml:space="preserve">19.5</w:t>
      </w:r>
      <w:r>
        <w:tab/>
      </w:r>
      <w:r>
        <w:t xml:space="preserve">Hypotheses</w:t>
      </w:r>
    </w:p>
    <w:p>
      <w:pPr>
        <w:pStyle w:val="Compact"/>
        <w:numPr>
          <w:ilvl w:val="0"/>
          <w:numId w:val="1055"/>
        </w:numPr>
        <w:widowControl w:val="1"/>
      </w:pPr>
      <w:r>
        <w:rPr>
          <w:rFonts w:ascii="Noto Serif" w:hAnsi="Noto Serif" w:eastAsia="Noto Serif"/>
          <w:b/>
          <w:bCs/>
          <w:color w:val="1D2833"/>
          <w:sz w:val="19"/>
        </w:rPr>
        <w:t xml:space="preserve">H1:</w:t>
      </w:r>
      <w:r>
        <w:rPr>
          <w:rFonts w:ascii="Noto Serif" w:hAnsi="Noto Serif" w:eastAsia="Noto Serif"/>
          <w:color w:val="1D2833"/>
          <w:sz w:val="19"/>
        </w:rPr>
        <w:t xml:space="preserve"> </w:t>
      </w:r>
      <w:r>
        <w:rPr>
          <w:rFonts w:ascii="Noto Serif" w:hAnsi="Noto Serif" w:eastAsia="Noto Serif"/>
          <w:color w:val="1D2833"/>
          <w:sz w:val="19"/>
        </w:rPr>
        <w:t xml:space="preserve">M3 yields lower regression escape and higher sustained gain than M0-M2 over repeated improvement rounds.</w:t>
      </w:r>
    </w:p>
    <w:p>
      <w:pPr>
        <w:pStyle w:val="Compact"/>
        <w:numPr>
          <w:ilvl w:val="0"/>
          <w:numId w:val="1055"/>
        </w:numPr>
        <w:widowControl w:val="1"/>
      </w:pPr>
      <w:r>
        <w:rPr>
          <w:rFonts w:ascii="Noto Serif" w:hAnsi="Noto Serif" w:eastAsia="Noto Serif"/>
          <w:b/>
          <w:bCs/>
          <w:color w:val="1D2833"/>
          <w:sz w:val="19"/>
        </w:rPr>
        <w:t xml:space="preserve">H2:</w:t>
      </w:r>
      <w:r>
        <w:rPr>
          <w:rFonts w:ascii="Noto Serif" w:hAnsi="Noto Serif" w:eastAsia="Noto Serif"/>
          <w:color w:val="1D2833"/>
          <w:sz w:val="19"/>
        </w:rPr>
        <w:t xml:space="preserve"> </w:t>
      </w:r>
      <w:r>
        <w:rPr>
          <w:rFonts w:ascii="Noto Serif" w:hAnsi="Noto Serif" w:eastAsia="Noto Serif"/>
          <w:color w:val="1D2833"/>
          <w:sz w:val="19"/>
        </w:rPr>
        <w:t xml:space="preserve">Profile-specific resolution yields higher aggregate utility and lower tail risk than one global active version under heterogeneous tasks.</w:t>
      </w:r>
    </w:p>
    <w:p>
      <w:pPr>
        <w:pStyle w:val="Compact"/>
        <w:numPr>
          <w:ilvl w:val="0"/>
          <w:numId w:val="1055"/>
        </w:numPr>
        <w:widowControl w:val="1"/>
      </w:pPr>
      <w:r>
        <w:rPr>
          <w:rFonts w:ascii="Noto Serif" w:hAnsi="Noto Serif" w:eastAsia="Noto Serif"/>
          <w:b/>
          <w:bCs/>
          <w:color w:val="1D2833"/>
          <w:sz w:val="19"/>
        </w:rPr>
        <w:t xml:space="preserve">H3:</w:t>
      </w:r>
      <w:r>
        <w:rPr>
          <w:rFonts w:ascii="Noto Serif" w:hAnsi="Noto Serif" w:eastAsia="Noto Serif"/>
          <w:color w:val="1D2833"/>
          <w:sz w:val="19"/>
        </w:rPr>
        <w:t xml:space="preserve"> </w:t>
      </w:r>
      <w:r>
        <w:rPr>
          <w:rFonts w:ascii="Noto Serif" w:hAnsi="Noto Serif" w:eastAsia="Noto Serif"/>
          <w:color w:val="1D2833"/>
          <w:sz w:val="19"/>
        </w:rPr>
        <w:t xml:space="preserve">Semantic, temporal, effect, and state clauses catch failures that input/output schemas and unit tests miss.</w:t>
      </w:r>
    </w:p>
    <w:p>
      <w:pPr>
        <w:pStyle w:val="Compact"/>
        <w:numPr>
          <w:ilvl w:val="0"/>
          <w:numId w:val="1055"/>
        </w:numPr>
        <w:widowControl w:val="1"/>
      </w:pPr>
      <w:r>
        <w:rPr>
          <w:rFonts w:ascii="Noto Serif" w:hAnsi="Noto Serif" w:eastAsia="Noto Serif"/>
          <w:b/>
          <w:bCs/>
          <w:color w:val="1D2833"/>
          <w:sz w:val="19"/>
        </w:rPr>
        <w:t xml:space="preserve">H4:</w:t>
      </w:r>
      <w:r>
        <w:rPr>
          <w:rFonts w:ascii="Noto Serif" w:hAnsi="Noto Serif" w:eastAsia="Noto Serif"/>
          <w:color w:val="1D2833"/>
          <w:sz w:val="19"/>
        </w:rPr>
        <w:t xml:space="preserve"> </w:t>
      </w:r>
      <w:r>
        <w:rPr>
          <w:rFonts w:ascii="Noto Serif" w:hAnsi="Noto Serif" w:eastAsia="Noto Serif"/>
          <w:color w:val="1D2833"/>
          <w:sz w:val="19"/>
        </w:rPr>
        <w:t xml:space="preserve">separation of proposal, evaluation, and promotion plus immutable evidence reduces successful evaluator capture.</w:t>
      </w:r>
    </w:p>
    <w:p>
      <w:pPr>
        <w:pStyle w:val="Compact"/>
        <w:numPr>
          <w:ilvl w:val="0"/>
          <w:numId w:val="1055"/>
        </w:numPr>
        <w:widowControl w:val="1"/>
      </w:pPr>
      <w:r>
        <w:rPr>
          <w:rFonts w:ascii="Noto Serif" w:hAnsi="Noto Serif" w:eastAsia="Noto Serif"/>
          <w:b/>
          <w:bCs/>
          <w:color w:val="1D2833"/>
          <w:sz w:val="19"/>
        </w:rPr>
        <w:t xml:space="preserve">H5:</w:t>
      </w:r>
      <w:r>
        <w:rPr>
          <w:rFonts w:ascii="Noto Serif" w:hAnsi="Noto Serif" w:eastAsia="Noto Serif"/>
          <w:color w:val="1D2833"/>
          <w:sz w:val="19"/>
        </w:rPr>
        <w:t xml:space="preserve"> </w:t>
      </w:r>
      <w:r>
        <w:rPr>
          <w:rFonts w:ascii="Noto Serif" w:hAnsi="Noto Serif" w:eastAsia="Noto Serif"/>
          <w:color w:val="1D2833"/>
          <w:sz w:val="19"/>
        </w:rPr>
        <w:t xml:space="preserve">migration rehearsal and effect-aware recovery improve rollback completeness and reduce state continuity loss.</w:t>
      </w:r>
    </w:p>
    <w:p>
      <w:pPr>
        <w:pStyle w:val="Compact"/>
        <w:numPr>
          <w:ilvl w:val="0"/>
          <w:numId w:val="1055"/>
        </w:numPr>
        <w:widowControl w:val="1"/>
      </w:pPr>
      <w:r>
        <w:rPr>
          <w:rFonts w:ascii="Noto Serif" w:hAnsi="Noto Serif" w:eastAsia="Noto Serif"/>
          <w:b/>
          <w:bCs/>
          <w:color w:val="1D2833"/>
          <w:sz w:val="19"/>
        </w:rPr>
        <w:t xml:space="preserve">H6:</w:t>
      </w:r>
      <w:r>
        <w:rPr>
          <w:rFonts w:ascii="Noto Serif" w:hAnsi="Noto Serif" w:eastAsia="Noto Serif"/>
          <w:color w:val="1D2833"/>
          <w:sz w:val="19"/>
        </w:rPr>
        <w:t xml:space="preserve"> </w:t>
      </w:r>
      <w:r>
        <w:rPr>
          <w:rFonts w:ascii="Noto Serif" w:hAnsi="Noto Serif" w:eastAsia="Noto Serif"/>
          <w:color w:val="1D2833"/>
          <w:sz w:val="19"/>
        </w:rPr>
        <w:t xml:space="preserve">parallel major contracts and explicit adapters enable architectural innovation with less silent semantic drift than mutable interfaces.</w:t>
      </w:r>
    </w:p>
    <w:p>
      <w:pPr>
        <w:pStyle w:val="Compact"/>
        <w:numPr>
          <w:ilvl w:val="0"/>
          <w:numId w:val="1055"/>
        </w:numPr>
        <w:widowControl w:val="1"/>
      </w:pPr>
      <w:r>
        <w:rPr>
          <w:rFonts w:ascii="Noto Serif" w:hAnsi="Noto Serif" w:eastAsia="Noto Serif"/>
          <w:b/>
          <w:bCs/>
          <w:color w:val="1D2833"/>
          <w:sz w:val="19"/>
        </w:rPr>
        <w:t xml:space="preserve">H7:</w:t>
      </w:r>
      <w:r>
        <w:rPr>
          <w:rFonts w:ascii="Noto Serif" w:hAnsi="Noto Serif" w:eastAsia="Noto Serif"/>
          <w:color w:val="1D2833"/>
          <w:sz w:val="19"/>
        </w:rPr>
        <w:t xml:space="preserve"> </w:t>
      </w:r>
      <w:r>
        <w:rPr>
          <w:rFonts w:ascii="Noto Serif" w:hAnsi="Noto Serif" w:eastAsia="Noto Serif"/>
          <w:color w:val="1D2833"/>
          <w:sz w:val="19"/>
        </w:rPr>
        <w:t xml:space="preserve">lineage-aware evaluator and implementation diversity reduces common-mode failures relative to prompt-level diversity alone.</w:t>
      </w:r>
    </w:p>
    <w:p>
      <w:pPr>
        <w:pStyle w:val="Compact"/>
        <w:numPr>
          <w:ilvl w:val="0"/>
          <w:numId w:val="1055"/>
        </w:numPr>
        <w:widowControl w:val="1"/>
      </w:pPr>
      <w:r>
        <w:rPr>
          <w:rFonts w:ascii="Noto Serif" w:hAnsi="Noto Serif" w:eastAsia="Noto Serif"/>
          <w:b/>
          <w:bCs/>
          <w:color w:val="1D2833"/>
          <w:sz w:val="19"/>
        </w:rPr>
        <w:t xml:space="preserve">H8:</w:t>
      </w:r>
      <w:r>
        <w:rPr>
          <w:rFonts w:ascii="Noto Serif" w:hAnsi="Noto Serif" w:eastAsia="Noto Serif"/>
          <w:color w:val="1D2833"/>
          <w:sz w:val="19"/>
        </w:rPr>
        <w:t xml:space="preserve"> </w:t>
      </w:r>
      <w:r>
        <w:rPr>
          <w:rFonts w:ascii="Noto Serif" w:hAnsi="Noto Serif" w:eastAsia="Noto Serif"/>
          <w:color w:val="1D2833"/>
          <w:sz w:val="19"/>
        </w:rPr>
        <w:t xml:space="preserve">SCF’s governance overhead is sublinear in improvement rounds once evidence, evaluators, and migrations become reusable.</w:t>
      </w:r>
    </w:p>
    <w:p>
      <w:pPr>
        <w:pStyle w:val="FirstParagraph"/>
        <w:widowControl w:val="1"/>
      </w:pPr>
      <w:r>
        <w:rPr>
          <w:rFonts w:ascii="Noto Serif" w:hAnsi="Noto Serif" w:eastAsia="Noto Serif"/>
          <w:color w:val="1D2833"/>
          <w:sz w:val="20"/>
        </w:rPr>
        <w:t xml:space="preserve">H8 is particularly important. If governance cost scales faster than capability gain, the architecture may be correct in principle but impractical. The registry must therefore support evidence reuse without allowing stale or context-mismatched claims.</w:t>
      </w:r>
    </w:p>
    <w:bookmarkEnd w:id="150"/>
    <w:bookmarkEnd w:id="151"/>
    <w:bookmarkStart w:id="157" w:name="X547350740a5c752ab1020c226918230e662f859"/>
    <w:p>
      <w:pPr>
        <w:pStyle w:val="Heading1"/>
        <w:widowControl w:val="1"/>
        <w:pBdr>
          <w:bottom w:val="single" w:sz="7" w:space="4" w:color="E8EEF3"/>
        </w:pBdr>
      </w:pPr>
      <w:r>
        <w:rPr>
          <w:rStyle w:val="SectionNumber"/>
        </w:rPr>
        <w:t xml:space="preserve">20</w:t>
      </w:r>
      <w:r>
        <w:tab/>
      </w:r>
      <w:r>
        <w:t xml:space="preserve">Implications for recursive improvement and ASI</w:t>
      </w:r>
    </w:p>
    <w:bookmarkStart w:id="152" w:name="what-scf-changes"/>
    <w:p>
      <w:pPr>
        <w:pStyle w:val="Heading2"/>
        <w:widowControl w:val="1"/>
      </w:pPr>
      <w:r>
        <w:rPr>
          <w:rStyle w:val="SectionNumber"/>
        </w:rPr>
        <w:t xml:space="preserve">20.1</w:t>
      </w:r>
      <w:r>
        <w:tab/>
      </w:r>
      <w:r>
        <w:t xml:space="preserve">What SCF changes</w:t>
      </w:r>
    </w:p>
    <w:p>
      <w:pPr>
        <w:pStyle w:val="FirstParagraph"/>
        <w:widowControl w:val="1"/>
      </w:pPr>
      <w:r>
        <w:rPr>
          <w:rFonts w:ascii="Noto Serif" w:hAnsi="Noto Serif" w:eastAsia="Noto Serif"/>
          <w:color w:val="1D2833"/>
          <w:sz w:val="20"/>
        </w:rPr>
        <w:t xml:space="preserve">SCF changes recursive improvement from unrestricted self-editing into controlled internal research and deployment. The system can:</w:t>
      </w:r>
    </w:p>
    <w:p>
      <w:pPr>
        <w:pStyle w:val="Compact"/>
        <w:numPr>
          <w:ilvl w:val="0"/>
          <w:numId w:val="1056"/>
        </w:numPr>
        <w:widowControl w:val="1"/>
      </w:pPr>
      <w:r>
        <w:rPr>
          <w:rFonts w:ascii="Noto Serif" w:hAnsi="Noto Serif" w:eastAsia="Noto Serif"/>
          <w:color w:val="1D2833"/>
          <w:sz w:val="19"/>
        </w:rPr>
        <w:t xml:space="preserve">generate competing implementations;</w:t>
      </w:r>
    </w:p>
    <w:p>
      <w:pPr>
        <w:pStyle w:val="Compact"/>
        <w:numPr>
          <w:ilvl w:val="0"/>
          <w:numId w:val="1056"/>
        </w:numPr>
        <w:widowControl w:val="1"/>
      </w:pPr>
      <w:r>
        <w:rPr>
          <w:rFonts w:ascii="Noto Serif" w:hAnsi="Noto Serif" w:eastAsia="Noto Serif"/>
          <w:color w:val="1D2833"/>
          <w:sz w:val="19"/>
        </w:rPr>
        <w:t xml:space="preserve">preserve diverse experimental lineages;</w:t>
      </w:r>
    </w:p>
    <w:p>
      <w:pPr>
        <w:pStyle w:val="Compact"/>
        <w:numPr>
          <w:ilvl w:val="0"/>
          <w:numId w:val="1056"/>
        </w:numPr>
        <w:widowControl w:val="1"/>
      </w:pPr>
      <w:r>
        <w:rPr>
          <w:rFonts w:ascii="Noto Serif" w:hAnsi="Noto Serif" w:eastAsia="Noto Serif"/>
          <w:color w:val="1D2833"/>
          <w:sz w:val="19"/>
        </w:rPr>
        <w:t xml:space="preserve">test them against stable capability meanings;</w:t>
      </w:r>
    </w:p>
    <w:p>
      <w:pPr>
        <w:pStyle w:val="Compact"/>
        <w:numPr>
          <w:ilvl w:val="0"/>
          <w:numId w:val="1056"/>
        </w:numPr>
        <w:widowControl w:val="1"/>
      </w:pPr>
      <w:r>
        <w:rPr>
          <w:rFonts w:ascii="Noto Serif" w:hAnsi="Noto Serif" w:eastAsia="Noto Serif"/>
          <w:color w:val="1D2833"/>
          <w:sz w:val="19"/>
        </w:rPr>
        <w:t xml:space="preserve">activate different implementations in different contexts;</w:t>
      </w:r>
    </w:p>
    <w:p>
      <w:pPr>
        <w:pStyle w:val="Compact"/>
        <w:numPr>
          <w:ilvl w:val="0"/>
          <w:numId w:val="1056"/>
        </w:numPr>
        <w:widowControl w:val="1"/>
      </w:pPr>
      <w:r>
        <w:rPr>
          <w:rFonts w:ascii="Noto Serif" w:hAnsi="Noto Serif" w:eastAsia="Noto Serif"/>
          <w:color w:val="1D2833"/>
          <w:sz w:val="19"/>
        </w:rPr>
        <w:t xml:space="preserve">monitor behavior under real distributions;</w:t>
      </w:r>
    </w:p>
    <w:p>
      <w:pPr>
        <w:pStyle w:val="Compact"/>
        <w:numPr>
          <w:ilvl w:val="0"/>
          <w:numId w:val="1056"/>
        </w:numPr>
        <w:widowControl w:val="1"/>
      </w:pPr>
      <w:r>
        <w:rPr>
          <w:rFonts w:ascii="Noto Serif" w:hAnsi="Noto Serif" w:eastAsia="Noto Serif"/>
          <w:color w:val="1D2833"/>
          <w:sz w:val="19"/>
        </w:rPr>
        <w:t xml:space="preserve">demote or quarantine failed revisions;</w:t>
      </w:r>
    </w:p>
    <w:p>
      <w:pPr>
        <w:pStyle w:val="Compact"/>
        <w:numPr>
          <w:ilvl w:val="0"/>
          <w:numId w:val="1056"/>
        </w:numPr>
        <w:widowControl w:val="1"/>
      </w:pPr>
      <w:r>
        <w:rPr>
          <w:rFonts w:ascii="Noto Serif" w:hAnsi="Noto Serif" w:eastAsia="Noto Serif"/>
          <w:color w:val="1D2833"/>
          <w:sz w:val="19"/>
        </w:rPr>
        <w:t xml:space="preserve">evolve the abstraction through an explicit constitutional process.</w:t>
      </w:r>
    </w:p>
    <w:p>
      <w:pPr>
        <w:pStyle w:val="FirstParagraph"/>
        <w:widowControl w:val="1"/>
      </w:pPr>
      <w:r>
        <w:rPr>
          <w:rFonts w:ascii="Noto Serif" w:hAnsi="Noto Serif" w:eastAsia="Noto Serif"/>
          <w:color w:val="1D2833"/>
          <w:sz w:val="20"/>
        </w:rPr>
        <w:t xml:space="preserve">This separates</w:t>
      </w:r>
      <w:r>
        <w:rPr>
          <w:rFonts w:ascii="Noto Serif" w:hAnsi="Noto Serif" w:eastAsia="Noto Serif"/>
          <w:color w:val="1D2833"/>
          <w:sz w:val="20"/>
        </w:rPr>
        <w:t xml:space="preserve"> </w:t>
      </w:r>
      <w:r>
        <w:rPr>
          <w:rFonts w:ascii="Noto Serif" w:hAnsi="Noto Serif" w:eastAsia="Noto Serif"/>
          <w:b/>
          <w:bCs/>
          <w:color w:val="1D2833"/>
          <w:sz w:val="20"/>
        </w:rPr>
        <w:t xml:space="preserve">search for better machinery</w:t>
      </w:r>
      <w:r>
        <w:rPr>
          <w:rFonts w:ascii="Noto Serif" w:hAnsi="Noto Serif" w:eastAsia="Noto Serif"/>
          <w:color w:val="1D2833"/>
          <w:sz w:val="20"/>
        </w:rPr>
        <w:t xml:space="preserve"> </w:t>
      </w:r>
      <w:r>
        <w:rPr>
          <w:rFonts w:ascii="Noto Serif" w:hAnsi="Noto Serif" w:eastAsia="Noto Serif"/>
          <w:color w:val="1D2833"/>
          <w:sz w:val="20"/>
        </w:rPr>
        <w:t xml:space="preserve">from</w:t>
      </w:r>
      <w:r>
        <w:rPr>
          <w:rFonts w:ascii="Noto Serif" w:hAnsi="Noto Serif" w:eastAsia="Noto Serif"/>
          <w:color w:val="1D2833"/>
          <w:sz w:val="20"/>
        </w:rPr>
        <w:t xml:space="preserve"> </w:t>
      </w:r>
      <w:r>
        <w:rPr>
          <w:rFonts w:ascii="Noto Serif" w:hAnsi="Noto Serif" w:eastAsia="Noto Serif"/>
          <w:b/>
          <w:bCs/>
          <w:color w:val="1D2833"/>
          <w:sz w:val="20"/>
        </w:rPr>
        <w:t xml:space="preserve">preservation of identity and invariants while machinery changes</w:t>
      </w:r>
      <w:r>
        <w:rPr>
          <w:rFonts w:ascii="Noto Serif" w:hAnsi="Noto Serif" w:eastAsia="Noto Serif"/>
          <w:color w:val="1D2833"/>
          <w:sz w:val="20"/>
        </w:rPr>
        <w:t xml:space="preserve">. The separation is valuable even for systems far below ASI because ordinary agent infrastructure already experiences model, prompt, tool, and policy drift.</w:t>
      </w:r>
    </w:p>
    <w:bookmarkEnd w:id="152"/>
    <w:bookmarkStart w:id="153" w:name="Xaa10ae70aa55a9f0d57e90bf4c4d59b89917cbc"/>
    <w:p>
      <w:pPr>
        <w:pStyle w:val="Heading2"/>
        <w:widowControl w:val="1"/>
      </w:pPr>
      <w:r>
        <w:rPr>
          <w:rStyle w:val="SectionNumber"/>
        </w:rPr>
        <w:t xml:space="preserve">20.2</w:t>
      </w:r>
      <w:r>
        <w:tab/>
      </w:r>
      <w:r>
        <w:t xml:space="preserve">Why it may be necessary in equivalent form</w:t>
      </w:r>
    </w:p>
    <w:p>
      <w:pPr>
        <w:pStyle w:val="FirstParagraph"/>
        <w:widowControl w:val="1"/>
      </w:pPr>
      <w:r>
        <w:rPr>
          <w:rFonts w:ascii="Noto Serif" w:hAnsi="Noto Serif" w:eastAsia="Noto Serif"/>
          <w:color w:val="1D2833"/>
          <w:sz w:val="20"/>
        </w:rPr>
        <w:t xml:space="preserve">A sufficiently capable self-improver need not use the names or data structures in this paper. It may discover a different internal organization. Nevertheless, a safe long-lived system appears to need functional equivalents of:</w:t>
      </w:r>
    </w:p>
    <w:p>
      <w:pPr>
        <w:pStyle w:val="Compact"/>
        <w:numPr>
          <w:ilvl w:val="0"/>
          <w:numId w:val="1057"/>
        </w:numPr>
        <w:widowControl w:val="1"/>
      </w:pPr>
      <w:r>
        <w:rPr>
          <w:rFonts w:ascii="Noto Serif" w:hAnsi="Noto Serif" w:eastAsia="Noto Serif"/>
          <w:color w:val="1D2833"/>
          <w:sz w:val="19"/>
        </w:rPr>
        <w:t xml:space="preserve">stable referents for the capabilities being changed;</w:t>
      </w:r>
    </w:p>
    <w:p>
      <w:pPr>
        <w:pStyle w:val="Compact"/>
        <w:numPr>
          <w:ilvl w:val="0"/>
          <w:numId w:val="1057"/>
        </w:numPr>
        <w:widowControl w:val="1"/>
      </w:pPr>
      <w:r>
        <w:rPr>
          <w:rFonts w:ascii="Noto Serif" w:hAnsi="Noto Serif" w:eastAsia="Noto Serif"/>
          <w:color w:val="1D2833"/>
          <w:sz w:val="19"/>
        </w:rPr>
        <w:t xml:space="preserve">criteria that distinguish implementation change from objective change;</w:t>
      </w:r>
    </w:p>
    <w:p>
      <w:pPr>
        <w:pStyle w:val="Compact"/>
        <w:numPr>
          <w:ilvl w:val="0"/>
          <w:numId w:val="1057"/>
        </w:numPr>
        <w:widowControl w:val="1"/>
      </w:pPr>
      <w:r>
        <w:rPr>
          <w:rFonts w:ascii="Noto Serif" w:hAnsi="Noto Serif" w:eastAsia="Noto Serif"/>
          <w:color w:val="1D2833"/>
          <w:sz w:val="19"/>
        </w:rPr>
        <w:t xml:space="preserve">evidence tying behavior to an identifiable revision and context;</w:t>
      </w:r>
    </w:p>
    <w:p>
      <w:pPr>
        <w:pStyle w:val="Compact"/>
        <w:numPr>
          <w:ilvl w:val="0"/>
          <w:numId w:val="1057"/>
        </w:numPr>
        <w:widowControl w:val="1"/>
      </w:pPr>
      <w:r>
        <w:rPr>
          <w:rFonts w:ascii="Noto Serif" w:hAnsi="Noto Serif" w:eastAsia="Noto Serif"/>
          <w:color w:val="1D2833"/>
          <w:sz w:val="19"/>
        </w:rPr>
        <w:t xml:space="preserve">bounded authority during experiments and deployment;</w:t>
      </w:r>
    </w:p>
    <w:p>
      <w:pPr>
        <w:pStyle w:val="Compact"/>
        <w:numPr>
          <w:ilvl w:val="0"/>
          <w:numId w:val="1057"/>
        </w:numPr>
        <w:widowControl w:val="1"/>
      </w:pPr>
      <w:r>
        <w:rPr>
          <w:rFonts w:ascii="Noto Serif" w:hAnsi="Noto Serif" w:eastAsia="Noto Serif"/>
          <w:color w:val="1D2833"/>
          <w:sz w:val="19"/>
        </w:rPr>
        <w:t xml:space="preserve">a way to preserve and migrate durable state;</w:t>
      </w:r>
    </w:p>
    <w:p>
      <w:pPr>
        <w:pStyle w:val="Compact"/>
        <w:numPr>
          <w:ilvl w:val="0"/>
          <w:numId w:val="1057"/>
        </w:numPr>
        <w:widowControl w:val="1"/>
      </w:pPr>
      <w:r>
        <w:rPr>
          <w:rFonts w:ascii="Noto Serif" w:hAnsi="Noto Serif" w:eastAsia="Noto Serif"/>
          <w:color w:val="1D2833"/>
          <w:sz w:val="19"/>
        </w:rPr>
        <w:t xml:space="preserve">independent challenge to self-serving improvement claims;</w:t>
      </w:r>
    </w:p>
    <w:p>
      <w:pPr>
        <w:pStyle w:val="Compact"/>
        <w:numPr>
          <w:ilvl w:val="0"/>
          <w:numId w:val="1057"/>
        </w:numPr>
        <w:widowControl w:val="1"/>
      </w:pPr>
      <w:r>
        <w:rPr>
          <w:rFonts w:ascii="Noto Serif" w:hAnsi="Noto Serif" w:eastAsia="Noto Serif"/>
          <w:color w:val="1D2833"/>
          <w:sz w:val="19"/>
        </w:rPr>
        <w:t xml:space="preserve">staged exposure and containment;</w:t>
      </w:r>
    </w:p>
    <w:p>
      <w:pPr>
        <w:pStyle w:val="Compact"/>
        <w:numPr>
          <w:ilvl w:val="0"/>
          <w:numId w:val="1057"/>
        </w:numPr>
        <w:widowControl w:val="1"/>
      </w:pPr>
      <w:r>
        <w:rPr>
          <w:rFonts w:ascii="Noto Serif" w:hAnsi="Noto Serif" w:eastAsia="Noto Serif"/>
          <w:color w:val="1D2833"/>
          <w:sz w:val="19"/>
        </w:rPr>
        <w:t xml:space="preserve">governance over changes to the evaluators and rules themselves.</w:t>
      </w:r>
    </w:p>
    <w:p>
      <w:pPr>
        <w:pStyle w:val="FirstParagraph"/>
        <w:widowControl w:val="1"/>
      </w:pPr>
      <w:r>
        <w:rPr>
          <w:rFonts w:ascii="Noto Serif" w:hAnsi="Noto Serif" w:eastAsia="Noto Serif"/>
          <w:color w:val="1D2833"/>
          <w:sz w:val="20"/>
        </w:rPr>
        <w:t xml:space="preserve">Without such equivalents, the claim</w:t>
      </w:r>
      <w:r>
        <w:rPr>
          <w:rFonts w:ascii="Noto Serif" w:hAnsi="Noto Serif" w:eastAsia="Noto Serif"/>
          <w:color w:val="1D2833"/>
          <w:sz w:val="20"/>
        </w:rPr>
        <w:t xml:space="preserve"> </w:t>
      </w:r>
      <w:r>
        <w:rPr>
          <w:rFonts w:ascii="Noto Serif" w:hAnsi="Noto Serif" w:eastAsia="Noto Serif"/>
          <w:color w:val="1D2833"/>
          <w:sz w:val="20"/>
        </w:rPr>
        <w:t xml:space="preserve">“</w:t>
      </w:r>
      <w:r>
        <w:rPr>
          <w:rFonts w:ascii="Noto Serif" w:hAnsi="Noto Serif" w:eastAsia="Noto Serif"/>
          <w:color w:val="1D2833"/>
          <w:sz w:val="20"/>
        </w:rPr>
        <w:t xml:space="preserve">the system improved itself</w:t>
      </w:r>
      <w:r>
        <w:rPr>
          <w:rFonts w:ascii="Noto Serif" w:hAnsi="Noto Serif" w:eastAsia="Noto Serif"/>
          <w:color w:val="1D2833"/>
          <w:sz w:val="20"/>
        </w:rPr>
        <w:t xml:space="preserve">”</w:t>
      </w:r>
      <w:r>
        <w:rPr>
          <w:rFonts w:ascii="Noto Serif" w:hAnsi="Noto Serif" w:eastAsia="Noto Serif"/>
          <w:color w:val="1D2833"/>
          <w:sz w:val="20"/>
        </w:rPr>
        <w:t xml:space="preserve"> </w:t>
      </w:r>
      <w:r>
        <w:rPr>
          <w:rFonts w:ascii="Noto Serif" w:hAnsi="Noto Serif" w:eastAsia="Noto Serif"/>
          <w:color w:val="1D2833"/>
          <w:sz w:val="20"/>
        </w:rPr>
        <w:t xml:space="preserve">is underdetermined. The system may have changed the task, the metric, the authority, the data, or the identity of the thing being compared.</w:t>
      </w:r>
    </w:p>
    <w:bookmarkEnd w:id="153"/>
    <w:bookmarkStart w:id="154" w:name="why-it-is-not-sufficient"/>
    <w:p>
      <w:pPr>
        <w:pStyle w:val="Heading2"/>
        <w:widowControl w:val="1"/>
      </w:pPr>
      <w:r>
        <w:rPr>
          <w:rStyle w:val="SectionNumber"/>
        </w:rPr>
        <w:t xml:space="preserve">20.3</w:t>
      </w:r>
      <w:r>
        <w:tab/>
      </w:r>
      <w:r>
        <w:t xml:space="preserve">Why it is not sufficient</w:t>
      </w:r>
    </w:p>
    <w:p>
      <w:pPr>
        <w:pStyle w:val="FirstParagraph"/>
        <w:widowControl w:val="1"/>
      </w:pPr>
      <w:r>
        <w:rPr>
          <w:rFonts w:ascii="Noto Serif" w:hAnsi="Noto Serif" w:eastAsia="Noto Serif"/>
          <w:color w:val="1D2833"/>
          <w:sz w:val="20"/>
        </w:rPr>
        <w:t xml:space="preserve">SCF does not solve several central problems:</w:t>
      </w:r>
    </w:p>
    <w:p>
      <w:pPr>
        <w:pStyle w:val="Compact"/>
        <w:numPr>
          <w:ilvl w:val="0"/>
          <w:numId w:val="1058"/>
        </w:numPr>
        <w:widowControl w:val="1"/>
      </w:pPr>
      <w:r>
        <w:rPr>
          <w:rFonts w:ascii="Noto Serif" w:hAnsi="Noto Serif" w:eastAsia="Noto Serif"/>
          <w:color w:val="1D2833"/>
          <w:sz w:val="19"/>
        </w:rPr>
        <w:t xml:space="preserve">defining human-compatible objectives and legitimate governance;</w:t>
      </w:r>
    </w:p>
    <w:p>
      <w:pPr>
        <w:pStyle w:val="Compact"/>
        <w:numPr>
          <w:ilvl w:val="0"/>
          <w:numId w:val="1058"/>
        </w:numPr>
        <w:widowControl w:val="1"/>
      </w:pPr>
      <w:r>
        <w:rPr>
          <w:rFonts w:ascii="Noto Serif" w:hAnsi="Noto Serif" w:eastAsia="Noto Serif"/>
          <w:color w:val="1D2833"/>
          <w:sz w:val="19"/>
        </w:rPr>
        <w:t xml:space="preserve">evaluating behavior beyond available tests and overseer capability;</w:t>
      </w:r>
    </w:p>
    <w:p>
      <w:pPr>
        <w:pStyle w:val="Compact"/>
        <w:numPr>
          <w:ilvl w:val="0"/>
          <w:numId w:val="1058"/>
        </w:numPr>
        <w:widowControl w:val="1"/>
      </w:pPr>
      <w:r>
        <w:rPr>
          <w:rFonts w:ascii="Noto Serif" w:hAnsi="Noto Serif" w:eastAsia="Noto Serif"/>
          <w:color w:val="1D2833"/>
          <w:sz w:val="19"/>
        </w:rPr>
        <w:t xml:space="preserve">preventing deception by a strategically superior system;</w:t>
      </w:r>
    </w:p>
    <w:p>
      <w:pPr>
        <w:pStyle w:val="Compact"/>
        <w:numPr>
          <w:ilvl w:val="0"/>
          <w:numId w:val="1058"/>
        </w:numPr>
        <w:widowControl w:val="1"/>
      </w:pPr>
      <w:r>
        <w:rPr>
          <w:rFonts w:ascii="Noto Serif" w:hAnsi="Noto Serif" w:eastAsia="Noto Serif"/>
          <w:color w:val="1D2833"/>
          <w:sz w:val="19"/>
        </w:rPr>
        <w:t xml:space="preserve">ensuring that improved capability does not increase catastrophic misuse risk;</w:t>
      </w:r>
    </w:p>
    <w:p>
      <w:pPr>
        <w:pStyle w:val="Compact"/>
        <w:numPr>
          <w:ilvl w:val="0"/>
          <w:numId w:val="1058"/>
        </w:numPr>
        <w:widowControl w:val="1"/>
      </w:pPr>
      <w:r>
        <w:rPr>
          <w:rFonts w:ascii="Noto Serif" w:hAnsi="Noto Serif" w:eastAsia="Noto Serif"/>
          <w:color w:val="1D2833"/>
          <w:sz w:val="19"/>
        </w:rPr>
        <w:t xml:space="preserve">deciding which constitutional invariants should be immutable, amendable, or externally controlled;</w:t>
      </w:r>
    </w:p>
    <w:p>
      <w:pPr>
        <w:pStyle w:val="Compact"/>
        <w:numPr>
          <w:ilvl w:val="0"/>
          <w:numId w:val="1058"/>
        </w:numPr>
        <w:widowControl w:val="1"/>
      </w:pPr>
      <w:r>
        <w:rPr>
          <w:rFonts w:ascii="Noto Serif" w:hAnsi="Noto Serif" w:eastAsia="Noto Serif"/>
          <w:color w:val="1D2833"/>
          <w:sz w:val="19"/>
        </w:rPr>
        <w:t xml:space="preserve">preventing concentration of power in whoever controls the registry and trust roots;</w:t>
      </w:r>
    </w:p>
    <w:p>
      <w:pPr>
        <w:pStyle w:val="Compact"/>
        <w:numPr>
          <w:ilvl w:val="0"/>
          <w:numId w:val="1058"/>
        </w:numPr>
        <w:widowControl w:val="1"/>
      </w:pPr>
      <w:r>
        <w:rPr>
          <w:rFonts w:ascii="Noto Serif" w:hAnsi="Noto Serif" w:eastAsia="Noto Serif"/>
          <w:color w:val="1D2833"/>
          <w:sz w:val="19"/>
        </w:rPr>
        <w:t xml:space="preserve">establishing that recursive improvement will remain corrigible as capabilities scale.</w:t>
      </w:r>
    </w:p>
    <w:p>
      <w:pPr>
        <w:pStyle w:val="FirstParagraph"/>
        <w:widowControl w:val="1"/>
      </w:pPr>
      <w:r>
        <w:rPr>
          <w:rFonts w:ascii="Noto Serif" w:hAnsi="Noto Serif" w:eastAsia="Noto Serif"/>
          <w:color w:val="1D2833"/>
          <w:sz w:val="20"/>
        </w:rPr>
        <w:t xml:space="preserve">The architecture can make these problems explicit and create enforcement points. It cannot derive their answers.</w:t>
      </w:r>
    </w:p>
    <w:bookmarkEnd w:id="154"/>
    <w:bookmarkStart w:id="155" w:name="X30d0ecb9cf5d72ee401e04c2ae266dcd47d5221"/>
    <w:p>
      <w:pPr>
        <w:pStyle w:val="Heading2"/>
        <w:widowControl w:val="1"/>
      </w:pPr>
      <w:r>
        <w:rPr>
          <w:rStyle w:val="SectionNumber"/>
        </w:rPr>
        <w:t xml:space="preserve">20.4</w:t>
      </w:r>
      <w:r>
        <w:tab/>
      </w:r>
      <w:r>
        <w:t xml:space="preserve">Recursive improvement is not necessarily runaway</w:t>
      </w:r>
    </w:p>
    <w:p>
      <w:pPr>
        <w:pStyle w:val="FirstParagraph"/>
        <w:widowControl w:val="1"/>
      </w:pPr>
      <w:r>
        <w:rPr>
          <w:rFonts w:ascii="Noto Serif" w:hAnsi="Noto Serif" w:eastAsia="Noto Serif"/>
          <w:color w:val="1D2833"/>
          <w:sz w:val="20"/>
        </w:rPr>
        <w:t xml:space="preserve">Even with an SCF substrate, improvement can plateau because of data, compute, evaluator quality, search difficulty, physical limits, coordination cost, or diminishing returns. HGM’s distinction between performance and metaproductivity [6] reinforces that the ability to solve tasks and the ability to produce better successors are different capabilities. SCF should model self-improvement itself as one or more fields, subject to the same evidence and authority constraints as any other capability.</w:t>
      </w:r>
    </w:p>
    <w:bookmarkEnd w:id="155"/>
    <w:bookmarkStart w:id="156" w:name="the-evaluator-regress"/>
    <w:p>
      <w:pPr>
        <w:pStyle w:val="Heading2"/>
        <w:widowControl w:val="1"/>
      </w:pPr>
      <w:r>
        <w:rPr>
          <w:rStyle w:val="SectionNumber"/>
        </w:rPr>
        <w:t xml:space="preserve">20.5</w:t>
      </w:r>
      <w:r>
        <w:tab/>
      </w:r>
      <w:r>
        <w:t xml:space="preserve">The evaluator regress</w:t>
      </w:r>
    </w:p>
    <w:p>
      <w:pPr>
        <w:pStyle w:val="FirstParagraph"/>
        <w:widowControl w:val="1"/>
      </w:pPr>
      <w:r>
        <w:rPr>
          <w:rFonts w:ascii="Noto Serif" w:hAnsi="Noto Serif" w:eastAsia="Noto Serif"/>
          <w:color w:val="1D2833"/>
          <w:sz w:val="20"/>
        </w:rPr>
        <w:t xml:space="preserve">If evaluators are fields, who evaluates the evaluators? SCF does not eliminate the regress; it manages it through stratification and external anchors. Lower-level evaluators can be tested by higher-level portfolios, formal properties, human review, cross-provider diversity, and operational outcomes. Some trust remains anchored in a kernel, a promotion policy, and human or institutional authority. Making that anchor small, explicit, and revisable is more honest than pretending the loop is fully self-certifying.</w:t>
      </w:r>
    </w:p>
    <w:bookmarkEnd w:id="156"/>
    <w:bookmarkEnd w:id="157"/>
    <w:bookmarkStart w:id="166" w:name="open-research-problems"/>
    <w:p>
      <w:pPr>
        <w:pStyle w:val="Heading1"/>
        <w:widowControl w:val="1"/>
        <w:pBdr>
          <w:bottom w:val="single" w:sz="7" w:space="4" w:color="E8EEF3"/>
        </w:pBdr>
      </w:pPr>
      <w:r>
        <w:rPr>
          <w:rStyle w:val="SectionNumber"/>
        </w:rPr>
        <w:t xml:space="preserve">21</w:t>
      </w:r>
      <w:r>
        <w:tab/>
      </w:r>
      <w:r>
        <w:t xml:space="preserve">Open research problems</w:t>
      </w:r>
    </w:p>
    <w:bookmarkStart w:id="158" w:name="learning-field-boundaries"/>
    <w:p>
      <w:pPr>
        <w:pStyle w:val="Heading2"/>
        <w:widowControl w:val="1"/>
      </w:pPr>
      <w:r>
        <w:rPr>
          <w:rStyle w:val="SectionNumber"/>
        </w:rPr>
        <w:t xml:space="preserve">21.1</w:t>
      </w:r>
      <w:r>
        <w:tab/>
      </w:r>
      <w:r>
        <w:t xml:space="preserve">Learning field boundaries</w:t>
      </w:r>
    </w:p>
    <w:p>
      <w:pPr>
        <w:pStyle w:val="FirstParagraph"/>
        <w:widowControl w:val="1"/>
      </w:pPr>
      <w:r>
        <w:rPr>
          <w:rFonts w:ascii="Noto Serif" w:hAnsi="Noto Serif" w:eastAsia="Noto Serif"/>
          <w:color w:val="1D2833"/>
          <w:sz w:val="20"/>
        </w:rPr>
        <w:t xml:space="preserve">Field boundaries are currently designed. A mature system may propose splits, merges, or new abstractions by analyzing change coupling, authority, state, evaluator reuse, and incident history. The proposal itself must remain constitutional because a candidate could manipulate boundaries to evade evaluation or gain authority.</w:t>
      </w:r>
    </w:p>
    <w:bookmarkEnd w:id="158"/>
    <w:bookmarkStart w:id="159" w:name="semantic-contract-synthesis"/>
    <w:p>
      <w:pPr>
        <w:pStyle w:val="Heading2"/>
        <w:widowControl w:val="1"/>
      </w:pPr>
      <w:r>
        <w:rPr>
          <w:rStyle w:val="SectionNumber"/>
        </w:rPr>
        <w:t xml:space="preserve">21.2</w:t>
      </w:r>
      <w:r>
        <w:tab/>
      </w:r>
      <w:r>
        <w:t xml:space="preserve">Semantic contract synthesis</w:t>
      </w:r>
    </w:p>
    <w:p>
      <w:pPr>
        <w:pStyle w:val="FirstParagraph"/>
        <w:widowControl w:val="1"/>
      </w:pPr>
      <w:r>
        <w:rPr>
          <w:rFonts w:ascii="Noto Serif" w:hAnsi="Noto Serif" w:eastAsia="Noto Serif"/>
          <w:color w:val="1D2833"/>
          <w:sz w:val="20"/>
        </w:rPr>
        <w:t xml:space="preserve">Contracts are expensive to write and often incomplete. AI can help infer preconditions, invariants, effect types, and failure modes from code and traces, but generated contracts need independent validation. Counterexample-guided contract repair, as explored in recent skill systems [12,13], is a promising direction.</w:t>
      </w:r>
    </w:p>
    <w:bookmarkEnd w:id="159"/>
    <w:bookmarkStart w:id="160" w:name="statistical-substitutability"/>
    <w:p>
      <w:pPr>
        <w:pStyle w:val="Heading2"/>
        <w:widowControl w:val="1"/>
      </w:pPr>
      <w:r>
        <w:rPr>
          <w:rStyle w:val="SectionNumber"/>
        </w:rPr>
        <w:t xml:space="preserve">21.3</w:t>
      </w:r>
      <w:r>
        <w:tab/>
      </w:r>
      <w:r>
        <w:t xml:space="preserve">Statistical substitutability</w:t>
      </w:r>
    </w:p>
    <w:p>
      <w:pPr>
        <w:pStyle w:val="FirstParagraph"/>
        <w:widowControl w:val="1"/>
      </w:pPr>
      <w:r>
        <w:rPr>
          <w:rFonts w:ascii="Noto Serif" w:hAnsi="Noto Serif" w:eastAsia="Noto Serif"/>
          <w:color w:val="1D2833"/>
          <w:sz w:val="20"/>
        </w:rPr>
        <w:t xml:space="preserve">Behavioral subtyping is crisp for deterministic programs and less so for generative models. Research is needed on distribution-aware substitution tests, calibrated uncertainty contracts, tail-risk bounds, and change detection under non-stationary workloads.</w:t>
      </w:r>
    </w:p>
    <w:bookmarkEnd w:id="160"/>
    <w:bookmarkStart w:id="161" w:name="evidence-markets-and-incentives"/>
    <w:p>
      <w:pPr>
        <w:pStyle w:val="Heading2"/>
        <w:widowControl w:val="1"/>
      </w:pPr>
      <w:r>
        <w:rPr>
          <w:rStyle w:val="SectionNumber"/>
        </w:rPr>
        <w:t xml:space="preserve">21.4</w:t>
      </w:r>
      <w:r>
        <w:tab/>
      </w:r>
      <w:r>
        <w:t xml:space="preserve">Evidence markets and incentives</w:t>
      </w:r>
    </w:p>
    <w:p>
      <w:pPr>
        <w:pStyle w:val="FirstParagraph"/>
        <w:widowControl w:val="1"/>
      </w:pPr>
      <w:r>
        <w:rPr>
          <w:rFonts w:ascii="Noto Serif" w:hAnsi="Noto Serif" w:eastAsia="Noto Serif"/>
          <w:color w:val="1D2833"/>
          <w:sz w:val="20"/>
        </w:rPr>
        <w:t xml:space="preserve">In a federated ecosystem, producers may shop for favorable evaluators or conceal negative results. Registry design should investigate mandatory disclosure, evaluator reputation, bonded claims, challenge mechanisms, and privacy-preserving audit. These are socio-technical mechanisms, not merely schemas.</w:t>
      </w:r>
    </w:p>
    <w:bookmarkEnd w:id="161"/>
    <w:bookmarkStart w:id="162" w:name="governance-scalability"/>
    <w:p>
      <w:pPr>
        <w:pStyle w:val="Heading2"/>
        <w:widowControl w:val="1"/>
      </w:pPr>
      <w:r>
        <w:rPr>
          <w:rStyle w:val="SectionNumber"/>
        </w:rPr>
        <w:t xml:space="preserve">21.5</w:t>
      </w:r>
      <w:r>
        <w:tab/>
      </w:r>
      <w:r>
        <w:t xml:space="preserve">Governance scalability</w:t>
      </w:r>
    </w:p>
    <w:p>
      <w:pPr>
        <w:pStyle w:val="FirstParagraph"/>
        <w:widowControl w:val="1"/>
      </w:pPr>
      <w:r>
        <w:rPr>
          <w:rFonts w:ascii="Noto Serif" w:hAnsi="Noto Serif" w:eastAsia="Noto Serif"/>
          <w:color w:val="1D2833"/>
          <w:sz w:val="20"/>
        </w:rPr>
        <w:t xml:space="preserve">The change-strata model requires thresholds that neither rubber-stamp risky changes nor freeze evolution. Adaptive governance could use field criticality, impact-cone size, evidence strength, and incident history. However, an AI should not be able to lower its own scrutiny simply by manipulating a risk model.</w:t>
      </w:r>
    </w:p>
    <w:bookmarkEnd w:id="162"/>
    <w:bookmarkStart w:id="163" w:name="recovery-for-learned-state"/>
    <w:p>
      <w:pPr>
        <w:pStyle w:val="Heading2"/>
        <w:widowControl w:val="1"/>
      </w:pPr>
      <w:r>
        <w:rPr>
          <w:rStyle w:val="SectionNumber"/>
        </w:rPr>
        <w:t xml:space="preserve">21.6</w:t>
      </w:r>
      <w:r>
        <w:tab/>
      </w:r>
      <w:r>
        <w:t xml:space="preserve">Recovery for learned state</w:t>
      </w:r>
    </w:p>
    <w:p>
      <w:pPr>
        <w:pStyle w:val="FirstParagraph"/>
        <w:widowControl w:val="1"/>
      </w:pPr>
      <w:r>
        <w:rPr>
          <w:rFonts w:ascii="Noto Serif" w:hAnsi="Noto Serif" w:eastAsia="Noto Serif"/>
          <w:color w:val="1D2833"/>
          <w:sz w:val="20"/>
        </w:rPr>
        <w:t xml:space="preserve">Migrating model weights, memories, embeddings, and learned indexes is harder than migrating relational schemas. A useful research program would develop semantic checksums, replayable learning logs, state invariants, and reversible adapter techniques for learned state.</w:t>
      </w:r>
    </w:p>
    <w:bookmarkEnd w:id="163"/>
    <w:bookmarkStart w:id="164" w:name="remote-and-proprietary-implementations"/>
    <w:p>
      <w:pPr>
        <w:pStyle w:val="Heading2"/>
        <w:widowControl w:val="1"/>
      </w:pPr>
      <w:r>
        <w:rPr>
          <w:rStyle w:val="SectionNumber"/>
        </w:rPr>
        <w:t xml:space="preserve">21.7</w:t>
      </w:r>
      <w:r>
        <w:tab/>
      </w:r>
      <w:r>
        <w:t xml:space="preserve">Remote and proprietary implementations</w:t>
      </w:r>
    </w:p>
    <w:p>
      <w:pPr>
        <w:pStyle w:val="FirstParagraph"/>
        <w:widowControl w:val="1"/>
      </w:pPr>
      <w:r>
        <w:rPr>
          <w:rFonts w:ascii="Noto Serif" w:hAnsi="Noto Serif" w:eastAsia="Noto Serif"/>
          <w:color w:val="1D2833"/>
          <w:sz w:val="20"/>
        </w:rPr>
        <w:t xml:space="preserve">Hosted models and external agents can change without a local artifact hash. SCF needs protocols for provider attestations, behavior fingerprints, sentinel suites, statistical change detection, and contractually enforceable incident disclosure. Qualification for opaque services should be explicitly weaker and shorter-lived.</w:t>
      </w:r>
    </w:p>
    <w:bookmarkEnd w:id="164"/>
    <w:bookmarkStart w:id="165" w:name="formalizing-the-governance-kernel"/>
    <w:p>
      <w:pPr>
        <w:pStyle w:val="Heading2"/>
        <w:widowControl w:val="1"/>
      </w:pPr>
      <w:r>
        <w:rPr>
          <w:rStyle w:val="SectionNumber"/>
        </w:rPr>
        <w:t xml:space="preserve">21.8</w:t>
      </w:r>
      <w:r>
        <w:tab/>
      </w:r>
      <w:r>
        <w:t xml:space="preserve">Formalizing the governance kernel</w:t>
      </w:r>
    </w:p>
    <w:p>
      <w:pPr>
        <w:pStyle w:val="FirstParagraph"/>
        <w:widowControl w:val="1"/>
      </w:pPr>
      <w:r>
        <w:rPr>
          <w:rFonts w:ascii="Noto Serif" w:hAnsi="Noto Serif" w:eastAsia="Noto Serif"/>
          <w:color w:val="1D2833"/>
          <w:sz w:val="20"/>
        </w:rPr>
        <w:t xml:space="preserve">The field kernel and promotion state machine are small enough to be formal verification targets. The goal would not be to verify neural behavior, but to prove properties such as authority intersection, lifecycle legality, threshold approval, immutable evidence references, and fail-closed revocation.</w:t>
      </w:r>
    </w:p>
    <w:bookmarkEnd w:id="165"/>
    <w:bookmarkEnd w:id="166"/>
    <w:bookmarkStart w:id="167" w:name="conclusion"/>
    <w:p>
      <w:pPr>
        <w:pStyle w:val="Heading1"/>
        <w:widowControl w:val="1"/>
        <w:pBdr>
          <w:bottom w:val="single" w:sz="7" w:space="4" w:color="E8EEF3"/>
        </w:pBdr>
      </w:pPr>
      <w:r>
        <w:rPr>
          <w:rStyle w:val="SectionNumber"/>
        </w:rPr>
        <w:t xml:space="preserve">22</w:t>
      </w:r>
      <w:r>
        <w:tab/>
      </w:r>
      <w:r>
        <w:t xml:space="preserve">Conclusion</w:t>
      </w:r>
    </w:p>
    <w:p>
      <w:pPr>
        <w:pStyle w:val="FirstParagraph"/>
        <w:widowControl w:val="1"/>
      </w:pPr>
      <w:r>
        <w:rPr>
          <w:rFonts w:ascii="Noto Serif" w:hAnsi="Noto Serif" w:eastAsia="Noto Serif"/>
          <w:color w:val="1D2833"/>
          <w:sz w:val="20"/>
        </w:rPr>
        <w:t xml:space="preserve">Stable abstractions, replaceable implementations, and a registry are indeed a plausible foundation for self-improving AI, but only after each term is made stronger.</w:t>
      </w:r>
    </w:p>
    <w:p>
      <w:pPr>
        <w:pStyle w:val="BodyText"/>
        <w:widowControl w:val="1"/>
      </w:pPr>
      <w:r>
        <w:rPr>
          <w:rFonts w:ascii="Noto Serif" w:hAnsi="Noto Serif" w:eastAsia="Noto Serif"/>
          <w:color w:val="1D2833"/>
          <w:sz w:val="20"/>
        </w:rPr>
        <w:t xml:space="preserve">The abstraction must be a versioned semantic contract covering protocols, effects, authority, state, failure, uncertainty, and observability. The implementation must be an immutable, provenance-bound revision that may include code, prompts, weights, services, policies, agents, or fused bundles. The registry must be an append-only evidence graph, not a flat lookup table. Selection must be contextual and time-bounded. Shared tools must sit behind explicit capability grants. Promotion must be an auditable transaction with independent evaluation, migration rehearsal, shadow and canary stages, monitoring, containment, and honest treatment of irreversible effects. Changes to contracts, evaluators, authority, and trust roots must receive progressively stronger governance.</w:t>
      </w:r>
    </w:p>
    <w:p>
      <w:pPr>
        <w:pStyle w:val="BodyText"/>
        <w:widowControl w:val="1"/>
      </w:pPr>
      <w:r>
        <w:rPr>
          <w:rFonts w:ascii="Noto Serif" w:hAnsi="Noto Serif" w:eastAsia="Noto Serif"/>
          <w:color w:val="1D2833"/>
          <w:sz w:val="20"/>
        </w:rPr>
        <w:t xml:space="preserve">This architecture does not make a system intelligent by itself, and it does not make a powerful system aligned. Its purpose is more foundational: to make recursive change legible. A system cannot responsibly improve the machinery of its own cognition and action unless it can say what changed, what remained invariant, which evidence supports the change, where the change is qualified, what authority it receives, how state continues, and how failure will be contained.</w:t>
      </w:r>
    </w:p>
    <w:p>
      <w:pPr>
        <w:pStyle w:val="BodyText"/>
        <w:widowControl w:val="1"/>
      </w:pPr>
      <w:r>
        <w:rPr>
          <w:rFonts w:ascii="Noto Serif" w:hAnsi="Noto Serif" w:eastAsia="Noto Serif"/>
          <w:color w:val="1D2833"/>
          <w:sz w:val="20"/>
        </w:rPr>
        <w:t xml:space="preserve">The core proposition can therefore be stated simply:</w:t>
      </w:r>
    </w:p>
    <w:p>
      <w:pPr>
        <w:pStyle w:val="BlockText"/>
        <w:widowControl w:val="1"/>
        <w:shd w:fill="EAF3EF" w:val="clear"/>
        <w:pBdr>
          <w:left w:val="single" w:sz="18" w:space="8" w:color="3F7466"/>
        </w:pBdr>
      </w:pPr>
      <w:r>
        <w:rPr>
          <w:rFonts w:ascii="Noto Serif" w:hAnsi="Noto Serif" w:eastAsia="Noto Serif"/>
          <w:color w:val="19324A"/>
          <w:sz w:val="20"/>
        </w:rPr>
        <w:t xml:space="preserve">Self-improvement should not be modeled as an agent rewriting itself. It should be modeled as a governed population of implementations evolving behind stable capability fields, with every operational transition justified by scoped evidence and bounded by recoverable authority.</w:t>
      </w:r>
    </w:p>
    <w:bookmarkEnd w:id="167"/>
    <w:bookmarkStart w:id="168" w:name="appendix-a-canonical-field-manifest"/>
    <w:p>
      <w:pPr>
        <w:pStyle w:val="Heading1"/>
        <w:pageBreakBefore/>
        <w:widowControl w:val="1"/>
        <w:pBdr>
          <w:bottom w:val="single" w:sz="7" w:space="4" w:color="E8EEF3"/>
        </w:pBdr>
      </w:pPr>
      <w:r>
        <w:t xml:space="preserve">Appendix A: Canonical field manifest</w:t>
      </w:r>
    </w:p>
    <w:p>
      <w:pPr>
        <w:pStyle w:val="FirstParagraph"/>
        <w:widowControl w:val="1"/>
      </w:pPr>
      <w:r>
        <w:rPr>
          <w:rFonts w:ascii="Noto Serif" w:hAnsi="Noto Serif" w:eastAsia="Noto Serif"/>
          <w:color w:val="1D2833"/>
          <w:sz w:val="20"/>
        </w:rPr>
        <w:t xml:space="preserve">The following example is illustrative rather than a prescribed serialization.</w:t>
      </w:r>
    </w:p>
    <w:p>
      <w:pPr>
        <w:pStyle w:val="SourceCode"/>
        <w:keepLines w:val="0"/>
        <w:widowControl w:val="1"/>
        <w:shd w:fill="F4F6F7" w:val="clear"/>
        <w:pBdr>
          <w:left w:val="single" w:sz="12" w:space="5" w:color="355C78"/>
        </w:pBdr>
      </w:pPr>
      <w:r>
        <w:rPr>
          <w:rStyle w:val="FunctionTok"/>
        </w:rPr>
        <w:t xml:space="preserve">apiVersion</w:t>
      </w:r>
      <w:r>
        <w:rPr>
          <w:rStyle w:val="KeywordTok"/>
        </w:rPr>
        <w:t xml:space="preserve">:</w:t>
      </w:r>
      <w:r>
        <w:rPr>
          <w:rStyle w:val="AttributeTok"/>
        </w:rPr>
        <w:t xml:space="preserve"> scf/v1</w:t>
      </w:r>
      <w:r>
        <w:br/>
      </w:r>
      <w:r>
        <w:rPr>
          <w:rStyle w:val="FunctionTok"/>
        </w:rPr>
        <w:t xml:space="preserve">kind</w:t>
      </w:r>
      <w:r>
        <w:rPr>
          <w:rStyle w:val="KeywordTok"/>
        </w:rPr>
        <w:t xml:space="preserve">:</w:t>
      </w:r>
      <w:r>
        <w:rPr>
          <w:rStyle w:val="AttributeTok"/>
        </w:rPr>
        <w:t xml:space="preserve"> CapabilityField</w:t>
      </w:r>
      <w:r>
        <w:br/>
      </w:r>
      <w:r>
        <w:rPr>
          <w:rStyle w:val="FunctionTok"/>
        </w:rPr>
        <w:t xml:space="preserve">metadata</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planning.task_graph</w:t>
      </w:r>
      <w:r>
        <w:br/>
      </w:r>
      <w:r>
        <w:rPr>
          <w:rStyle w:val="AttributeTok"/>
        </w:rPr>
        <w:t xml:space="preserve">  </w:t>
      </w:r>
      <w:r>
        <w:rPr>
          <w:rStyle w:val="FunctionTok"/>
        </w:rPr>
        <w:t xml:space="preserve">title</w:t>
      </w:r>
      <w:r>
        <w:rPr>
          <w:rStyle w:val="KeywordTok"/>
        </w:rPr>
        <w:t xml:space="preserve">:</w:t>
      </w:r>
      <w:r>
        <w:rPr>
          <w:rStyle w:val="AttributeTok"/>
        </w:rPr>
        <w:t xml:space="preserve"> Task Graph Planning</w:t>
      </w:r>
      <w:r>
        <w:br/>
      </w:r>
      <w:r>
        <w:rPr>
          <w:rStyle w:val="AttributeTok"/>
        </w:rPr>
        <w:t xml:space="preserve">  </w:t>
      </w:r>
      <w:r>
        <w:rPr>
          <w:rStyle w:val="FunctionTok"/>
        </w:rPr>
        <w:t xml:space="preserve">owners</w:t>
      </w:r>
      <w:r>
        <w:rPr>
          <w:rStyle w:val="KeywordTok"/>
        </w:rPr>
        <w:t xml:space="preserve">:</w:t>
      </w:r>
      <w:r>
        <w:br/>
      </w:r>
      <w:r>
        <w:rPr>
          <w:rStyle w:val="AttributeTok"/>
        </w:rPr>
        <w:t xml:space="preserve">    </w:t>
      </w:r>
      <w:r>
        <w:rPr>
          <w:rStyle w:val="FunctionTok"/>
        </w:rPr>
        <w:t xml:space="preserve">semantic</w:t>
      </w:r>
      <w:r>
        <w:rPr>
          <w:rStyle w:val="KeywordTok"/>
        </w:rPr>
        <w:t xml:space="preserve">:</w:t>
      </w:r>
      <w:r>
        <w:rPr>
          <w:rStyle w:val="AttributeTok"/>
        </w:rPr>
        <w:t xml:space="preserve"> planning-governance-group</w:t>
      </w:r>
      <w:r>
        <w:br/>
      </w:r>
      <w:r>
        <w:rPr>
          <w:rStyle w:val="AttributeTok"/>
        </w:rPr>
        <w:t xml:space="preserve">    </w:t>
      </w:r>
      <w:r>
        <w:rPr>
          <w:rStyle w:val="FunctionTok"/>
        </w:rPr>
        <w:t xml:space="preserve">operational</w:t>
      </w:r>
      <w:r>
        <w:rPr>
          <w:rStyle w:val="KeywordTok"/>
        </w:rPr>
        <w:t xml:space="preserve">:</w:t>
      </w:r>
      <w:r>
        <w:rPr>
          <w:rStyle w:val="AttributeTok"/>
        </w:rPr>
        <w:t xml:space="preserve"> agent-runtime-team</w:t>
      </w:r>
      <w:r>
        <w:br/>
      </w:r>
      <w:r>
        <w:rPr>
          <w:rStyle w:val="AttributeTok"/>
        </w:rPr>
        <w:t xml:space="preserve">  </w:t>
      </w:r>
      <w:r>
        <w:rPr>
          <w:rStyle w:val="FunctionTok"/>
        </w:rPr>
        <w:t xml:space="preserve">criticality</w:t>
      </w:r>
      <w:r>
        <w:rPr>
          <w:rStyle w:val="KeywordTok"/>
        </w:rPr>
        <w:t xml:space="preserve">:</w:t>
      </w:r>
      <w:r>
        <w:rPr>
          <w:rStyle w:val="AttributeTok"/>
        </w:rPr>
        <w:t xml:space="preserve"> high</w:t>
      </w:r>
      <w:r>
        <w:br/>
      </w:r>
      <w:r>
        <w:br/>
      </w:r>
      <w:r>
        <w:rPr>
          <w:rStyle w:val="FunctionTok"/>
        </w:rPr>
        <w:t xml:space="preserve">contract</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3.2.0</w:t>
      </w:r>
      <w:r>
        <w:br/>
      </w:r>
      <w:r>
        <w:rPr>
          <w:rStyle w:val="AttributeTok"/>
        </w:rPr>
        <w:t xml:space="preserve">  </w:t>
      </w:r>
      <w:r>
        <w:rPr>
          <w:rStyle w:val="FunctionTok"/>
        </w:rPr>
        <w:t xml:space="preserve">inputSchema</w:t>
      </w:r>
      <w:r>
        <w:rPr>
          <w:rStyle w:val="KeywordTok"/>
        </w:rPr>
        <w:t xml:space="preserve">:</w:t>
      </w:r>
      <w:r>
        <w:rPr>
          <w:rStyle w:val="AttributeTok"/>
        </w:rPr>
        <w:t xml:space="preserve"> sha256:...</w:t>
      </w:r>
      <w:r>
        <w:br/>
      </w:r>
      <w:r>
        <w:rPr>
          <w:rStyle w:val="AttributeTok"/>
        </w:rPr>
        <w:t xml:space="preserve">  </w:t>
      </w:r>
      <w:r>
        <w:rPr>
          <w:rStyle w:val="FunctionTok"/>
        </w:rPr>
        <w:t xml:space="preserve">outputSchema</w:t>
      </w:r>
      <w:r>
        <w:rPr>
          <w:rStyle w:val="KeywordTok"/>
        </w:rPr>
        <w:t xml:space="preserve">:</w:t>
      </w:r>
      <w:r>
        <w:rPr>
          <w:rStyle w:val="AttributeTok"/>
        </w:rPr>
        <w:t xml:space="preserve"> sha256:...</w:t>
      </w:r>
      <w:r>
        <w:br/>
      </w:r>
      <w:r>
        <w:rPr>
          <w:rStyle w:val="AttributeTok"/>
        </w:rPr>
        <w:t xml:space="preserve">  </w:t>
      </w:r>
      <w:r>
        <w:rPr>
          <w:rStyle w:val="FunctionTok"/>
        </w:rPr>
        <w:t xml:space="preserve">normativeSpec</w:t>
      </w:r>
      <w:r>
        <w:rPr>
          <w:rStyle w:val="KeywordTok"/>
        </w:rPr>
        <w:t xml:space="preserve">:</w:t>
      </w:r>
      <w:r>
        <w:rPr>
          <w:rStyle w:val="AttributeTok"/>
        </w:rPr>
        <w:t xml:space="preserve"> sha256:...</w:t>
      </w:r>
      <w:r>
        <w:br/>
      </w:r>
      <w:r>
        <w:rPr>
          <w:rStyle w:val="AttributeTok"/>
        </w:rPr>
        <w:t xml:space="preserve">  </w:t>
      </w:r>
      <w:r>
        <w:rPr>
          <w:rStyle w:val="FunctionTok"/>
        </w:rPr>
        <w:t xml:space="preserve">preconditions</w:t>
      </w:r>
      <w:r>
        <w:rPr>
          <w:rStyle w:val="KeywordTok"/>
        </w:rPr>
        <w:t xml:space="preserve">:</w:t>
      </w:r>
      <w:r>
        <w:br/>
      </w:r>
      <w:r>
        <w:rPr>
          <w:rStyle w:val="AttributeTok"/>
        </w:rPr>
        <w:t xml:space="preserve">    </w:t>
      </w:r>
      <w:r>
        <w:rPr>
          <w:rStyle w:val="KeywordTok"/>
        </w:rPr>
        <w:t xml:space="preserve">-</w:t>
      </w:r>
      <w:r>
        <w:rPr>
          <w:rStyle w:val="AttributeTok"/>
        </w:rPr>
        <w:t xml:space="preserve"> goal.success_criteria is present</w:t>
      </w:r>
      <w:r>
        <w:br/>
      </w:r>
      <w:r>
        <w:rPr>
          <w:rStyle w:val="AttributeTok"/>
        </w:rPr>
        <w:t xml:space="preserve">    </w:t>
      </w:r>
      <w:r>
        <w:rPr>
          <w:rStyle w:val="KeywordTok"/>
        </w:rPr>
        <w:t xml:space="preserve">-</w:t>
      </w:r>
      <w:r>
        <w:rPr>
          <w:rStyle w:val="AttributeTok"/>
        </w:rPr>
        <w:t xml:space="preserve"> deployment.authority excludes effects</w:t>
      </w:r>
      <w:r>
        <w:br/>
      </w:r>
      <w:r>
        <w:rPr>
          <w:rStyle w:val="AttributeTok"/>
        </w:rPr>
        <w:t xml:space="preserve">  </w:t>
      </w:r>
      <w:r>
        <w:rPr>
          <w:rStyle w:val="FunctionTok"/>
        </w:rPr>
        <w:t xml:space="preserve">invariants</w:t>
      </w:r>
      <w:r>
        <w:rPr>
          <w:rStyle w:val="KeywordTok"/>
        </w:rPr>
        <w:t xml:space="preserve">:</w:t>
      </w:r>
      <w:r>
        <w:br/>
      </w:r>
      <w:r>
        <w:rPr>
          <w:rStyle w:val="AttributeTok"/>
        </w:rPr>
        <w:t xml:space="preserve">    </w:t>
      </w:r>
      <w:r>
        <w:rPr>
          <w:rStyle w:val="KeywordTok"/>
        </w:rPr>
        <w:t xml:space="preserve">-</w:t>
      </w:r>
      <w:r>
        <w:rPr>
          <w:rStyle w:val="AttributeTok"/>
        </w:rPr>
        <w:t xml:space="preserve"> user_constraints_preserved</w:t>
      </w:r>
      <w:r>
        <w:br/>
      </w:r>
      <w:r>
        <w:rPr>
          <w:rStyle w:val="AttributeTok"/>
        </w:rPr>
        <w:t xml:space="preserve">    </w:t>
      </w:r>
      <w:r>
        <w:rPr>
          <w:rStyle w:val="KeywordTok"/>
        </w:rPr>
        <w:t xml:space="preserve">-</w:t>
      </w:r>
      <w:r>
        <w:rPr>
          <w:rStyle w:val="AttributeTok"/>
        </w:rPr>
        <w:t xml:space="preserve"> irreversible_steps_labeled</w:t>
      </w:r>
      <w:r>
        <w:br/>
      </w:r>
      <w:r>
        <w:rPr>
          <w:rStyle w:val="AttributeTok"/>
        </w:rPr>
        <w:t xml:space="preserve">    </w:t>
      </w:r>
      <w:r>
        <w:rPr>
          <w:rStyle w:val="KeywordTok"/>
        </w:rPr>
        <w:t xml:space="preserve">-</w:t>
      </w:r>
      <w:r>
        <w:rPr>
          <w:rStyle w:val="AttributeTok"/>
        </w:rPr>
        <w:t xml:space="preserve"> unsupported_assumptions_explicit</w:t>
      </w:r>
      <w:r>
        <w:br/>
      </w:r>
      <w:r>
        <w:rPr>
          <w:rStyle w:val="AttributeTok"/>
        </w:rPr>
        <w:t xml:space="preserve">  </w:t>
      </w:r>
      <w:r>
        <w:rPr>
          <w:rStyle w:val="FunctionTok"/>
        </w:rPr>
        <w:t xml:space="preserve">protocol</w:t>
      </w:r>
      <w:r>
        <w:rPr>
          <w:rStyle w:val="KeywordTok"/>
        </w:rPr>
        <w:t xml:space="preserve">:</w:t>
      </w:r>
      <w:r>
        <w:rPr>
          <w:rStyle w:val="AttributeTok"/>
        </w:rPr>
        <w:t xml:space="preserve"> sha256:planner-state-machine</w:t>
      </w:r>
      <w:r>
        <w:br/>
      </w:r>
      <w:r>
        <w:rPr>
          <w:rStyle w:val="AttributeTok"/>
        </w:rPr>
        <w:t xml:space="preserve">  </w:t>
      </w:r>
      <w:r>
        <w:rPr>
          <w:rStyle w:val="FunctionTok"/>
        </w:rPr>
        <w:t xml:space="preserve">effects</w:t>
      </w:r>
      <w:r>
        <w:rPr>
          <w:rStyle w:val="KeywordTok"/>
        </w:rPr>
        <w:t xml:space="preserve">:</w:t>
      </w:r>
      <w:r>
        <w:br/>
      </w:r>
      <w:r>
        <w:rPr>
          <w:rStyle w:val="AttributeTok"/>
        </w:rPr>
        <w:t xml:space="preserve">    </w:t>
      </w:r>
      <w:r>
        <w:rPr>
          <w:rStyle w:val="FunctionTok"/>
        </w:rPr>
        <w:t xml:space="preserve">allowed</w:t>
      </w:r>
      <w:r>
        <w:rPr>
          <w:rStyle w:val="KeywordTok"/>
        </w:rPr>
        <w:t xml:space="preserve">:</w:t>
      </w:r>
      <w:r>
        <w:rPr>
          <w:rStyle w:val="AttributeTok"/>
        </w:rPr>
        <w:t xml:space="preserve"> </w:t>
      </w:r>
      <w:r>
        <w:rPr>
          <w:rStyle w:val="KeywordTok"/>
        </w:rPr>
        <w:t xml:space="preserve">[</w:t>
      </w:r>
      <w:r>
        <w:rPr>
          <w:rStyle w:val="AttributeTok"/>
        </w:rPr>
        <w:t xml:space="preserve">pure</w:t>
      </w:r>
      <w:r>
        <w:rPr>
          <w:rStyle w:val="KeywordTok"/>
        </w:rPr>
        <w:t xml:space="preserve">]</w:t>
      </w:r>
      <w:r>
        <w:br/>
      </w:r>
      <w:r>
        <w:rPr>
          <w:rStyle w:val="AttributeTok"/>
        </w:rPr>
        <w:t xml:space="preserve">  </w:t>
      </w:r>
      <w:r>
        <w:rPr>
          <w:rStyle w:val="FunctionTok"/>
        </w:rPr>
        <w:t xml:space="preserve">authorityCeiling</w:t>
      </w:r>
      <w:r>
        <w:rPr>
          <w:rStyle w:val="KeywordTok"/>
        </w:rPr>
        <w:t xml:space="preserve">:</w:t>
      </w:r>
      <w:r>
        <w:br/>
      </w:r>
      <w:r>
        <w:rPr>
          <w:rStyle w:val="AttributeTok"/>
        </w:rPr>
        <w:t xml:space="preserve">    </w:t>
      </w:r>
      <w:r>
        <w:rPr>
          <w:rStyle w:val="FunctionTok"/>
        </w:rPr>
        <w:t xml:space="preserve">tools</w:t>
      </w:r>
      <w:r>
        <w:rPr>
          <w:rStyle w:val="KeywordTok"/>
        </w:rPr>
        <w:t xml:space="preserve">:</w:t>
      </w:r>
      <w:r>
        <w:rPr>
          <w:rStyle w:val="AttributeTok"/>
        </w:rPr>
        <w:t xml:space="preserve"> </w:t>
      </w:r>
      <w:r>
        <w:rPr>
          <w:rStyle w:val="KeywordTok"/>
        </w:rPr>
        <w:t xml:space="preserve">[</w:t>
      </w:r>
      <w:r>
        <w:rPr>
          <w:rStyle w:val="AttributeTok"/>
        </w:rPr>
        <w:t xml:space="preserve">none</w:t>
      </w:r>
      <w:r>
        <w:rPr>
          <w:rStyle w:val="KeywordTok"/>
        </w:rPr>
        <w:t xml:space="preserve">]</w:t>
      </w:r>
      <w:r>
        <w:br/>
      </w:r>
      <w:r>
        <w:rPr>
          <w:rStyle w:val="AttributeTok"/>
        </w:rPr>
        <w:t xml:space="preserve">    </w:t>
      </w:r>
      <w:r>
        <w:rPr>
          <w:rStyle w:val="FunctionTok"/>
        </w:rPr>
        <w:t xml:space="preserve">dataRead</w:t>
      </w:r>
      <w:r>
        <w:rPr>
          <w:rStyle w:val="KeywordTok"/>
        </w:rPr>
        <w:t xml:space="preserve">:</w:t>
      </w:r>
      <w:r>
        <w:rPr>
          <w:rStyle w:val="AttributeTok"/>
        </w:rPr>
        <w:t xml:space="preserve"> </w:t>
      </w:r>
      <w:r>
        <w:rPr>
          <w:rStyle w:val="KeywordTok"/>
        </w:rPr>
        <w:t xml:space="preserve">[</w:t>
      </w:r>
      <w:r>
        <w:rPr>
          <w:rStyle w:val="AttributeTok"/>
        </w:rPr>
        <w:t xml:space="preserve">provided_context</w:t>
      </w:r>
      <w:r>
        <w:rPr>
          <w:rStyle w:val="KeywordTok"/>
        </w:rPr>
        <w:t xml:space="preserve">]</w:t>
      </w:r>
      <w:r>
        <w:br/>
      </w:r>
      <w:r>
        <w:rPr>
          <w:rStyle w:val="AttributeTok"/>
        </w:rPr>
        <w:t xml:space="preserve">    </w:t>
      </w:r>
      <w:r>
        <w:rPr>
          <w:rStyle w:val="FunctionTok"/>
        </w:rPr>
        <w:t xml:space="preserve">dataWrite</w:t>
      </w:r>
      <w:r>
        <w:rPr>
          <w:rStyle w:val="KeywordTok"/>
        </w:rPr>
        <w:t xml:space="preserve">:</w:t>
      </w:r>
      <w:r>
        <w:rPr>
          <w:rStyle w:val="AttributeTok"/>
        </w:rPr>
        <w:t xml:space="preserve"> </w:t>
      </w:r>
      <w:r>
        <w:rPr>
          <w:rStyle w:val="KeywordTok"/>
        </w:rPr>
        <w:t xml:space="preserve">[</w:t>
      </w:r>
      <w:r>
        <w:rPr>
          <w:rStyle w:val="AttributeTok"/>
        </w:rPr>
        <w:t xml:space="preserve">plan_artifact</w:t>
      </w:r>
      <w:r>
        <w:rPr>
          <w:rStyle w:val="KeywordTok"/>
        </w:rPr>
        <w:t xml:space="preserve">]</w:t>
      </w:r>
      <w:r>
        <w:br/>
      </w:r>
      <w:r>
        <w:rPr>
          <w:rStyle w:val="AttributeTok"/>
        </w:rPr>
        <w:t xml:space="preserve">    </w:t>
      </w:r>
      <w:r>
        <w:rPr>
          <w:rStyle w:val="FunctionTok"/>
        </w:rPr>
        <w:t xml:space="preserve">delegationDepth</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latencyP95Ms</w:t>
      </w:r>
      <w:r>
        <w:rPr>
          <w:rStyle w:val="KeywordTok"/>
        </w:rPr>
        <w:t xml:space="preserve">:</w:t>
      </w:r>
      <w:r>
        <w:rPr>
          <w:rStyle w:val="AttributeTok"/>
        </w:rPr>
        <w:t xml:space="preserve"> </w:t>
      </w:r>
      <w:r>
        <w:rPr>
          <w:rStyle w:val="DecValTok"/>
        </w:rPr>
        <w:t xml:space="preserve">30000</w:t>
      </w:r>
      <w:r>
        <w:br/>
      </w:r>
      <w:r>
        <w:rPr>
          <w:rStyle w:val="AttributeTok"/>
        </w:rPr>
        <w:t xml:space="preserve">    </w:t>
      </w:r>
      <w:r>
        <w:rPr>
          <w:rStyle w:val="FunctionTok"/>
        </w:rPr>
        <w:t xml:space="preserve">tokenBudget</w:t>
      </w:r>
      <w:r>
        <w:rPr>
          <w:rStyle w:val="KeywordTok"/>
        </w:rPr>
        <w:t xml:space="preserve">:</w:t>
      </w:r>
      <w:r>
        <w:rPr>
          <w:rStyle w:val="AttributeTok"/>
        </w:rPr>
        <w:t xml:space="preserve"> </w:t>
      </w:r>
      <w:r>
        <w:rPr>
          <w:rStyle w:val="DecValTok"/>
        </w:rPr>
        <w:t xml:space="preserve">120000</w:t>
      </w:r>
      <w:r>
        <w:br/>
      </w:r>
      <w:r>
        <w:rPr>
          <w:rStyle w:val="AttributeTok"/>
        </w:rPr>
        <w:t xml:space="preserve">    </w:t>
      </w:r>
      <w:r>
        <w:rPr>
          <w:rStyle w:val="FunctionTok"/>
        </w:rPr>
        <w:t xml:space="preserve">spendUsd</w:t>
      </w:r>
      <w:r>
        <w:rPr>
          <w:rStyle w:val="KeywordTok"/>
        </w:rPr>
        <w:t xml:space="preserve">:</w:t>
      </w:r>
      <w:r>
        <w:rPr>
          <w:rStyle w:val="AttributeTok"/>
        </w:rPr>
        <w:t xml:space="preserve"> </w:t>
      </w:r>
      <w:r>
        <w:rPr>
          <w:rStyle w:val="FloatTok"/>
        </w:rPr>
        <w:t xml:space="preserve">2.00</w:t>
      </w:r>
      <w:r>
        <w:br/>
      </w:r>
      <w:r>
        <w:rPr>
          <w:rStyle w:val="AttributeTok"/>
        </w:rPr>
        <w:t xml:space="preserve">  </w:t>
      </w:r>
      <w:r>
        <w:rPr>
          <w:rStyle w:val="FunctionTok"/>
        </w:rPr>
        <w:t xml:space="preserve">failures</w:t>
      </w:r>
      <w:r>
        <w:rPr>
          <w:rStyle w:val="KeywordTok"/>
        </w:rPr>
        <w:t xml:space="preserve">:</w:t>
      </w:r>
      <w:r>
        <w:br/>
      </w:r>
      <w:r>
        <w:rPr>
          <w:rStyle w:val="AttributeTok"/>
        </w:rPr>
        <w:t xml:space="preserve">    </w:t>
      </w:r>
      <w:r>
        <w:rPr>
          <w:rStyle w:val="KeywordTok"/>
        </w:rPr>
        <w:t xml:space="preserve">-</w:t>
      </w:r>
      <w:r>
        <w:rPr>
          <w:rStyle w:val="AttributeTok"/>
        </w:rPr>
        <w:t xml:space="preserve"> infeasible</w:t>
      </w:r>
      <w:r>
        <w:br/>
      </w:r>
      <w:r>
        <w:rPr>
          <w:rStyle w:val="AttributeTok"/>
        </w:rPr>
        <w:t xml:space="preserve">    </w:t>
      </w:r>
      <w:r>
        <w:rPr>
          <w:rStyle w:val="KeywordTok"/>
        </w:rPr>
        <w:t xml:space="preserve">-</w:t>
      </w:r>
      <w:r>
        <w:rPr>
          <w:rStyle w:val="AttributeTok"/>
        </w:rPr>
        <w:t xml:space="preserve"> underspecified</w:t>
      </w:r>
      <w:r>
        <w:br/>
      </w:r>
      <w:r>
        <w:rPr>
          <w:rStyle w:val="AttributeTok"/>
        </w:rPr>
        <w:t xml:space="preserve">    </w:t>
      </w:r>
      <w:r>
        <w:rPr>
          <w:rStyle w:val="KeywordTok"/>
        </w:rPr>
        <w:t xml:space="preserve">-</w:t>
      </w:r>
      <w:r>
        <w:rPr>
          <w:rStyle w:val="AttributeTok"/>
        </w:rPr>
        <w:t xml:space="preserve"> resource_exceeded</w:t>
      </w:r>
      <w:r>
        <w:br/>
      </w:r>
      <w:r>
        <w:rPr>
          <w:rStyle w:val="AttributeTok"/>
        </w:rPr>
        <w:t xml:space="preserve">    </w:t>
      </w:r>
      <w:r>
        <w:rPr>
          <w:rStyle w:val="KeywordTok"/>
        </w:rPr>
        <w:t xml:space="preserve">-</w:t>
      </w:r>
      <w:r>
        <w:rPr>
          <w:rStyle w:val="AttributeTok"/>
        </w:rPr>
        <w:t xml:space="preserve"> internal_error</w:t>
      </w:r>
      <w:r>
        <w:br/>
      </w:r>
      <w:r>
        <w:rPr>
          <w:rStyle w:val="AttributeTok"/>
        </w:rPr>
        <w:t xml:space="preserve">  </w:t>
      </w:r>
      <w:r>
        <w:rPr>
          <w:rStyle w:val="FunctionTok"/>
        </w:rPr>
        <w:t xml:space="preserve">uncertainty</w:t>
      </w:r>
      <w:r>
        <w:rPr>
          <w:rStyle w:val="KeywordTok"/>
        </w:rPr>
        <w:t xml:space="preserve">:</w:t>
      </w:r>
      <w:r>
        <w:br/>
      </w:r>
      <w:r>
        <w:rPr>
          <w:rStyle w:val="AttributeTok"/>
        </w:rPr>
        <w:t xml:space="preserve">    </w:t>
      </w:r>
      <w:r>
        <w:rPr>
          <w:rStyle w:val="FunctionTok"/>
        </w:rPr>
        <w:t xml:space="preserve">requiredFields</w:t>
      </w:r>
      <w:r>
        <w:rPr>
          <w:rStyle w:val="KeywordTok"/>
        </w:rPr>
        <w:t xml:space="preserve">:</w:t>
      </w:r>
      <w:r>
        <w:rPr>
          <w:rStyle w:val="AttributeTok"/>
        </w:rPr>
        <w:t xml:space="preserve"> </w:t>
      </w:r>
      <w:r>
        <w:rPr>
          <w:rStyle w:val="KeywordTok"/>
        </w:rPr>
        <w:t xml:space="preserve">[</w:t>
      </w:r>
      <w:r>
        <w:rPr>
          <w:rStyle w:val="AttributeTok"/>
        </w:rPr>
        <w:t xml:space="preserve">confidence</w:t>
      </w:r>
      <w:r>
        <w:rPr>
          <w:rStyle w:val="KeywordTok"/>
        </w:rPr>
        <w:t xml:space="preserve">,</w:t>
      </w:r>
      <w:r>
        <w:rPr>
          <w:rStyle w:val="AttributeTok"/>
        </w:rPr>
        <w:t xml:space="preserve"> assumptions</w:t>
      </w:r>
      <w:r>
        <w:rPr>
          <w:rStyle w:val="KeywordTok"/>
        </w:rPr>
        <w:t xml:space="preserve">,</w:t>
      </w:r>
      <w:r>
        <w:rPr>
          <w:rStyle w:val="AttributeTok"/>
        </w:rPr>
        <w:t xml:space="preserve"> unresolved_questions</w:t>
      </w:r>
      <w:r>
        <w:rPr>
          <w:rStyle w:val="KeywordTok"/>
        </w:rPr>
        <w:t xml:space="preserve">]</w:t>
      </w:r>
      <w:r>
        <w:br/>
      </w:r>
      <w:r>
        <w:rPr>
          <w:rStyle w:val="AttributeTok"/>
        </w:rPr>
        <w:t xml:space="preserve">  </w:t>
      </w:r>
      <w:r>
        <w:rPr>
          <w:rStyle w:val="FunctionTok"/>
        </w:rPr>
        <w:t xml:space="preserve">observability</w:t>
      </w:r>
      <w:r>
        <w:rPr>
          <w:rStyle w:val="KeywordTok"/>
        </w:rPr>
        <w:t xml:space="preserve">:</w:t>
      </w:r>
      <w:r>
        <w:br/>
      </w:r>
      <w:r>
        <w:rPr>
          <w:rStyle w:val="AttributeTok"/>
        </w:rPr>
        <w:t xml:space="preserve">    </w:t>
      </w:r>
      <w:r>
        <w:rPr>
          <w:rStyle w:val="FunctionTok"/>
        </w:rPr>
        <w:t xml:space="preserve">requiredEvents</w:t>
      </w:r>
      <w:r>
        <w:rPr>
          <w:rStyle w:val="KeywordTok"/>
        </w:rPr>
        <w:t xml:space="preserve">:</w:t>
      </w:r>
      <w:r>
        <w:rPr>
          <w:rStyle w:val="AttributeTok"/>
        </w:rPr>
        <w:t xml:space="preserve"> </w:t>
      </w:r>
      <w:r>
        <w:rPr>
          <w:rStyle w:val="KeywordTok"/>
        </w:rPr>
        <w:t xml:space="preserve">[</w:t>
      </w:r>
      <w:r>
        <w:rPr>
          <w:rStyle w:val="AttributeTok"/>
        </w:rPr>
        <w:t xml:space="preserve">route_selected</w:t>
      </w:r>
      <w:r>
        <w:rPr>
          <w:rStyle w:val="KeywordTok"/>
        </w:rPr>
        <w:t xml:space="preserve">,</w:t>
      </w:r>
      <w:r>
        <w:rPr>
          <w:rStyle w:val="AttributeTok"/>
        </w:rPr>
        <w:t xml:space="preserve"> model_used</w:t>
      </w:r>
      <w:r>
        <w:rPr>
          <w:rStyle w:val="KeywordTok"/>
        </w:rPr>
        <w:t xml:space="preserve">,</w:t>
      </w:r>
      <w:r>
        <w:rPr>
          <w:rStyle w:val="AttributeTok"/>
        </w:rPr>
        <w:t xml:space="preserve"> artifact_emitted</w:t>
      </w:r>
      <w:r>
        <w:rPr>
          <w:rStyle w:val="KeywordTok"/>
        </w:rPr>
        <w:t xml:space="preserve">]</w:t>
      </w:r>
      <w:r>
        <w:br/>
      </w:r>
      <w:r>
        <w:br/>
      </w:r>
      <w:r>
        <w:rPr>
          <w:rStyle w:val="FunctionTok"/>
        </w:rPr>
        <w:t xml:space="preserve">state</w:t>
      </w:r>
      <w:r>
        <w:rPr>
          <w:rStyle w:val="KeywordTok"/>
        </w:rPr>
        <w:t xml:space="preserve">:</w:t>
      </w:r>
      <w:r>
        <w:br/>
      </w:r>
      <w:r>
        <w:rPr>
          <w:rStyle w:val="AttributeTok"/>
        </w:rPr>
        <w:t xml:space="preserve">  </w:t>
      </w:r>
      <w:r>
        <w:rPr>
          <w:rStyle w:val="FunctionTok"/>
        </w:rPr>
        <w:t xml:space="preserve">ownership</w:t>
      </w:r>
      <w:r>
        <w:rPr>
          <w:rStyle w:val="KeywordTok"/>
        </w:rPr>
        <w:t xml:space="preserve">:</w:t>
      </w:r>
      <w:r>
        <w:rPr>
          <w:rStyle w:val="AttributeTok"/>
        </w:rPr>
        <w:t xml:space="preserve"> field</w:t>
      </w:r>
      <w:r>
        <w:br/>
      </w:r>
      <w:r>
        <w:rPr>
          <w:rStyle w:val="AttributeTok"/>
        </w:rPr>
        <w:t xml:space="preserve">  </w:t>
      </w:r>
      <w:r>
        <w:rPr>
          <w:rStyle w:val="FunctionTok"/>
        </w:rPr>
        <w:t xml:space="preserve">currentSchema</w:t>
      </w:r>
      <w:r>
        <w:rPr>
          <w:rStyle w:val="KeywordTok"/>
        </w:rPr>
        <w:t xml:space="preserve">:</w:t>
      </w:r>
      <w:r>
        <w:rPr>
          <w:rStyle w:val="AttributeTok"/>
        </w:rPr>
        <w:t xml:space="preserve"> planning-state/v5</w:t>
      </w:r>
      <w:r>
        <w:br/>
      </w:r>
      <w:r>
        <w:rPr>
          <w:rStyle w:val="AttributeTok"/>
        </w:rPr>
        <w:t xml:space="preserve">  </w:t>
      </w:r>
      <w:r>
        <w:rPr>
          <w:rStyle w:val="FunctionTok"/>
        </w:rPr>
        <w:t xml:space="preserve">classes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planning_cache</w:t>
      </w:r>
      <w:r>
        <w:br/>
      </w:r>
      <w:r>
        <w:rPr>
          <w:rStyle w:val="AttributeTok"/>
        </w:rPr>
        <w:t xml:space="preserve">      </w:t>
      </w:r>
      <w:r>
        <w:rPr>
          <w:rStyle w:val="FunctionTok"/>
        </w:rPr>
        <w:t xml:space="preserve">type</w:t>
      </w:r>
      <w:r>
        <w:rPr>
          <w:rStyle w:val="KeywordTok"/>
        </w:rPr>
        <w:t xml:space="preserve">:</w:t>
      </w:r>
      <w:r>
        <w:rPr>
          <w:rStyle w:val="AttributeTok"/>
        </w:rPr>
        <w:t xml:space="preserve"> cache</w:t>
      </w:r>
      <w:r>
        <w:br/>
      </w:r>
      <w:r>
        <w:rPr>
          <w:rStyle w:val="AttributeTok"/>
        </w:rPr>
        <w:t xml:space="preserve">      </w:t>
      </w:r>
      <w:r>
        <w:rPr>
          <w:rStyle w:val="FunctionTok"/>
        </w:rPr>
        <w:t xml:space="preserve">reconstructible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plan_history</w:t>
      </w:r>
      <w:r>
        <w:br/>
      </w:r>
      <w:r>
        <w:rPr>
          <w:rStyle w:val="AttributeTok"/>
        </w:rPr>
        <w:t xml:space="preserve">      </w:t>
      </w:r>
      <w:r>
        <w:rPr>
          <w:rStyle w:val="FunctionTok"/>
        </w:rPr>
        <w:t xml:space="preserve">type</w:t>
      </w:r>
      <w:r>
        <w:rPr>
          <w:rStyle w:val="KeywordTok"/>
        </w:rPr>
        <w:t xml:space="preserve">:</w:t>
      </w:r>
      <w:r>
        <w:rPr>
          <w:rStyle w:val="AttributeTok"/>
        </w:rPr>
        <w:t xml:space="preserve"> durable</w:t>
      </w:r>
      <w:r>
        <w:br/>
      </w:r>
      <w:r>
        <w:rPr>
          <w:rStyle w:val="AttributeTok"/>
        </w:rPr>
        <w:t xml:space="preserve">      </w:t>
      </w:r>
      <w:r>
        <w:rPr>
          <w:rStyle w:val="FunctionTok"/>
        </w:rPr>
        <w:t xml:space="preserve">retention</w:t>
      </w:r>
      <w:r>
        <w:rPr>
          <w:rStyle w:val="KeywordTok"/>
        </w:rPr>
        <w:t xml:space="preserve">:</w:t>
      </w:r>
      <w:r>
        <w:rPr>
          <w:rStyle w:val="AttributeTok"/>
        </w:rPr>
        <w:t xml:space="preserve"> P180D</w:t>
      </w:r>
      <w:r>
        <w:br/>
      </w:r>
      <w:r>
        <w:rPr>
          <w:rStyle w:val="AttributeTok"/>
        </w:rPr>
        <w:t xml:space="preserve">  </w:t>
      </w:r>
      <w:r>
        <w:rPr>
          <w:rStyle w:val="FunctionTok"/>
        </w:rPr>
        <w:t xml:space="preserve">migrations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planning-state/v4</w:t>
      </w:r>
      <w:r>
        <w:br/>
      </w:r>
      <w:r>
        <w:rPr>
          <w:rStyle w:val="AttributeTok"/>
        </w:rPr>
        <w:t xml:space="preserve">      </w:t>
      </w:r>
      <w:r>
        <w:rPr>
          <w:rStyle w:val="FunctionTok"/>
        </w:rPr>
        <w:t xml:space="preserve">to</w:t>
      </w:r>
      <w:r>
        <w:rPr>
          <w:rStyle w:val="KeywordTok"/>
        </w:rPr>
        <w:t xml:space="preserve">:</w:t>
      </w:r>
      <w:r>
        <w:rPr>
          <w:rStyle w:val="AttributeTok"/>
        </w:rPr>
        <w:t xml:space="preserve"> planning-state/v5</w:t>
      </w:r>
      <w:r>
        <w:br/>
      </w:r>
      <w:r>
        <w:rPr>
          <w:rStyle w:val="AttributeTok"/>
        </w:rPr>
        <w:t xml:space="preserve">      </w:t>
      </w:r>
      <w:r>
        <w:rPr>
          <w:rStyle w:val="FunctionTok"/>
        </w:rPr>
        <w:t xml:space="preserve">artifact</w:t>
      </w:r>
      <w:r>
        <w:rPr>
          <w:rStyle w:val="KeywordTok"/>
        </w:rPr>
        <w:t xml:space="preserve">:</w:t>
      </w:r>
      <w:r>
        <w:rPr>
          <w:rStyle w:val="AttributeTok"/>
        </w:rPr>
        <w:t xml:space="preserve"> sha256:...</w:t>
      </w:r>
      <w:r>
        <w:br/>
      </w:r>
      <w:r>
        <w:rPr>
          <w:rStyle w:val="AttributeTok"/>
        </w:rPr>
        <w:t xml:space="preserve">      </w:t>
      </w:r>
      <w:r>
        <w:rPr>
          <w:rStyle w:val="FunctionTok"/>
        </w:rPr>
        <w:t xml:space="preserve">reverse</w:t>
      </w:r>
      <w:r>
        <w:rPr>
          <w:rStyle w:val="KeywordTok"/>
        </w:rPr>
        <w:t xml:space="preserve">:</w:t>
      </w:r>
      <w:r>
        <w:rPr>
          <w:rStyle w:val="AttributeTok"/>
        </w:rPr>
        <w:t xml:space="preserve"> sha256:...</w:t>
      </w:r>
      <w:r>
        <w:br/>
      </w:r>
      <w:r>
        <w:rPr>
          <w:rStyle w:val="AttributeTok"/>
        </w:rPr>
        <w:t xml:space="preserve">      </w:t>
      </w:r>
      <w:r>
        <w:rPr>
          <w:rStyle w:val="FunctionTok"/>
        </w:rPr>
        <w:t xml:space="preserve">rehearsalEvidence</w:t>
      </w:r>
      <w:r>
        <w:rPr>
          <w:rStyle w:val="KeywordTok"/>
        </w:rPr>
        <w:t xml:space="preserve">:</w:t>
      </w:r>
      <w:r>
        <w:rPr>
          <w:rStyle w:val="AttributeTok"/>
        </w:rPr>
        <w:t xml:space="preserve"> ev:...</w:t>
      </w:r>
      <w:r>
        <w:br/>
      </w:r>
      <w:r>
        <w:br/>
      </w:r>
      <w:r>
        <w:rPr>
          <w:rStyle w:val="FunctionTok"/>
        </w:rPr>
        <w:t xml:space="preserve">implementationPolicy</w:t>
      </w:r>
      <w:r>
        <w:rPr>
          <w:rStyle w:val="KeywordTok"/>
        </w:rPr>
        <w:t xml:space="preserve">:</w:t>
      </w:r>
      <w:r>
        <w:br/>
      </w:r>
      <w:r>
        <w:rPr>
          <w:rStyle w:val="AttributeTok"/>
        </w:rPr>
        <w:t xml:space="preserve">  </w:t>
      </w:r>
      <w:r>
        <w:rPr>
          <w:rStyle w:val="FunctionTok"/>
        </w:rPr>
        <w:t xml:space="preserve">acceptedKinds</w:t>
      </w:r>
      <w:r>
        <w:rPr>
          <w:rStyle w:val="KeywordTok"/>
        </w:rPr>
        <w:t xml:space="preserve">:</w:t>
      </w:r>
      <w:r>
        <w:rPr>
          <w:rStyle w:val="AttributeTok"/>
        </w:rPr>
        <w:t xml:space="preserve"> </w:t>
      </w:r>
      <w:r>
        <w:rPr>
          <w:rStyle w:val="KeywordTok"/>
        </w:rPr>
        <w:t xml:space="preserve">[</w:t>
      </w:r>
      <w:r>
        <w:rPr>
          <w:rStyle w:val="AttributeTok"/>
        </w:rPr>
        <w:t xml:space="preserve">code</w:t>
      </w:r>
      <w:r>
        <w:rPr>
          <w:rStyle w:val="KeywordTok"/>
        </w:rPr>
        <w:t xml:space="preserve">,</w:t>
      </w:r>
      <w:r>
        <w:rPr>
          <w:rStyle w:val="AttributeTok"/>
        </w:rPr>
        <w:t xml:space="preserve"> prompt</w:t>
      </w:r>
      <w:r>
        <w:rPr>
          <w:rStyle w:val="KeywordTok"/>
        </w:rPr>
        <w:t xml:space="preserve">,</w:t>
      </w:r>
      <w:r>
        <w:rPr>
          <w:rStyle w:val="AttributeTok"/>
        </w:rPr>
        <w:t xml:space="preserve"> model</w:t>
      </w:r>
      <w:r>
        <w:rPr>
          <w:rStyle w:val="KeywordTok"/>
        </w:rPr>
        <w:t xml:space="preserve">,</w:t>
      </w:r>
      <w:r>
        <w:rPr>
          <w:rStyle w:val="AttributeTok"/>
        </w:rPr>
        <w:t xml:space="preserve"> service</w:t>
      </w:r>
      <w:r>
        <w:rPr>
          <w:rStyle w:val="KeywordTok"/>
        </w:rPr>
        <w:t xml:space="preserve">,</w:t>
      </w:r>
      <w:r>
        <w:rPr>
          <w:rStyle w:val="AttributeTok"/>
        </w:rPr>
        <w:t xml:space="preserve"> agent_graph</w:t>
      </w:r>
      <w:r>
        <w:rPr>
          <w:rStyle w:val="KeywordTok"/>
        </w:rPr>
        <w:t xml:space="preserve">,</w:t>
      </w:r>
      <w:r>
        <w:rPr>
          <w:rStyle w:val="AttributeTok"/>
        </w:rPr>
        <w:t xml:space="preserve"> bundle</w:t>
      </w:r>
      <w:r>
        <w:rPr>
          <w:rStyle w:val="KeywordTok"/>
        </w:rPr>
        <w:t xml:space="preserve">]</w:t>
      </w:r>
      <w:r>
        <w:br/>
      </w:r>
      <w:r>
        <w:rPr>
          <w:rStyle w:val="AttributeTok"/>
        </w:rPr>
        <w:t xml:space="preserve">  </w:t>
      </w:r>
      <w:r>
        <w:rPr>
          <w:rStyle w:val="FunctionTok"/>
        </w:rPr>
        <w:t xml:space="preserve">onlineAdaptation</w:t>
      </w:r>
      <w:r>
        <w:rPr>
          <w:rStyle w:val="KeywordTok"/>
        </w:rPr>
        <w:t xml:space="preserve">:</w:t>
      </w:r>
      <w:r>
        <w:br/>
      </w:r>
      <w:r>
        <w:rPr>
          <w:rStyle w:val="AttributeTok"/>
        </w:rPr>
        <w:t xml:space="preserve">    </w:t>
      </w:r>
      <w:r>
        <w:rPr>
          <w:rStyle w:val="FunctionTok"/>
        </w:rPr>
        <w:t xml:space="preserve">allowed</w:t>
      </w:r>
      <w:r>
        <w:rPr>
          <w:rStyle w:val="KeywordTok"/>
        </w:rPr>
        <w:t xml:space="preserve">:</w:t>
      </w:r>
      <w:r>
        <w:rPr>
          <w:rStyle w:val="AttributeTok"/>
        </w:rPr>
        <w:t xml:space="preserve"> </w:t>
      </w:r>
      <w:r>
        <w:rPr>
          <w:rStyle w:val="CharTok"/>
        </w:rPr>
        <w:t xml:space="preserve">false</w:t>
      </w:r>
      <w:r>
        <w:br/>
      </w:r>
      <w:r>
        <w:br/>
      </w:r>
      <w:r>
        <w:rPr>
          <w:rStyle w:val="FunctionTok"/>
        </w:rPr>
        <w:t xml:space="preserve">qualificationPolicy</w:t>
      </w:r>
      <w:r>
        <w:rPr>
          <w:rStyle w:val="KeywordTok"/>
        </w:rPr>
        <w:t xml:space="preserve">:</w:t>
      </w:r>
      <w:r>
        <w:br/>
      </w:r>
      <w:r>
        <w:rPr>
          <w:rStyle w:val="AttributeTok"/>
        </w:rPr>
        <w:t xml:space="preserve">  </w:t>
      </w:r>
      <w:r>
        <w:rPr>
          <w:rStyle w:val="FunctionTok"/>
        </w:rPr>
        <w:t xml:space="preserve">requiredEvaluators</w:t>
      </w:r>
      <w:r>
        <w:rPr>
          <w:rStyle w:val="KeywordTok"/>
        </w:rPr>
        <w:t xml:space="preserve">:</w:t>
      </w:r>
      <w:r>
        <w:br/>
      </w:r>
      <w:r>
        <w:rPr>
          <w:rStyle w:val="AttributeTok"/>
        </w:rPr>
        <w:t xml:space="preserve">    </w:t>
      </w:r>
      <w:r>
        <w:rPr>
          <w:rStyle w:val="KeywordTok"/>
        </w:rPr>
        <w:t xml:space="preserve">-</w:t>
      </w:r>
      <w:r>
        <w:rPr>
          <w:rStyle w:val="AttributeTok"/>
        </w:rPr>
        <w:t xml:space="preserve"> contract-conformance/v7</w:t>
      </w:r>
      <w:r>
        <w:br/>
      </w:r>
      <w:r>
        <w:rPr>
          <w:rStyle w:val="AttributeTok"/>
        </w:rPr>
        <w:t xml:space="preserve">    </w:t>
      </w:r>
      <w:r>
        <w:rPr>
          <w:rStyle w:val="KeywordTok"/>
        </w:rPr>
        <w:t xml:space="preserve">-</w:t>
      </w:r>
      <w:r>
        <w:rPr>
          <w:rStyle w:val="AttributeTok"/>
        </w:rPr>
        <w:t xml:space="preserve"> constraint-preservation/v4</w:t>
      </w:r>
      <w:r>
        <w:br/>
      </w:r>
      <w:r>
        <w:rPr>
          <w:rStyle w:val="AttributeTok"/>
        </w:rPr>
        <w:t xml:space="preserve">    </w:t>
      </w:r>
      <w:r>
        <w:rPr>
          <w:rStyle w:val="KeywordTok"/>
        </w:rPr>
        <w:t xml:space="preserve">-</w:t>
      </w:r>
      <w:r>
        <w:rPr>
          <w:rStyle w:val="AttributeTok"/>
        </w:rPr>
        <w:t xml:space="preserve"> long-context-adversary/v3</w:t>
      </w:r>
      <w:r>
        <w:br/>
      </w:r>
      <w:r>
        <w:rPr>
          <w:rStyle w:val="AttributeTok"/>
        </w:rPr>
        <w:t xml:space="preserve">    </w:t>
      </w:r>
      <w:r>
        <w:rPr>
          <w:rStyle w:val="KeywordTok"/>
        </w:rPr>
        <w:t xml:space="preserve">-</w:t>
      </w:r>
      <w:r>
        <w:rPr>
          <w:rStyle w:val="AttributeTok"/>
        </w:rPr>
        <w:t xml:space="preserve"> integration-authority/v5</w:t>
      </w:r>
      <w:r>
        <w:br/>
      </w:r>
      <w:r>
        <w:rPr>
          <w:rStyle w:val="AttributeTok"/>
        </w:rPr>
        <w:t xml:space="preserve">  </w:t>
      </w:r>
      <w:r>
        <w:rPr>
          <w:rStyle w:val="FunctionTok"/>
        </w:rPr>
        <w:t xml:space="preserve">stages</w:t>
      </w:r>
      <w:r>
        <w:rPr>
          <w:rStyle w:val="KeywordTok"/>
        </w:rPr>
        <w:t xml:space="preserve">:</w:t>
      </w:r>
      <w:r>
        <w:rPr>
          <w:rStyle w:val="AttributeTok"/>
        </w:rPr>
        <w:t xml:space="preserve"> </w:t>
      </w:r>
      <w:r>
        <w:rPr>
          <w:rStyle w:val="KeywordTok"/>
        </w:rPr>
        <w:t xml:space="preserve">[</w:t>
      </w:r>
      <w:r>
        <w:rPr>
          <w:rStyle w:val="AttributeTok"/>
        </w:rPr>
        <w:t xml:space="preserve">sandbox</w:t>
      </w:r>
      <w:r>
        <w:rPr>
          <w:rStyle w:val="KeywordTok"/>
        </w:rPr>
        <w:t xml:space="preserve">,</w:t>
      </w:r>
      <w:r>
        <w:rPr>
          <w:rStyle w:val="AttributeTok"/>
        </w:rPr>
        <w:t xml:space="preserve"> shadow</w:t>
      </w:r>
      <w:r>
        <w:rPr>
          <w:rStyle w:val="KeywordTok"/>
        </w:rPr>
        <w:t xml:space="preserve">,</w:t>
      </w:r>
      <w:r>
        <w:rPr>
          <w:rStyle w:val="AttributeTok"/>
        </w:rPr>
        <w:t xml:space="preserve"> canary</w:t>
      </w:r>
      <w:r>
        <w:rPr>
          <w:rStyle w:val="KeywordTok"/>
        </w:rPr>
        <w:t xml:space="preserve">,</w:t>
      </w:r>
      <w:r>
        <w:rPr>
          <w:rStyle w:val="AttributeTok"/>
        </w:rPr>
        <w:t xml:space="preserve"> active</w:t>
      </w:r>
      <w:r>
        <w:rPr>
          <w:rStyle w:val="KeywordTok"/>
        </w:rPr>
        <w:t xml:space="preserve">]</w:t>
      </w:r>
      <w:r>
        <w:br/>
      </w:r>
      <w:r>
        <w:rPr>
          <w:rStyle w:val="AttributeTok"/>
        </w:rPr>
        <w:t xml:space="preserve">  </w:t>
      </w:r>
      <w:r>
        <w:rPr>
          <w:rStyle w:val="FunctionTok"/>
        </w:rPr>
        <w:t xml:space="preserve">evidenceMaxAge</w:t>
      </w:r>
      <w:r>
        <w:rPr>
          <w:rStyle w:val="KeywordTok"/>
        </w:rPr>
        <w:t xml:space="preserve">:</w:t>
      </w:r>
      <w:r>
        <w:rPr>
          <w:rStyle w:val="AttributeTok"/>
        </w:rPr>
        <w:t xml:space="preserve"> P30D</w:t>
      </w:r>
      <w:r>
        <w:br/>
      </w:r>
      <w:r>
        <w:rPr>
          <w:rStyle w:val="AttributeTok"/>
        </w:rPr>
        <w:t xml:space="preserve">  </w:t>
      </w:r>
      <w:r>
        <w:rPr>
          <w:rStyle w:val="FunctionTok"/>
        </w:rPr>
        <w:t xml:space="preserve">independentPromotionThreshold</w:t>
      </w:r>
      <w:r>
        <w:rPr>
          <w:rStyle w:val="KeywordTok"/>
        </w:rPr>
        <w:t xml:space="preserve">:</w:t>
      </w:r>
      <w:r>
        <w:rPr>
          <w:rStyle w:val="AttributeTok"/>
        </w:rPr>
        <w:t xml:space="preserve"> 2-of-3</w:t>
      </w:r>
      <w:r>
        <w:br/>
      </w:r>
      <w:r>
        <w:rPr>
          <w:rStyle w:val="AttributeTok"/>
        </w:rPr>
        <w:t xml:space="preserve">  </w:t>
      </w:r>
      <w:r>
        <w:rPr>
          <w:rStyle w:val="FunctionTok"/>
        </w:rPr>
        <w:t xml:space="preserve">hardVetoes</w:t>
      </w:r>
      <w:r>
        <w:rPr>
          <w:rStyle w:val="KeywordTok"/>
        </w:rPr>
        <w:t xml:space="preserve">:</w:t>
      </w:r>
      <w:r>
        <w:br/>
      </w:r>
      <w:r>
        <w:rPr>
          <w:rStyle w:val="AttributeTok"/>
        </w:rPr>
        <w:t xml:space="preserve">    </w:t>
      </w:r>
      <w:r>
        <w:rPr>
          <w:rStyle w:val="KeywordTok"/>
        </w:rPr>
        <w:t xml:space="preserve">-</w:t>
      </w:r>
      <w:r>
        <w:rPr>
          <w:rStyle w:val="AttributeTok"/>
        </w:rPr>
        <w:t xml:space="preserve"> undeclared_effect</w:t>
      </w:r>
      <w:r>
        <w:br/>
      </w:r>
      <w:r>
        <w:rPr>
          <w:rStyle w:val="AttributeTok"/>
        </w:rPr>
        <w:t xml:space="preserve">    </w:t>
      </w:r>
      <w:r>
        <w:rPr>
          <w:rStyle w:val="KeywordTok"/>
        </w:rPr>
        <w:t xml:space="preserve">-</w:t>
      </w:r>
      <w:r>
        <w:rPr>
          <w:rStyle w:val="AttributeTok"/>
        </w:rPr>
        <w:t xml:space="preserve"> authority_escalation</w:t>
      </w:r>
      <w:r>
        <w:br/>
      </w:r>
      <w:r>
        <w:rPr>
          <w:rStyle w:val="AttributeTok"/>
        </w:rPr>
        <w:t xml:space="preserve">    </w:t>
      </w:r>
      <w:r>
        <w:rPr>
          <w:rStyle w:val="KeywordTok"/>
        </w:rPr>
        <w:t xml:space="preserve">-</w:t>
      </w:r>
      <w:r>
        <w:rPr>
          <w:rStyle w:val="AttributeTok"/>
        </w:rPr>
        <w:t xml:space="preserve"> migration_unrehearsed</w:t>
      </w:r>
      <w:r>
        <w:br/>
      </w:r>
      <w:r>
        <w:rPr>
          <w:rStyle w:val="AttributeTok"/>
        </w:rPr>
        <w:t xml:space="preserve">    </w:t>
      </w:r>
      <w:r>
        <w:rPr>
          <w:rStyle w:val="KeywordTok"/>
        </w:rPr>
        <w:t xml:space="preserve">-</w:t>
      </w:r>
      <w:r>
        <w:rPr>
          <w:rStyle w:val="AttributeTok"/>
        </w:rPr>
        <w:t xml:space="preserve"> provenance_failure</w:t>
      </w:r>
      <w:r>
        <w:br/>
      </w:r>
      <w:r>
        <w:br/>
      </w:r>
      <w:r>
        <w:rPr>
          <w:rStyle w:val="FunctionTok"/>
        </w:rPr>
        <w:t xml:space="preserve">resolutionPolicy</w:t>
      </w:r>
      <w:r>
        <w:rPr>
          <w:rStyle w:val="KeywordTok"/>
        </w:rPr>
        <w:t xml:space="preserve">:</w:t>
      </w:r>
      <w:r>
        <w:br/>
      </w:r>
      <w:r>
        <w:rPr>
          <w:rStyle w:val="AttributeTok"/>
        </w:rPr>
        <w:t xml:space="preserve">  </w:t>
      </w:r>
      <w:r>
        <w:rPr>
          <w:rStyle w:val="FunctionTok"/>
        </w:rPr>
        <w:t xml:space="preserve">dimensions</w:t>
      </w:r>
      <w:r>
        <w:rPr>
          <w:rStyle w:val="KeywordTok"/>
        </w:rPr>
        <w:t xml:space="preserve">:</w:t>
      </w:r>
      <w:r>
        <w:rPr>
          <w:rStyle w:val="AttributeTok"/>
        </w:rPr>
        <w:t xml:space="preserve"> </w:t>
      </w:r>
      <w:r>
        <w:rPr>
          <w:rStyle w:val="KeywordTok"/>
        </w:rPr>
        <w:t xml:space="preserve">[</w:t>
      </w:r>
      <w:r>
        <w:rPr>
          <w:rStyle w:val="AttributeTok"/>
        </w:rPr>
        <w:t xml:space="preserve">risk</w:t>
      </w:r>
      <w:r>
        <w:rPr>
          <w:rStyle w:val="KeywordTok"/>
        </w:rPr>
        <w:t xml:space="preserve">,</w:t>
      </w:r>
      <w:r>
        <w:rPr>
          <w:rStyle w:val="AttributeTok"/>
        </w:rPr>
        <w:t xml:space="preserve"> domain</w:t>
      </w:r>
      <w:r>
        <w:rPr>
          <w:rStyle w:val="KeywordTok"/>
        </w:rPr>
        <w:t xml:space="preserve">,</w:t>
      </w:r>
      <w:r>
        <w:rPr>
          <w:rStyle w:val="AttributeTok"/>
        </w:rPr>
        <w:t xml:space="preserve"> latency</w:t>
      </w:r>
      <w:r>
        <w:rPr>
          <w:rStyle w:val="KeywordTok"/>
        </w:rPr>
        <w:t xml:space="preserve">,</w:t>
      </w:r>
      <w:r>
        <w:rPr>
          <w:rStyle w:val="AttributeTok"/>
        </w:rPr>
        <w:t xml:space="preserve"> cost</w:t>
      </w:r>
      <w:r>
        <w:rPr>
          <w:rStyle w:val="KeywordTok"/>
        </w:rPr>
        <w:t xml:space="preserve">,</w:t>
      </w:r>
      <w:r>
        <w:rPr>
          <w:rStyle w:val="AttributeTok"/>
        </w:rPr>
        <w:t xml:space="preserve"> privacy</w:t>
      </w:r>
      <w:r>
        <w:rPr>
          <w:rStyle w:val="KeywordTok"/>
        </w:rPr>
        <w:t xml:space="preserve">]</w:t>
      </w:r>
      <w:r>
        <w:br/>
      </w:r>
      <w:r>
        <w:rPr>
          <w:rStyle w:val="AttributeTok"/>
        </w:rPr>
        <w:t xml:space="preserve">  </w:t>
      </w:r>
      <w:r>
        <w:rPr>
          <w:rStyle w:val="FunctionTok"/>
        </w:rPr>
        <w:t xml:space="preserve">requireFallbackFor</w:t>
      </w:r>
      <w:r>
        <w:rPr>
          <w:rStyle w:val="KeywordTok"/>
        </w:rPr>
        <w:t xml:space="preserve">:</w:t>
      </w:r>
      <w:r>
        <w:rPr>
          <w:rStyle w:val="AttributeTok"/>
        </w:rPr>
        <w:t xml:space="preserve"> </w:t>
      </w:r>
      <w:r>
        <w:rPr>
          <w:rStyle w:val="KeywordTok"/>
        </w:rPr>
        <w:t xml:space="preserve">[</w:t>
      </w:r>
      <w:r>
        <w:rPr>
          <w:rStyle w:val="AttributeTok"/>
        </w:rPr>
        <w:t xml:space="preserve">high</w:t>
      </w:r>
      <w:r>
        <w:rPr>
          <w:rStyle w:val="KeywordTok"/>
        </w:rPr>
        <w:t xml:space="preserve">,</w:t>
      </w:r>
      <w:r>
        <w:rPr>
          <w:rStyle w:val="AttributeTok"/>
        </w:rPr>
        <w:t xml:space="preserve"> critical</w:t>
      </w:r>
      <w:r>
        <w:rPr>
          <w:rStyle w:val="KeywordTok"/>
        </w:rPr>
        <w:t xml:space="preserve">]</w:t>
      </w:r>
      <w:r>
        <w:br/>
      </w:r>
      <w:r>
        <w:rPr>
          <w:rStyle w:val="AttributeTok"/>
        </w:rPr>
        <w:t xml:space="preserve">  </w:t>
      </w:r>
      <w:r>
        <w:rPr>
          <w:rStyle w:val="FunctionTok"/>
        </w:rPr>
        <w:t xml:space="preserve">decisionReceipt</w:t>
      </w:r>
      <w:r>
        <w:rPr>
          <w:rStyle w:val="KeywordTok"/>
        </w:rPr>
        <w:t xml:space="preserve">:</w:t>
      </w:r>
      <w:r>
        <w:rPr>
          <w:rStyle w:val="AttributeTok"/>
        </w:rPr>
        <w:t xml:space="preserve"> </w:t>
      </w:r>
      <w:r>
        <w:rPr>
          <w:rStyle w:val="CharTok"/>
        </w:rPr>
        <w:t xml:space="preserve">true</w:t>
      </w:r>
      <w:r>
        <w:br/>
      </w:r>
      <w:r>
        <w:br/>
      </w:r>
      <w:r>
        <w:rPr>
          <w:rStyle w:val="FunctionTok"/>
        </w:rPr>
        <w:t xml:space="preserve">constitutionalPolicy</w:t>
      </w:r>
      <w:r>
        <w:rPr>
          <w:rStyle w:val="KeywordTok"/>
        </w:rPr>
        <w:t xml:space="preserve">:</w:t>
      </w:r>
      <w:r>
        <w:br/>
      </w:r>
      <w:r>
        <w:rPr>
          <w:rStyle w:val="AttributeTok"/>
        </w:rPr>
        <w:t xml:space="preserve">  </w:t>
      </w:r>
      <w:r>
        <w:rPr>
          <w:rStyle w:val="FunctionTok"/>
        </w:rPr>
        <w:t xml:space="preserve">minorContractApproval</w:t>
      </w:r>
      <w:r>
        <w:rPr>
          <w:rStyle w:val="KeywordTok"/>
        </w:rPr>
        <w:t xml:space="preserve">:</w:t>
      </w:r>
      <w:r>
        <w:rPr>
          <w:rStyle w:val="AttributeTok"/>
        </w:rPr>
        <w:t xml:space="preserve"> 2-of-3</w:t>
      </w:r>
      <w:r>
        <w:br/>
      </w:r>
      <w:r>
        <w:rPr>
          <w:rStyle w:val="AttributeTok"/>
        </w:rPr>
        <w:t xml:space="preserve">  </w:t>
      </w:r>
      <w:r>
        <w:rPr>
          <w:rStyle w:val="FunctionTok"/>
        </w:rPr>
        <w:t xml:space="preserve">majorContractApproval</w:t>
      </w:r>
      <w:r>
        <w:rPr>
          <w:rStyle w:val="KeywordTok"/>
        </w:rPr>
        <w:t xml:space="preserve">:</w:t>
      </w:r>
      <w:r>
        <w:rPr>
          <w:rStyle w:val="AttributeTok"/>
        </w:rPr>
        <w:t xml:space="preserve"> 4-of-5-plus-human</w:t>
      </w:r>
      <w:r>
        <w:br/>
      </w:r>
      <w:r>
        <w:rPr>
          <w:rStyle w:val="AttributeTok"/>
        </w:rPr>
        <w:t xml:space="preserve">  </w:t>
      </w:r>
      <w:r>
        <w:rPr>
          <w:rStyle w:val="FunctionTok"/>
        </w:rPr>
        <w:t xml:space="preserve">fieldSplitMergeApproval</w:t>
      </w:r>
      <w:r>
        <w:rPr>
          <w:rStyle w:val="KeywordTok"/>
        </w:rPr>
        <w:t xml:space="preserve">:</w:t>
      </w:r>
      <w:r>
        <w:rPr>
          <w:rStyle w:val="AttributeTok"/>
        </w:rPr>
        <w:t xml:space="preserve"> 4-of-5-plus-impact-review</w:t>
      </w:r>
    </w:p>
    <w:bookmarkEnd w:id="168"/>
    <w:bookmarkStart w:id="169" w:name="appendix-b-promotion-protocol-pseudocode"/>
    <w:p>
      <w:pPr>
        <w:pStyle w:val="Heading1"/>
        <w:pageBreakBefore/>
        <w:widowControl w:val="1"/>
        <w:pBdr>
          <w:bottom w:val="single" w:sz="7" w:space="4" w:color="E8EEF3"/>
        </w:pBdr>
      </w:pPr>
      <w:r>
        <w:t xml:space="preserve">Appendix B: Promotion protocol pseudocode</w:t>
      </w:r>
    </w:p>
    <w:p>
      <w:pPr>
        <w:pStyle w:val="SourceCode"/>
        <w:keepLines w:val="0"/>
        <w:widowControl w:val="1"/>
        <w:shd w:fill="F4F6F7" w:val="clear"/>
        <w:pBdr>
          <w:left w:val="single" w:sz="12" w:space="5" w:color="355C78"/>
        </w:pBdr>
      </w:pPr>
      <w:r>
        <w:rPr>
          <w:rStyle w:val="VerbatimChar"/>
        </w:rPr>
        <w:t xml:space="preserve">function propose_promotion(candidate, contract, profile, change_set):</w:t>
      </w:r>
      <w:r>
        <w:br/>
      </w:r>
      <w:r>
        <w:rPr>
          <w:rStyle w:val="VerbatimChar"/>
        </w:rPr>
        <w:t xml:space="preserve">    assert immutable(candidate)</w:t>
      </w:r>
      <w:r>
        <w:br/>
      </w:r>
      <w:r>
        <w:rPr>
          <w:rStyle w:val="VerbatimChar"/>
        </w:rPr>
        <w:t xml:space="preserve">    snapshot = registry.current_watermark()</w:t>
      </w:r>
      <w:r>
        <w:br/>
      </w:r>
      <w:r>
        <w:br/>
      </w:r>
      <w:r>
        <w:rPr>
          <w:rStyle w:val="VerbatimChar"/>
        </w:rPr>
        <w:t xml:space="preserve">    impact = compute_impact_cone(candidate, contract, profile, change_set)</w:t>
      </w:r>
      <w:r>
        <w:br/>
      </w:r>
      <w:r>
        <w:rPr>
          <w:rStyle w:val="VerbatimChar"/>
        </w:rPr>
        <w:t xml:space="preserve">    if impact.has_unknown_critical_dependencies:</w:t>
      </w:r>
      <w:r>
        <w:br/>
      </w:r>
      <w:r>
        <w:rPr>
          <w:rStyle w:val="VerbatimChar"/>
        </w:rPr>
        <w:t xml:space="preserve">        return REJECT("incomplete dependency model")</w:t>
      </w:r>
      <w:r>
        <w:br/>
      </w:r>
      <w:r>
        <w:br/>
      </w:r>
      <w:r>
        <w:rPr>
          <w:rStyle w:val="VerbatimChar"/>
        </w:rPr>
        <w:t xml:space="preserve">    provenance = verify_supply_chain(candidate, impact)</w:t>
      </w:r>
      <w:r>
        <w:br/>
      </w:r>
      <w:r>
        <w:rPr>
          <w:rStyle w:val="VerbatimChar"/>
        </w:rPr>
        <w:t xml:space="preserve">    if not provenance.valid:</w:t>
      </w:r>
      <w:r>
        <w:br/>
      </w:r>
      <w:r>
        <w:rPr>
          <w:rStyle w:val="VerbatimChar"/>
        </w:rPr>
        <w:t xml:space="preserve">        return REJECT("provenance failure")</w:t>
      </w:r>
      <w:r>
        <w:br/>
      </w:r>
      <w:r>
        <w:br/>
      </w:r>
      <w:r>
        <w:rPr>
          <w:rStyle w:val="VerbatimChar"/>
        </w:rPr>
        <w:t xml:space="preserve">    auth = meet(candidate.requested_authority,</w:t>
      </w:r>
      <w:r>
        <w:br/>
      </w:r>
      <w:r>
        <w:rPr>
          <w:rStyle w:val="VerbatimChar"/>
        </w:rPr>
        <w:t xml:space="preserve">                contract.authority_ceiling,</w:t>
      </w:r>
      <w:r>
        <w:br/>
      </w:r>
      <w:r>
        <w:rPr>
          <w:rStyle w:val="VerbatimChar"/>
        </w:rPr>
        <w:t xml:space="preserve">                profile.authority_grant)</w:t>
      </w:r>
      <w:r>
        <w:br/>
      </w:r>
      <w:r>
        <w:rPr>
          <w:rStyle w:val="VerbatimChar"/>
        </w:rPr>
        <w:t xml:space="preserve">    if not candidate.can_operate_under(auth):</w:t>
      </w:r>
      <w:r>
        <w:br/>
      </w:r>
      <w:r>
        <w:rPr>
          <w:rStyle w:val="VerbatimChar"/>
        </w:rPr>
        <w:t xml:space="preserve">        return REJECT("authority cannot be attenuated")</w:t>
      </w:r>
      <w:r>
        <w:br/>
      </w:r>
      <w:r>
        <w:br/>
      </w:r>
      <w:r>
        <w:rPr>
          <w:rStyle w:val="VerbatimChar"/>
        </w:rPr>
        <w:t xml:space="preserve">    if not qualified_dependency_closure(impact.dependencies, profile, snapshot):</w:t>
      </w:r>
      <w:r>
        <w:br/>
      </w:r>
      <w:r>
        <w:rPr>
          <w:rStyle w:val="VerbatimChar"/>
        </w:rPr>
        <w:t xml:space="preserve">        return REJECT("dependency closure not qualified")</w:t>
      </w:r>
      <w:r>
        <w:br/>
      </w:r>
      <w:r>
        <w:br/>
      </w:r>
      <w:r>
        <w:rPr>
          <w:rStyle w:val="VerbatimChar"/>
        </w:rPr>
        <w:t xml:space="preserve">    evidence = run_evaluator_portfolio(</w:t>
      </w:r>
      <w:r>
        <w:br/>
      </w:r>
      <w:r>
        <w:rPr>
          <w:rStyle w:val="VerbatimChar"/>
        </w:rPr>
        <w:t xml:space="preserve">        candidate=candidate,</w:t>
      </w:r>
      <w:r>
        <w:br/>
      </w:r>
      <w:r>
        <w:rPr>
          <w:rStyle w:val="VerbatimChar"/>
        </w:rPr>
        <w:t xml:space="preserve">        contract=contract,</w:t>
      </w:r>
      <w:r>
        <w:br/>
      </w:r>
      <w:r>
        <w:rPr>
          <w:rStyle w:val="VerbatimChar"/>
        </w:rPr>
        <w:t xml:space="preserve">        profile=profile,</w:t>
      </w:r>
      <w:r>
        <w:br/>
      </w:r>
      <w:r>
        <w:rPr>
          <w:rStyle w:val="VerbatimChar"/>
        </w:rPr>
        <w:t xml:space="preserve">        impact=impact,</w:t>
      </w:r>
      <w:r>
        <w:br/>
      </w:r>
      <w:r>
        <w:rPr>
          <w:rStyle w:val="VerbatimChar"/>
        </w:rPr>
        <w:t xml:space="preserve">        independent=true,</w:t>
      </w:r>
      <w:r>
        <w:br/>
      </w:r>
      <w:r>
        <w:rPr>
          <w:rStyle w:val="VerbatimChar"/>
        </w:rPr>
        <w:t xml:space="preserve">        pre_registered=true)</w:t>
      </w:r>
      <w:r>
        <w:br/>
      </w:r>
      <w:r>
        <w:br/>
      </w:r>
      <w:r>
        <w:rPr>
          <w:rStyle w:val="VerbatimChar"/>
        </w:rPr>
        <w:t xml:space="preserve">    if evidence.any_hard_veto:</w:t>
      </w:r>
      <w:r>
        <w:br/>
      </w:r>
      <w:r>
        <w:rPr>
          <w:rStyle w:val="VerbatimChar"/>
        </w:rPr>
        <w:t xml:space="preserve">        return REJECT_WITH_EVIDENCE(evidence)</w:t>
      </w:r>
      <w:r>
        <w:br/>
      </w:r>
      <w:r>
        <w:br/>
      </w:r>
      <w:r>
        <w:rPr>
          <w:rStyle w:val="VerbatimChar"/>
        </w:rPr>
        <w:t xml:space="preserve">    recovery = rehearse_migrations_and_containment(candidate, impact)</w:t>
      </w:r>
      <w:r>
        <w:br/>
      </w:r>
      <w:r>
        <w:rPr>
          <w:rStyle w:val="VerbatimChar"/>
        </w:rPr>
        <w:t xml:space="preserve">    if not recovery.meets_required_objectives:</w:t>
      </w:r>
      <w:r>
        <w:br/>
      </w:r>
      <w:r>
        <w:rPr>
          <w:rStyle w:val="VerbatimChar"/>
        </w:rPr>
        <w:t xml:space="preserve">        return REJECT("recovery not demonstrated")</w:t>
      </w:r>
      <w:r>
        <w:br/>
      </w:r>
      <w:r>
        <w:br/>
      </w:r>
      <w:r>
        <w:rPr>
          <w:rStyle w:val="VerbatimChar"/>
        </w:rPr>
        <w:t xml:space="preserve">    shadow = run_shadow(candidate, profile, auth.without_real_effects())</w:t>
      </w:r>
      <w:r>
        <w:br/>
      </w:r>
      <w:r>
        <w:rPr>
          <w:rStyle w:val="VerbatimChar"/>
        </w:rPr>
        <w:t xml:space="preserve">    evidence = evidence + shadow</w:t>
      </w:r>
      <w:r>
        <w:br/>
      </w:r>
      <w:r>
        <w:rPr>
          <w:rStyle w:val="VerbatimChar"/>
        </w:rPr>
        <w:t xml:space="preserve">    if shadow.abort_condition:</w:t>
      </w:r>
      <w:r>
        <w:br/>
      </w:r>
      <w:r>
        <w:rPr>
          <w:rStyle w:val="VerbatimChar"/>
        </w:rPr>
        <w:t xml:space="preserve">        return QUARANTINE(evidence)</w:t>
      </w:r>
      <w:r>
        <w:br/>
      </w:r>
      <w:r>
        <w:br/>
      </w:r>
      <w:r>
        <w:rPr>
          <w:rStyle w:val="VerbatimChar"/>
        </w:rPr>
        <w:t xml:space="preserve">    canary = run_canary(candidate, profile, auth, bounded_scope=true)</w:t>
      </w:r>
      <w:r>
        <w:br/>
      </w:r>
      <w:r>
        <w:rPr>
          <w:rStyle w:val="VerbatimChar"/>
        </w:rPr>
        <w:t xml:space="preserve">    evidence = evidence + canary</w:t>
      </w:r>
      <w:r>
        <w:br/>
      </w:r>
      <w:r>
        <w:rPr>
          <w:rStyle w:val="VerbatimChar"/>
        </w:rPr>
        <w:t xml:space="preserve">    if canary.abort_condition:</w:t>
      </w:r>
      <w:r>
        <w:br/>
      </w:r>
      <w:r>
        <w:rPr>
          <w:rStyle w:val="VerbatimChar"/>
        </w:rPr>
        <w:t xml:space="preserve">        contain(candidate, canary.incident)</w:t>
      </w:r>
      <w:r>
        <w:br/>
      </w:r>
      <w:r>
        <w:rPr>
          <w:rStyle w:val="VerbatimChar"/>
        </w:rPr>
        <w:t xml:space="preserve">        return QUARANTINE(evidence)</w:t>
      </w:r>
      <w:r>
        <w:br/>
      </w:r>
      <w:r>
        <w:br/>
      </w:r>
      <w:r>
        <w:rPr>
          <w:rStyle w:val="VerbatimChar"/>
        </w:rPr>
        <w:t xml:space="preserve">    if registry.material_facts_changed_since(snapshot, impact):</w:t>
      </w:r>
      <w:r>
        <w:br/>
      </w:r>
      <w:r>
        <w:rPr>
          <w:rStyle w:val="VerbatimChar"/>
        </w:rPr>
        <w:t xml:space="preserve">        return RETRY("qualification snapshot stale")</w:t>
      </w:r>
      <w:r>
        <w:br/>
      </w:r>
      <w:r>
        <w:br/>
      </w:r>
      <w:r>
        <w:rPr>
          <w:rStyle w:val="VerbatimChar"/>
        </w:rPr>
        <w:t xml:space="preserve">    decision = promotion_authority.decide(</w:t>
      </w:r>
      <w:r>
        <w:br/>
      </w:r>
      <w:r>
        <w:rPr>
          <w:rStyle w:val="VerbatimChar"/>
        </w:rPr>
        <w:t xml:space="preserve">        hard_constraints=evidence.hard_constraints,</w:t>
      </w:r>
      <w:r>
        <w:br/>
      </w:r>
      <w:r>
        <w:rPr>
          <w:rStyle w:val="VerbatimChar"/>
        </w:rPr>
        <w:t xml:space="preserve">        pareto_comparison=evidence.profile_specific_comparison,</w:t>
      </w:r>
      <w:r>
        <w:br/>
      </w:r>
      <w:r>
        <w:rPr>
          <w:rStyle w:val="VerbatimChar"/>
        </w:rPr>
        <w:t xml:space="preserve">        uncertainty=evidence.uncertainty,</w:t>
      </w:r>
      <w:r>
        <w:br/>
      </w:r>
      <w:r>
        <w:rPr>
          <w:rStyle w:val="VerbatimChar"/>
        </w:rPr>
        <w:t xml:space="preserve">        approvals=required_threshold(impact))</w:t>
      </w:r>
      <w:r>
        <w:br/>
      </w:r>
      <w:r>
        <w:br/>
      </w:r>
      <w:r>
        <w:rPr>
          <w:rStyle w:val="VerbatimChar"/>
        </w:rPr>
        <w:t xml:space="preserve">    if decision.approved:</w:t>
      </w:r>
      <w:r>
        <w:br/>
      </w:r>
      <w:r>
        <w:rPr>
          <w:rStyle w:val="VerbatimChar"/>
        </w:rPr>
        <w:t xml:space="preserve">        event = atomic_activate(</w:t>
      </w:r>
      <w:r>
        <w:br/>
      </w:r>
      <w:r>
        <w:rPr>
          <w:rStyle w:val="VerbatimChar"/>
        </w:rPr>
        <w:t xml:space="preserve">            candidate=candidate,</w:t>
      </w:r>
      <w:r>
        <w:br/>
      </w:r>
      <w:r>
        <w:rPr>
          <w:rStyle w:val="VerbatimChar"/>
        </w:rPr>
        <w:t xml:space="preserve">            contract=contract,</w:t>
      </w:r>
      <w:r>
        <w:br/>
      </w:r>
      <w:r>
        <w:rPr>
          <w:rStyle w:val="VerbatimChar"/>
        </w:rPr>
        <w:t xml:space="preserve">            profile=profile,</w:t>
      </w:r>
      <w:r>
        <w:br/>
      </w:r>
      <w:r>
        <w:rPr>
          <w:rStyle w:val="VerbatimChar"/>
        </w:rPr>
        <w:t xml:space="preserve">            effective_authority=auth,</w:t>
      </w:r>
      <w:r>
        <w:br/>
      </w:r>
      <w:r>
        <w:rPr>
          <w:rStyle w:val="VerbatimChar"/>
        </w:rPr>
        <w:t xml:space="preserve">            route=decision.routing_policy,</w:t>
      </w:r>
      <w:r>
        <w:br/>
      </w:r>
      <w:r>
        <w:rPr>
          <w:rStyle w:val="VerbatimChar"/>
        </w:rPr>
        <w:t xml:space="preserve">            fallback=decision.fallback,</w:t>
      </w:r>
      <w:r>
        <w:br/>
      </w:r>
      <w:r>
        <w:rPr>
          <w:rStyle w:val="VerbatimChar"/>
        </w:rPr>
        <w:t xml:space="preserve">            state_checkpoint=recovery.checkpoint,</w:t>
      </w:r>
      <w:r>
        <w:br/>
      </w:r>
      <w:r>
        <w:rPr>
          <w:rStyle w:val="VerbatimChar"/>
        </w:rPr>
        <w:t xml:space="preserve">            evidence=evidence,</w:t>
      </w:r>
      <w:r>
        <w:br/>
      </w:r>
      <w:r>
        <w:rPr>
          <w:rStyle w:val="VerbatimChar"/>
        </w:rPr>
        <w:t xml:space="preserve">            registry_watermark=snapshot,</w:t>
      </w:r>
      <w:r>
        <w:br/>
      </w:r>
      <w:r>
        <w:rPr>
          <w:rStyle w:val="VerbatimChar"/>
        </w:rPr>
        <w:t xml:space="preserve">            monitors=decision.monitors,</w:t>
      </w:r>
      <w:r>
        <w:br/>
      </w:r>
      <w:r>
        <w:rPr>
          <w:rStyle w:val="VerbatimChar"/>
        </w:rPr>
        <w:t xml:space="preserve">            expiry=decision.expiry)</w:t>
      </w:r>
      <w:r>
        <w:br/>
      </w:r>
      <w:r>
        <w:rPr>
          <w:rStyle w:val="VerbatimChar"/>
        </w:rPr>
        <w:t xml:space="preserve">        return ACTIVE(event)</w:t>
      </w:r>
      <w:r>
        <w:br/>
      </w:r>
      <w:r>
        <w:br/>
      </w:r>
      <w:r>
        <w:rPr>
          <w:rStyle w:val="VerbatimChar"/>
        </w:rPr>
        <w:t xml:space="preserve">    return REJECT_WITH_EVIDENCE(evidence)</w:t>
      </w:r>
    </w:p>
    <w:bookmarkEnd w:id="169"/>
    <w:bookmarkStart w:id="170" w:name="X0d29bea91fc90ed8b82a61d6e583be723c4b618"/>
    <w:p>
      <w:pPr>
        <w:pStyle w:val="Heading1"/>
        <w:pageBreakBefore/>
        <w:widowControl w:val="1"/>
        <w:pBdr>
          <w:bottom w:val="single" w:sz="7" w:space="4" w:color="E8EEF3"/>
        </w:pBdr>
      </w:pPr>
      <w:r>
        <w:t xml:space="preserve">Appendix C: Change classification checklist</w:t>
      </w:r>
    </w:p>
    <w:p>
      <w:pPr>
        <w:pStyle w:val="FirstParagraph"/>
        <w:widowControl w:val="1"/>
      </w:pPr>
      <w:r>
        <w:rPr>
          <w:rFonts w:ascii="Noto Serif" w:hAnsi="Noto Serif" w:eastAsia="Noto Serif"/>
          <w:color w:val="1D2833"/>
          <w:sz w:val="20"/>
        </w:rPr>
        <w:t xml:space="preserve">A change is not a routine implementation update if any answer below is yes.</w:t>
      </w:r>
    </w:p>
    <w:p>
      <w:pPr>
        <w:pStyle w:val="Compact"/>
        <w:numPr>
          <w:ilvl w:val="0"/>
          <w:numId w:val="1059"/>
        </w:numPr>
        <w:widowControl w:val="1"/>
      </w:pPr>
      <w:r>
        <w:rPr>
          <w:rFonts w:ascii="Noto Serif" w:hAnsi="Noto Serif" w:eastAsia="Noto Serif"/>
          <w:color w:val="1D2833"/>
          <w:sz w:val="19"/>
        </w:rPr>
        <w:t xml:space="preserve">Does it change the meaning of an input or output field?</w:t>
      </w:r>
    </w:p>
    <w:p>
      <w:pPr>
        <w:pStyle w:val="Compact"/>
        <w:numPr>
          <w:ilvl w:val="0"/>
          <w:numId w:val="1059"/>
        </w:numPr>
        <w:widowControl w:val="1"/>
      </w:pPr>
      <w:r>
        <w:rPr>
          <w:rFonts w:ascii="Noto Serif" w:hAnsi="Noto Serif" w:eastAsia="Noto Serif"/>
          <w:color w:val="1D2833"/>
          <w:sz w:val="19"/>
        </w:rPr>
        <w:t xml:space="preserve">Does it strengthen a caller precondition or weaken a promised postcondition?</w:t>
      </w:r>
    </w:p>
    <w:p>
      <w:pPr>
        <w:pStyle w:val="Compact"/>
        <w:numPr>
          <w:ilvl w:val="0"/>
          <w:numId w:val="1059"/>
        </w:numPr>
        <w:widowControl w:val="1"/>
      </w:pPr>
      <w:r>
        <w:rPr>
          <w:rFonts w:ascii="Noto Serif" w:hAnsi="Noto Serif" w:eastAsia="Noto Serif"/>
          <w:color w:val="1D2833"/>
          <w:sz w:val="19"/>
        </w:rPr>
        <w:t xml:space="preserve">Does it introduce a new effect class or authority combination?</w:t>
      </w:r>
    </w:p>
    <w:p>
      <w:pPr>
        <w:pStyle w:val="Compact"/>
        <w:numPr>
          <w:ilvl w:val="0"/>
          <w:numId w:val="1059"/>
        </w:numPr>
        <w:widowControl w:val="1"/>
      </w:pPr>
      <w:r>
        <w:rPr>
          <w:rFonts w:ascii="Noto Serif" w:hAnsi="Noto Serif" w:eastAsia="Noto Serif"/>
          <w:color w:val="1D2833"/>
          <w:sz w:val="19"/>
        </w:rPr>
        <w:t xml:space="preserve">Does it change what counts as success, failure, abstention, or confidence?</w:t>
      </w:r>
    </w:p>
    <w:p>
      <w:pPr>
        <w:pStyle w:val="Compact"/>
        <w:numPr>
          <w:ilvl w:val="0"/>
          <w:numId w:val="1059"/>
        </w:numPr>
        <w:widowControl w:val="1"/>
      </w:pPr>
      <w:r>
        <w:rPr>
          <w:rFonts w:ascii="Noto Serif" w:hAnsi="Noto Serif" w:eastAsia="Noto Serif"/>
          <w:color w:val="1D2833"/>
          <w:sz w:val="19"/>
        </w:rPr>
        <w:t xml:space="preserve">Does it alter durable state ownership, retention, or migration semantics?</w:t>
      </w:r>
    </w:p>
    <w:p>
      <w:pPr>
        <w:pStyle w:val="Compact"/>
        <w:numPr>
          <w:ilvl w:val="0"/>
          <w:numId w:val="1059"/>
        </w:numPr>
        <w:widowControl w:val="1"/>
      </w:pPr>
      <w:r>
        <w:rPr>
          <w:rFonts w:ascii="Noto Serif" w:hAnsi="Noto Serif" w:eastAsia="Noto Serif"/>
          <w:color w:val="1D2833"/>
          <w:sz w:val="19"/>
        </w:rPr>
        <w:t xml:space="preserve">Does it modify an evaluator, holdout, metric, threshold, or promotion rule used for the same candidate?</w:t>
      </w:r>
    </w:p>
    <w:p>
      <w:pPr>
        <w:pStyle w:val="Compact"/>
        <w:numPr>
          <w:ilvl w:val="0"/>
          <w:numId w:val="1059"/>
        </w:numPr>
        <w:widowControl w:val="1"/>
      </w:pPr>
      <w:r>
        <w:rPr>
          <w:rFonts w:ascii="Noto Serif" w:hAnsi="Noto Serif" w:eastAsia="Noto Serif"/>
          <w:color w:val="1D2833"/>
          <w:sz w:val="19"/>
        </w:rPr>
        <w:t xml:space="preserve">Does it affect a shared model or bundle implementing other fields?</w:t>
      </w:r>
    </w:p>
    <w:p>
      <w:pPr>
        <w:pStyle w:val="Compact"/>
        <w:numPr>
          <w:ilvl w:val="0"/>
          <w:numId w:val="1059"/>
        </w:numPr>
        <w:widowControl w:val="1"/>
      </w:pPr>
      <w:r>
        <w:rPr>
          <w:rFonts w:ascii="Noto Serif" w:hAnsi="Noto Serif" w:eastAsia="Noto Serif"/>
          <w:color w:val="1D2833"/>
          <w:sz w:val="19"/>
        </w:rPr>
        <w:t xml:space="preserve">Does it change the resolver, capability broker, registry integrity mechanism, or trust root?</w:t>
      </w:r>
    </w:p>
    <w:p>
      <w:pPr>
        <w:pStyle w:val="Compact"/>
        <w:numPr>
          <w:ilvl w:val="0"/>
          <w:numId w:val="1059"/>
        </w:numPr>
        <w:widowControl w:val="1"/>
      </w:pPr>
      <w:r>
        <w:rPr>
          <w:rFonts w:ascii="Noto Serif" w:hAnsi="Noto Serif" w:eastAsia="Noto Serif"/>
          <w:color w:val="1D2833"/>
          <w:sz w:val="19"/>
        </w:rPr>
        <w:t xml:space="preserve">Does it split or merge a field boundary?</w:t>
      </w:r>
    </w:p>
    <w:p>
      <w:pPr>
        <w:pStyle w:val="Compact"/>
        <w:numPr>
          <w:ilvl w:val="0"/>
          <w:numId w:val="1059"/>
        </w:numPr>
        <w:widowControl w:val="1"/>
      </w:pPr>
      <w:r>
        <w:rPr>
          <w:rFonts w:ascii="Noto Serif" w:hAnsi="Noto Serif" w:eastAsia="Noto Serif"/>
          <w:color w:val="1D2833"/>
          <w:sz w:val="19"/>
        </w:rPr>
        <w:t xml:space="preserve">Does it make previous evidence non-comparable?</w:t>
      </w:r>
    </w:p>
    <w:p>
      <w:pPr>
        <w:pStyle w:val="FirstParagraph"/>
        <w:widowControl w:val="1"/>
      </w:pPr>
      <w:r>
        <w:rPr>
          <w:rFonts w:ascii="Noto Serif" w:hAnsi="Noto Serif" w:eastAsia="Noto Serif"/>
          <w:color w:val="1D2833"/>
          <w:sz w:val="20"/>
        </w:rPr>
        <w:t xml:space="preserve">Any yes answer escalates the proposal to the corresponding governance stratum and expands the impact cone.</w:t>
      </w:r>
    </w:p>
    <w:bookmarkEnd w:id="170"/>
    <w:bookmarkStart w:id="171" w:name="appendix-d-registry-event-sketch"/>
    <w:p>
      <w:pPr>
        <w:pStyle w:val="Heading1"/>
        <w:pageBreakBefore/>
        <w:widowControl w:val="1"/>
        <w:pBdr>
          <w:bottom w:val="single" w:sz="7" w:space="4" w:color="E8EEF3"/>
        </w:pBdr>
      </w:pPr>
      <w:r>
        <w:t xml:space="preserve">Appendix D: Registry event sketch</w:t>
      </w:r>
    </w:p>
    <w:p>
      <w:pPr>
        <w:pStyle w:val="SourceCode"/>
        <w:keepLines w:val="0"/>
        <w:widowControl w:val="1"/>
        <w:shd w:fill="F4F6F7" w:val="clear"/>
        <w:pBdr>
          <w:left w:val="single" w:sz="12" w:space="5" w:color="355C78"/>
        </w:pBdr>
      </w:pP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"scf.promotion.activated"</w:t>
      </w:r>
      <w:r>
        <w:rPr>
          <w:rStyle w:val="FunctionTok"/>
        </w:rPr>
        <w:t xml:space="preserve">,</w:t>
      </w:r>
      <w:r>
        <w:br/>
      </w:r>
      <w:r>
        <w:rPr>
          <w:rStyle w:val="NormalTok"/>
        </w:rPr>
        <w:t xml:space="preserve">  </w:t>
      </w:r>
      <w:r>
        <w:rPr>
          <w:rStyle w:val="DataTypeTok"/>
        </w:rPr>
        <w:t xml:space="preserve">"eventVersion"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"2026-06-22T18:42:11Z"</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"planning.task_graph"</w:t>
      </w:r>
      <w:r>
        <w:rPr>
          <w:rStyle w:val="FunctionTok"/>
        </w:rPr>
        <w:t xml:space="preserve">,</w:t>
      </w:r>
      <w:r>
        <w:br/>
      </w:r>
      <w:r>
        <w:rPr>
          <w:rStyle w:val="NormalTok"/>
        </w:rPr>
        <w:t xml:space="preserve">  </w:t>
      </w:r>
      <w:r>
        <w:rPr>
          <w:rStyle w:val="DataTypeTok"/>
        </w:rPr>
        <w:t xml:space="preserve">"contract"</w:t>
      </w:r>
      <w:r>
        <w:rPr>
          <w:rStyle w:val="FunctionTok"/>
        </w:rPr>
        <w:t xml:space="preserve">:</w:t>
      </w:r>
      <w:r>
        <w:rPr>
          <w:rStyle w:val="NormalTok"/>
        </w:rPr>
        <w:t xml:space="preserve"> </w:t>
      </w:r>
      <w:r>
        <w:rPr>
          <w:rStyle w:val="StringTok"/>
        </w:rPr>
        <w:t xml:space="preserve">"3.2.0"</w:t>
      </w:r>
      <w:r>
        <w:rPr>
          <w:rStyle w:val="FunctionTok"/>
        </w:rPr>
        <w:t xml:space="preserve">,</w:t>
      </w:r>
      <w:r>
        <w:br/>
      </w:r>
      <w:r>
        <w:rPr>
          <w:rStyle w:val="NormalTok"/>
        </w:rPr>
        <w:t xml:space="preserve">  </w:t>
      </w:r>
      <w:r>
        <w:rPr>
          <w:rStyle w:val="DataTypeTok"/>
        </w:rPr>
        <w:t xml:space="preserve">"implementation"</w:t>
      </w:r>
      <w:r>
        <w:rPr>
          <w:rStyle w:val="FunctionTok"/>
        </w:rPr>
        <w:t xml:space="preserve">:</w:t>
      </w:r>
      <w:r>
        <w:rPr>
          <w:rStyle w:val="NormalTok"/>
        </w:rPr>
        <w:t xml:space="preserve"> </w:t>
      </w:r>
      <w:r>
        <w:rPr>
          <w:rStyle w:val="StringTok"/>
        </w:rPr>
        <w:t xml:space="preserve">"sha256:implementation-revision"</w:t>
      </w:r>
      <w:r>
        <w:rPr>
          <w:rStyle w:val="FunctionTok"/>
        </w:rPr>
        <w:t xml:space="preserve">,</w:t>
      </w:r>
      <w:r>
        <w:br/>
      </w:r>
      <w:r>
        <w:rPr>
          <w:rStyle w:val="NormalTok"/>
        </w:rPr>
        <w:t xml:space="preserve">  </w:t>
      </w:r>
      <w:r>
        <w:rPr>
          <w:rStyle w:val="DataTypeTok"/>
        </w:rPr>
        <w:t xml:space="preserve">"deploymentProfile"</w:t>
      </w:r>
      <w:r>
        <w:rPr>
          <w:rStyle w:val="FunctionTok"/>
        </w:rPr>
        <w:t xml:space="preserve">:</w:t>
      </w:r>
      <w:r>
        <w:rPr>
          <w:rStyle w:val="NormalTok"/>
        </w:rPr>
        <w:t xml:space="preserve"> </w:t>
      </w:r>
      <w:r>
        <w:rPr>
          <w:rStyle w:val="StringTok"/>
        </w:rPr>
        <w:t xml:space="preserve">"prod/high-consequence/software-change/v4"</w:t>
      </w:r>
      <w:r>
        <w:rPr>
          <w:rStyle w:val="FunctionTok"/>
        </w:rPr>
        <w:t xml:space="preserve">,</w:t>
      </w:r>
      <w:r>
        <w:br/>
      </w:r>
      <w:r>
        <w:rPr>
          <w:rStyle w:val="NormalTok"/>
        </w:rPr>
        <w:t xml:space="preserve">  </w:t>
      </w:r>
      <w:r>
        <w:rPr>
          <w:rStyle w:val="DataTypeTok"/>
        </w:rPr>
        <w:t xml:space="preserve">"effectiveAuthority"</w:t>
      </w:r>
      <w:r>
        <w:rPr>
          <w:rStyle w:val="FunctionTok"/>
        </w:rPr>
        <w:t xml:space="preserve">:</w:t>
      </w:r>
      <w:r>
        <w:rPr>
          <w:rStyle w:val="NormalTok"/>
        </w:rPr>
        <w:t xml:space="preserve"> </w:t>
      </w:r>
      <w:r>
        <w:rPr>
          <w:rStyle w:val="StringTok"/>
        </w:rPr>
        <w:t xml:space="preserve">"sha256:authority-binding"</w:t>
      </w:r>
      <w:r>
        <w:rPr>
          <w:rStyle w:val="FunctionTok"/>
        </w:rPr>
        <w:t xml:space="preserve">,</w:t>
      </w:r>
      <w:r>
        <w:br/>
      </w:r>
      <w:r>
        <w:rPr>
          <w:rStyle w:val="NormalTok"/>
        </w:rPr>
        <w:t xml:space="preserve">  </w:t>
      </w:r>
      <w:r>
        <w:rPr>
          <w:rStyle w:val="DataTypeTok"/>
        </w:rPr>
        <w:t xml:space="preserve">"stateCheckpoint"</w:t>
      </w:r>
      <w:r>
        <w:rPr>
          <w:rStyle w:val="FunctionTok"/>
        </w:rPr>
        <w:t xml:space="preserve">:</w:t>
      </w:r>
      <w:r>
        <w:rPr>
          <w:rStyle w:val="NormalTok"/>
        </w:rPr>
        <w:t xml:space="preserve"> </w:t>
      </w:r>
      <w:r>
        <w:rPr>
          <w:rStyle w:val="StringTok"/>
        </w:rPr>
        <w:t xml:space="preserve">"sha256:checkpoint-manifest"</w:t>
      </w:r>
      <w:r>
        <w:rPr>
          <w:rStyle w:val="FunctionTok"/>
        </w:rPr>
        <w:t xml:space="preserve">,</w:t>
      </w:r>
      <w:r>
        <w:br/>
      </w:r>
      <w:r>
        <w:rPr>
          <w:rStyle w:val="NormalTok"/>
        </w:rPr>
        <w:t xml:space="preserve">  </w:t>
      </w:r>
      <w:r>
        <w:rPr>
          <w:rStyle w:val="DataTypeTok"/>
        </w:rPr>
        <w:t xml:space="preserve">"routingPolicy"</w:t>
      </w:r>
      <w:r>
        <w:rPr>
          <w:rStyle w:val="FunctionTok"/>
        </w:rPr>
        <w:t xml:space="preserve">:</w:t>
      </w:r>
      <w:r>
        <w:rPr>
          <w:rStyle w:val="NormalTok"/>
        </w:rPr>
        <w:t xml:space="preserve"> </w:t>
      </w:r>
      <w:r>
        <w:rPr>
          <w:rStyle w:val="StringTok"/>
        </w:rPr>
        <w:t xml:space="preserve">"sha256:routing-policy"</w:t>
      </w:r>
      <w:r>
        <w:rPr>
          <w:rStyle w:val="FunctionTok"/>
        </w:rPr>
        <w:t xml:space="preserve">,</w:t>
      </w:r>
      <w:r>
        <w:br/>
      </w:r>
      <w:r>
        <w:rPr>
          <w:rStyle w:val="NormalTok"/>
        </w:rPr>
        <w:t xml:space="preserve">  </w:t>
      </w:r>
      <w:r>
        <w:rPr>
          <w:rStyle w:val="DataTypeTok"/>
        </w:rPr>
        <w:t xml:space="preserve">"fallback"</w:t>
      </w:r>
      <w:r>
        <w:rPr>
          <w:rStyle w:val="FunctionTok"/>
        </w:rPr>
        <w:t xml:space="preserve">:</w:t>
      </w:r>
      <w:r>
        <w:rPr>
          <w:rStyle w:val="NormalTok"/>
        </w:rPr>
        <w:t xml:space="preserve"> </w:t>
      </w:r>
      <w:r>
        <w:rPr>
          <w:rStyle w:val="StringTok"/>
        </w:rPr>
        <w:t xml:space="preserve">"sha256:prior-qualified-revision"</w:t>
      </w:r>
      <w:r>
        <w:rPr>
          <w:rStyle w:val="FunctionTok"/>
        </w:rPr>
        <w:t xml:space="preserve">,</w:t>
      </w:r>
      <w:r>
        <w:br/>
      </w:r>
      <w:r>
        <w:rPr>
          <w:rStyle w:val="NormalTok"/>
        </w:rPr>
        <w:t xml:space="preserve">  </w:t>
      </w:r>
      <w:r>
        <w:rPr>
          <w:rStyle w:val="DataTypeTok"/>
        </w:rPr>
        <w:t xml:space="preserve">"evidenceBundles"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"sha256:contract-suite"</w:t>
      </w:r>
      <w:r>
        <w:rPr>
          <w:rStyle w:val="OtherTok"/>
        </w:rPr>
        <w:t xml:space="preserve">,</w:t>
      </w:r>
      <w:r>
        <w:br/>
      </w:r>
      <w:r>
        <w:rPr>
          <w:rStyle w:val="NormalTok"/>
        </w:rPr>
        <w:t xml:space="preserve">    </w:t>
      </w:r>
      <w:r>
        <w:rPr>
          <w:rStyle w:val="StringTok"/>
        </w:rPr>
        <w:t xml:space="preserve">"sha256:adversarial-suite"</w:t>
      </w:r>
      <w:r>
        <w:rPr>
          <w:rStyle w:val="OtherTok"/>
        </w:rPr>
        <w:t xml:space="preserve">,</w:t>
      </w:r>
      <w:r>
        <w:br/>
      </w:r>
      <w:r>
        <w:rPr>
          <w:rStyle w:val="NormalTok"/>
        </w:rPr>
        <w:t xml:space="preserve">    </w:t>
      </w:r>
      <w:r>
        <w:rPr>
          <w:rStyle w:val="StringTok"/>
        </w:rPr>
        <w:t xml:space="preserve">"sha256:shadow-evidence"</w:t>
      </w:r>
      <w:r>
        <w:rPr>
          <w:rStyle w:val="OtherTok"/>
        </w:rPr>
        <w:t xml:space="preserve">,</w:t>
      </w:r>
      <w:r>
        <w:br/>
      </w:r>
      <w:r>
        <w:rPr>
          <w:rStyle w:val="NormalTok"/>
        </w:rPr>
        <w:t xml:space="preserve">    </w:t>
      </w:r>
      <w:r>
        <w:rPr>
          <w:rStyle w:val="StringTok"/>
        </w:rPr>
        <w:t xml:space="preserve">"sha256:canary-evidence"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"registryWatermark"</w:t>
      </w:r>
      <w:r>
        <w:rPr>
          <w:rStyle w:val="FunctionTok"/>
        </w:rPr>
        <w:t xml:space="preserve">:</w:t>
      </w:r>
      <w:r>
        <w:rPr>
          <w:rStyle w:val="NormalTok"/>
        </w:rPr>
        <w:t xml:space="preserve"> </w:t>
      </w:r>
      <w:r>
        <w:rPr>
          <w:rStyle w:val="StringTok"/>
        </w:rPr>
        <w:t xml:space="preserve">"log:9182241"</w:t>
      </w:r>
      <w:r>
        <w:rPr>
          <w:rStyle w:val="FunctionTok"/>
        </w:rPr>
        <w:t xml:space="preserve">,</w:t>
      </w:r>
      <w:r>
        <w:br/>
      </w:r>
      <w:r>
        <w:rPr>
          <w:rStyle w:val="NormalTok"/>
        </w:rPr>
        <w:t xml:space="preserve">  </w:t>
      </w:r>
      <w:r>
        <w:rPr>
          <w:rStyle w:val="DataTypeTok"/>
        </w:rPr>
        <w:t xml:space="preserve">"monitors"</w:t>
      </w:r>
      <w:r>
        <w:rPr>
          <w:rStyle w:val="FunctionTok"/>
        </w:rPr>
        <w:t xml:space="preserve">:</w:t>
      </w:r>
      <w:r>
        <w:rPr>
          <w:rStyle w:val="NormalTok"/>
        </w:rPr>
        <w:t xml:space="preserve"> </w:t>
      </w:r>
      <w:r>
        <w:rPr>
          <w:rStyle w:val="OtherTok"/>
        </w:rPr>
        <w:t xml:space="preserve">[</w:t>
      </w:r>
      <w:r>
        <w:rPr>
          <w:rStyle w:val="StringTok"/>
        </w:rPr>
        <w:t xml:space="preserve">"drift/v3"</w:t>
      </w:r>
      <w:r>
        <w:rPr>
          <w:rStyle w:val="OtherTok"/>
        </w:rPr>
        <w:t xml:space="preserve">,</w:t>
      </w:r>
      <w:r>
        <w:rPr>
          <w:rStyle w:val="NormalTok"/>
        </w:rPr>
        <w:t xml:space="preserve"> </w:t>
      </w:r>
      <w:r>
        <w:rPr>
          <w:rStyle w:val="StringTok"/>
        </w:rPr>
        <w:t xml:space="preserve">"authority/v5"</w:t>
      </w:r>
      <w:r>
        <w:rPr>
          <w:rStyle w:val="OtherTok"/>
        </w:rPr>
        <w:t xml:space="preserve">,</w:t>
      </w:r>
      <w:r>
        <w:rPr>
          <w:rStyle w:val="NormalTok"/>
        </w:rPr>
        <w:t xml:space="preserve"> </w:t>
      </w:r>
      <w:r>
        <w:rPr>
          <w:rStyle w:val="StringTok"/>
        </w:rPr>
        <w:t xml:space="preserve">"incident/v2"</w:t>
      </w:r>
      <w:r>
        <w:rPr>
          <w:rStyle w:val="OtherTok"/>
        </w:rPr>
        <w:t xml:space="preserve">]</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"2026-07-22T18:42:11Z"</w:t>
      </w:r>
      <w:r>
        <w:rPr>
          <w:rStyle w:val="FunctionTok"/>
        </w:rPr>
        <w:t xml:space="preserve">,</w:t>
      </w:r>
      <w:r>
        <w:br/>
      </w:r>
      <w:r>
        <w:rPr>
          <w:rStyle w:val="NormalTok"/>
        </w:rPr>
        <w:t xml:space="preserve">  </w:t>
      </w:r>
      <w:r>
        <w:rPr>
          <w:rStyle w:val="DataTypeTok"/>
        </w:rPr>
        <w:t xml:space="preserve">"approvals"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"evaluation"</w:t>
      </w:r>
      <w:r>
        <w:rPr>
          <w:rStyle w:val="FunctionTok"/>
        </w:rPr>
        <w:t xml:space="preserve">,</w:t>
      </w:r>
      <w:r>
        <w:rPr>
          <w:rStyle w:val="NormalTok"/>
        </w:rPr>
        <w:t xml:space="preserve"> </w:t>
      </w:r>
      <w:r>
        <w:rPr>
          <w:rStyle w:val="DataTypeTok"/>
        </w:rPr>
        <w:t xml:space="preserve">"signer"</w:t>
      </w:r>
      <w:r>
        <w:rPr>
          <w:rStyle w:val="FunctionTok"/>
        </w:rPr>
        <w:t xml:space="preserve">:</w:t>
      </w:r>
      <w:r>
        <w:rPr>
          <w:rStyle w:val="NormalTok"/>
        </w:rPr>
        <w:t xml:space="preserve"> </w:t>
      </w:r>
      <w:r>
        <w:rPr>
          <w:rStyle w:val="StringTok"/>
        </w:rPr>
        <w:t xml:space="preserve">"did:key:..."</w:t>
      </w:r>
      <w:r>
        <w:rPr>
          <w:rStyle w:val="FunctionTok"/>
        </w:rPr>
        <w:t xml:space="preserve">,</w:t>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"operations"</w:t>
      </w:r>
      <w:r>
        <w:rPr>
          <w:rStyle w:val="FunctionTok"/>
        </w:rPr>
        <w:t xml:space="preserve">,</w:t>
      </w:r>
      <w:r>
        <w:rPr>
          <w:rStyle w:val="NormalTok"/>
        </w:rPr>
        <w:t xml:space="preserve"> </w:t>
      </w:r>
      <w:r>
        <w:rPr>
          <w:rStyle w:val="DataTypeTok"/>
        </w:rPr>
        <w:t xml:space="preserve">"signer"</w:t>
      </w:r>
      <w:r>
        <w:rPr>
          <w:rStyle w:val="FunctionTok"/>
        </w:rPr>
        <w:t xml:space="preserve">:</w:t>
      </w:r>
      <w:r>
        <w:rPr>
          <w:rStyle w:val="NormalTok"/>
        </w:rPr>
        <w:t xml:space="preserve"> </w:t>
      </w:r>
      <w:r>
        <w:rPr>
          <w:rStyle w:val="StringTok"/>
        </w:rPr>
        <w:t xml:space="preserve">"did:key:..."</w:t>
      </w:r>
      <w:r>
        <w:rPr>
          <w:rStyle w:val="FunctionTok"/>
        </w:rPr>
        <w:t xml:space="preserve">,</w:t>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71"/>
    <w:bookmarkStart w:id="172" w:name="references"/>
    <w:p>
      <w:pPr>
        <w:pStyle w:val="Heading1"/>
        <w:pageBreakBefore/>
        <w:widowControl w:val="1"/>
        <w:pBdr>
          <w:bottom w:val="single" w:sz="7" w:space="4" w:color="E8EEF3"/>
        </w:pBdr>
      </w:pPr>
      <w:r>
        <w:t xml:space="preserve">References</w:t>
      </w:r>
    </w:p>
    <w:p>
      <w:pPr>
        <w:pStyle w:val="Bibliography"/>
        <w:widowControl w:val="1"/>
        <w:spacing w:after="56" w:line="240" w:lineRule="auto"/>
        <w:ind w:left="432" w:hanging="432"/>
        <w:jc w:val="left"/>
      </w:pPr>
      <w:r>
        <w:t xml:space="preserve">[1] J. Schmidhuber,</w:t>
      </w:r>
      <w:r>
        <w:t xml:space="preserve"> </w:t>
      </w:r>
      <w:r>
        <w:t xml:space="preserve">“</w:t>
      </w:r>
      <w:r>
        <w:t xml:space="preserve">Goedel Machines: Fully Self-Referential Optimal Universal Self-Improvers,</w:t>
      </w:r>
      <w:r>
        <w:t xml:space="preserve">”</w:t>
      </w:r>
      <w:r>
        <w:t xml:space="preserve"> </w:t>
      </w:r>
      <w:r>
        <w:t xml:space="preserve">in</w:t>
      </w:r>
      <w:r>
        <w:t xml:space="preserve"> </w:t>
      </w:r>
      <w:r>
        <w:rPr>
          <w:i/>
          <w:iCs/>
        </w:rPr>
        <w:t xml:space="preserve">Artificial General Intelligence</w:t>
      </w:r>
      <w:r>
        <w:t xml:space="preserve">, Springer, 2007, pp. 199-226. doi:10.1007/978-3-540-68677-4_7.</w:t>
      </w:r>
    </w:p>
    <w:p>
      <w:pPr>
        <w:pStyle w:val="Bibliography"/>
        <w:widowControl w:val="1"/>
        <w:spacing w:after="56" w:line="240" w:lineRule="auto"/>
        <w:ind w:left="432" w:hanging="432"/>
        <w:jc w:val="left"/>
      </w:pPr>
      <w:r>
        <w:t xml:space="preserve">[2] E. Zelikman, E. Lorch, L. Mackey, and A. T. Kalai,</w:t>
      </w:r>
      <w:r>
        <w:t xml:space="preserve"> </w:t>
      </w:r>
      <w:r>
        <w:t xml:space="preserve">“</w:t>
      </w:r>
      <w:r>
        <w:t xml:space="preserve">Self-Taught Optimizer (STOP): Recursively Self-Improving Code Generation,</w:t>
      </w:r>
      <w:r>
        <w:t xml:space="preserve">”</w:t>
      </w:r>
      <w:r>
        <w:t xml:space="preserve"> </w:t>
      </w:r>
      <w:r>
        <w:t xml:space="preserve">arXiv:2310.02304, 2023.</w:t>
      </w:r>
    </w:p>
    <w:p>
      <w:pPr>
        <w:pStyle w:val="Bibliography"/>
        <w:widowControl w:val="1"/>
        <w:spacing w:after="56" w:line="240" w:lineRule="auto"/>
        <w:ind w:left="432" w:hanging="432"/>
        <w:jc w:val="left"/>
      </w:pPr>
      <w:r>
        <w:t xml:space="preserve">[3] S. Hu, C. Lu, and J. Clune,</w:t>
      </w:r>
      <w:r>
        <w:t xml:space="preserve"> </w:t>
      </w:r>
      <w:r>
        <w:t xml:space="preserve">“</w:t>
      </w:r>
      <w:r>
        <w:t xml:space="preserve">Automated Design of Agentic Systems,</w:t>
      </w:r>
      <w:r>
        <w:t xml:space="preserve">”</w:t>
      </w:r>
      <w:r>
        <w:t xml:space="preserve"> </w:t>
      </w:r>
      <w:r>
        <w:t xml:space="preserve">arXiv:2408.08435, 2024.</w:t>
      </w:r>
    </w:p>
    <w:p>
      <w:pPr>
        <w:pStyle w:val="Bibliography"/>
        <w:widowControl w:val="1"/>
        <w:spacing w:after="56" w:line="240" w:lineRule="auto"/>
        <w:ind w:left="432" w:hanging="432"/>
        <w:jc w:val="left"/>
      </w:pPr>
      <w:r>
        <w:t xml:space="preserve">[4] M. Robeyns, M. Szummer, and L. Aitchison,</w:t>
      </w:r>
      <w:r>
        <w:t xml:space="preserve"> </w:t>
      </w:r>
      <w:r>
        <w:t xml:space="preserve">“</w:t>
      </w:r>
      <w:r>
        <w:t xml:space="preserve">A Self-Improving Coding Agent,</w:t>
      </w:r>
      <w:r>
        <w:t xml:space="preserve">”</w:t>
      </w:r>
      <w:r>
        <w:t xml:space="preserve"> </w:t>
      </w:r>
      <w:r>
        <w:t xml:space="preserve">arXiv:2504.15228, 2025.</w:t>
      </w:r>
    </w:p>
    <w:p>
      <w:pPr>
        <w:pStyle w:val="Bibliography"/>
        <w:widowControl w:val="1"/>
        <w:spacing w:after="56" w:line="240" w:lineRule="auto"/>
        <w:ind w:left="432" w:hanging="432"/>
        <w:jc w:val="left"/>
      </w:pPr>
      <w:r>
        <w:t xml:space="preserve">[5] J. Zhang, S. Hu, C. Lu, R. Lange, and J. Clune,</w:t>
      </w:r>
      <w:r>
        <w:t xml:space="preserve"> </w:t>
      </w:r>
      <w:r>
        <w:t xml:space="preserve">“</w:t>
      </w:r>
      <w:r>
        <w:t xml:space="preserve">Darwin Goedel Machine: Open-Ended Evolution of Self-Improving Agents,</w:t>
      </w:r>
      <w:r>
        <w:t xml:space="preserve">”</w:t>
      </w:r>
      <w:r>
        <w:t xml:space="preserve"> </w:t>
      </w:r>
      <w:r>
        <w:t xml:space="preserve">arXiv:2505.22954, 2025, revised 2026.</w:t>
      </w:r>
    </w:p>
    <w:p>
      <w:pPr>
        <w:pStyle w:val="Bibliography"/>
        <w:widowControl w:val="1"/>
        <w:spacing w:after="56" w:line="240" w:lineRule="auto"/>
        <w:ind w:left="432" w:hanging="432"/>
        <w:jc w:val="left"/>
      </w:pPr>
      <w:r>
        <w:t xml:space="preserve">[6] W. Wang, P. Piekos, N. Li, F. Laakom, Y. Chen, M. Ostaszewski, M. Zhuge, and J. Schmidhuber,</w:t>
      </w:r>
      <w:r>
        <w:t xml:space="preserve"> </w:t>
      </w:r>
      <w:r>
        <w:t xml:space="preserve">“</w:t>
      </w:r>
      <w:r>
        <w:t xml:space="preserve">Huxley-Goedel Machine: Human-Level Coding Agent Development by an Approximation of the Optimal Self-Improving Machine,</w:t>
      </w:r>
      <w:r>
        <w:t xml:space="preserve">”</w:t>
      </w:r>
      <w:r>
        <w:t xml:space="preserve"> </w:t>
      </w:r>
      <w:r>
        <w:t xml:space="preserve">arXiv:2510.21614, 2025.</w:t>
      </w:r>
    </w:p>
    <w:p>
      <w:pPr>
        <w:pStyle w:val="Bibliography"/>
        <w:widowControl w:val="1"/>
        <w:spacing w:after="56" w:line="240" w:lineRule="auto"/>
        <w:ind w:left="432" w:hanging="432"/>
        <w:jc w:val="left"/>
      </w:pPr>
      <w:r>
        <w:t xml:space="preserve">[7] P. Hebbar, Y. Manawat, S. Verboomen, A. Ivanova, S. Palanimalai, K. Bhatia, and V. Baskaran,</w:t>
      </w:r>
      <w:r>
        <w:t xml:space="preserve"> </w:t>
      </w:r>
      <w:r>
        <w:t xml:space="preserve">“</w:t>
      </w:r>
      <w:r>
        <w:t xml:space="preserve">SIA: Self Improving AI with Harness &amp; Weight Updates,</w:t>
      </w:r>
      <w:r>
        <w:t xml:space="preserve">”</w:t>
      </w:r>
      <w:r>
        <w:t xml:space="preserve"> </w:t>
      </w:r>
      <w:r>
        <w:t xml:space="preserve">arXiv:2605.27276, 2026.</w:t>
      </w:r>
    </w:p>
    <w:p>
      <w:pPr>
        <w:pStyle w:val="Bibliography"/>
        <w:widowControl w:val="1"/>
        <w:spacing w:after="56" w:line="240" w:lineRule="auto"/>
        <w:ind w:left="432" w:hanging="432"/>
        <w:jc w:val="left"/>
      </w:pPr>
      <w:r>
        <w:t xml:space="preserve">[8] A. Novikov et al.,</w:t>
      </w:r>
      <w:r>
        <w:t xml:space="preserve"> </w:t>
      </w:r>
      <w:r>
        <w:t xml:space="preserve">“</w:t>
      </w:r>
      <w:r>
        <w:t xml:space="preserve">AlphaEvolve: A Coding Agent for Scientific and Algorithmic Discovery,</w:t>
      </w:r>
      <w:r>
        <w:t xml:space="preserve">”</w:t>
      </w:r>
      <w:r>
        <w:t xml:space="preserve"> </w:t>
      </w:r>
      <w:r>
        <w:t xml:space="preserve">arXiv:2506.13131, 2025.</w:t>
      </w:r>
    </w:p>
    <w:p>
      <w:pPr>
        <w:pStyle w:val="Bibliography"/>
        <w:widowControl w:val="1"/>
        <w:spacing w:after="56" w:line="240" w:lineRule="auto"/>
        <w:ind w:left="432" w:hanging="432"/>
        <w:jc w:val="left"/>
      </w:pPr>
      <w:r>
        <w:t xml:space="preserve">[9] G. Wang et al.,</w:t>
      </w:r>
      <w:r>
        <w:t xml:space="preserve"> </w:t>
      </w:r>
      <w:r>
        <w:t xml:space="preserve">“</w:t>
      </w:r>
      <w:r>
        <w:t xml:space="preserve">Voyager: An Open-Ended Embodied Agent with Large Language Models,</w:t>
      </w:r>
      <w:r>
        <w:t xml:space="preserve">”</w:t>
      </w:r>
      <w:r>
        <w:t xml:space="preserve"> </w:t>
      </w:r>
      <w:r>
        <w:t xml:space="preserve">arXiv:2305.16291, 2023.</w:t>
      </w:r>
    </w:p>
    <w:p>
      <w:pPr>
        <w:pStyle w:val="Bibliography"/>
        <w:widowControl w:val="1"/>
        <w:spacing w:after="56" w:line="240" w:lineRule="auto"/>
        <w:ind w:left="432" w:hanging="432"/>
        <w:jc w:val="left"/>
      </w:pPr>
      <w:r>
        <w:t xml:space="preserve">[10] O. Khattab et al.,</w:t>
      </w:r>
      <w:r>
        <w:t xml:space="preserve"> </w:t>
      </w:r>
      <w:r>
        <w:t xml:space="preserve">“</w:t>
      </w:r>
      <w:r>
        <w:t xml:space="preserve">DSPy: Compiling Declarative Language Model Calls into Self-Improving Pipelines,</w:t>
      </w:r>
      <w:r>
        <w:t xml:space="preserve">”</w:t>
      </w:r>
      <w:r>
        <w:t xml:space="preserve"> </w:t>
      </w:r>
      <w:r>
        <w:t xml:space="preserve">in</w:t>
      </w:r>
      <w:r>
        <w:t xml:space="preserve"> </w:t>
      </w:r>
      <w:r>
        <w:rPr>
          <w:i/>
          <w:iCs/>
        </w:rPr>
        <w:t xml:space="preserve">International Conference on Learning Representations</w:t>
      </w:r>
      <w:r>
        <w:t xml:space="preserve">, 2024; arXiv:2310.03714.</w:t>
      </w:r>
    </w:p>
    <w:p>
      <w:pPr>
        <w:pStyle w:val="Bibliography"/>
        <w:widowControl w:val="1"/>
        <w:spacing w:after="56" w:line="240" w:lineRule="auto"/>
        <w:ind w:left="432" w:hanging="432"/>
        <w:jc w:val="left"/>
      </w:pPr>
      <w:r>
        <w:t xml:space="preserve">[11] K. Huang and J. Huang,</w:t>
      </w:r>
      <w:r>
        <w:t xml:space="preserve"> </w:t>
      </w:r>
      <w:r>
        <w:t xml:space="preserve">“</w:t>
      </w:r>
      <w:r>
        <w:t xml:space="preserve">Audited Skill-Graph Self-Improvement for Agentic LLMs via Verifiable Rewards, Experience Synthesis, and Continual Memory,</w:t>
      </w:r>
      <w:r>
        <w:t xml:space="preserve">”</w:t>
      </w:r>
      <w:r>
        <w:t xml:space="preserve"> </w:t>
      </w:r>
      <w:r>
        <w:t xml:space="preserve">arXiv:2512.23760, 2025.</w:t>
      </w:r>
    </w:p>
    <w:p>
      <w:pPr>
        <w:pStyle w:val="Bibliography"/>
        <w:widowControl w:val="1"/>
        <w:spacing w:after="56" w:line="240" w:lineRule="auto"/>
        <w:ind w:left="432" w:hanging="432"/>
        <w:jc w:val="left"/>
      </w:pPr>
      <w:r>
        <w:t xml:space="preserve">[12] Z. Lu, Y. Zuo, Y. Nie, X. He, W. Fan, and C. Dai,</w:t>
      </w:r>
      <w:r>
        <w:t xml:space="preserve"> </w:t>
      </w:r>
      <w:r>
        <w:t xml:space="preserve">“</w:t>
      </w:r>
      <w:r>
        <w:t xml:space="preserve">ContractSkill: Repairable Contract-Based Skills for Multimodal Web Agents,</w:t>
      </w:r>
      <w:r>
        <w:t xml:space="preserve">”</w:t>
      </w:r>
      <w:r>
        <w:t xml:space="preserve"> </w:t>
      </w:r>
      <w:r>
        <w:t xml:space="preserve">arXiv:2603.20340, 2026.</w:t>
      </w:r>
    </w:p>
    <w:p>
      <w:pPr>
        <w:pStyle w:val="Bibliography"/>
        <w:widowControl w:val="1"/>
        <w:spacing w:after="56" w:line="240" w:lineRule="auto"/>
        <w:ind w:left="432" w:hanging="432"/>
        <w:jc w:val="left"/>
      </w:pPr>
      <w:r>
        <w:t xml:space="preserve">[13] Y. Yang, N. P. Bhatt, K. Wang, S. Tetteh, Z. Wang, and U. Topcu,</w:t>
      </w:r>
      <w:r>
        <w:t xml:space="preserve"> </w:t>
      </w:r>
      <w:r>
        <w:t xml:space="preserve">“</w:t>
      </w:r>
      <w:r>
        <w:t xml:space="preserve">VASO: Formally Verifiable Self-Evolving Skills for Physical AI Agents,</w:t>
      </w:r>
      <w:r>
        <w:t xml:space="preserve">”</w:t>
      </w:r>
      <w:r>
        <w:t xml:space="preserve"> </w:t>
      </w:r>
      <w:r>
        <w:t xml:space="preserve">arXiv:2606.05395, 2026.</w:t>
      </w:r>
    </w:p>
    <w:p>
      <w:pPr>
        <w:pStyle w:val="Bibliography"/>
        <w:widowControl w:val="1"/>
        <w:spacing w:after="56" w:line="240" w:lineRule="auto"/>
        <w:ind w:left="432" w:hanging="432"/>
        <w:jc w:val="left"/>
      </w:pPr>
      <w:r>
        <w:t xml:space="preserve">[14] E. Pautsch, T. Singla, W. Jiang, H. Peng, B. Hassanshahi, K. Laeufer, G. K. Thiruvathukal, and J. C. Davis,</w:t>
      </w:r>
      <w:r>
        <w:t xml:space="preserve"> </w:t>
      </w:r>
      <w:r>
        <w:t xml:space="preserve">“</w:t>
      </w:r>
      <w:r>
        <w:t xml:space="preserve">AgentHub: A Research Agenda for Agent Sharing Infrastructure,</w:t>
      </w:r>
      <w:r>
        <w:t xml:space="preserve">”</w:t>
      </w:r>
      <w:r>
        <w:t xml:space="preserve"> </w:t>
      </w:r>
      <w:r>
        <w:t xml:space="preserve">arXiv:2510.03495, 2025, revised 2026.</w:t>
      </w:r>
    </w:p>
    <w:p>
      <w:pPr>
        <w:pStyle w:val="Bibliography"/>
        <w:widowControl w:val="1"/>
        <w:spacing w:after="56" w:line="240" w:lineRule="auto"/>
        <w:ind w:left="432" w:hanging="432"/>
        <w:jc w:val="left"/>
      </w:pPr>
      <w:r>
        <w:t xml:space="preserve">[15] A. Singh, A. Ehtesham, R. Raskar, M. Lambe, P. Chari, J. J. Grogan, A. Singh, and S. Kumar,</w:t>
      </w:r>
      <w:r>
        <w:t xml:space="preserve"> </w:t>
      </w:r>
      <w:r>
        <w:t xml:space="preserve">“</w:t>
      </w:r>
      <w:r>
        <w:t xml:space="preserve">A Survey of AI Agent Registry Solutions,</w:t>
      </w:r>
      <w:r>
        <w:t xml:space="preserve">”</w:t>
      </w:r>
      <w:r>
        <w:t xml:space="preserve"> </w:t>
      </w:r>
      <w:r>
        <w:t xml:space="preserve">arXiv:2508.03095, 2025.</w:t>
      </w:r>
    </w:p>
    <w:p>
      <w:pPr>
        <w:pStyle w:val="Bibliography"/>
        <w:widowControl w:val="1"/>
        <w:spacing w:after="56" w:line="240" w:lineRule="auto"/>
        <w:ind w:left="432" w:hanging="432"/>
        <w:jc w:val="left"/>
      </w:pPr>
      <w:r>
        <w:t xml:space="preserve">[16] Model Context Protocol,</w:t>
      </w:r>
      <w:r>
        <w:t xml:space="preserve"> </w:t>
      </w:r>
      <w:r>
        <w:t xml:space="preserve">“</w:t>
      </w:r>
      <w:r>
        <w:t xml:space="preserve">Specification, version 2025-11-25,</w:t>
      </w:r>
      <w:r>
        <w:t xml:space="preserve">”</w:t>
      </w:r>
      <w:r>
        <w:t xml:space="preserve"> </w:t>
      </w:r>
      <w:r>
        <w:t xml:space="preserve">official specification, 2025.</w:t>
      </w:r>
    </w:p>
    <w:p>
      <w:pPr>
        <w:pStyle w:val="Bibliography"/>
        <w:widowControl w:val="1"/>
        <w:spacing w:after="56" w:line="240" w:lineRule="auto"/>
        <w:ind w:left="432" w:hanging="432"/>
        <w:jc w:val="left"/>
      </w:pPr>
      <w:r>
        <w:t xml:space="preserve">[17] A2A Protocol,</w:t>
      </w:r>
      <w:r>
        <w:t xml:space="preserve"> </w:t>
      </w:r>
      <w:r>
        <w:t xml:space="preserve">“</w:t>
      </w:r>
      <w:r>
        <w:t xml:space="preserve">Agent2Agent Protocol Specification, version 1.0,</w:t>
      </w:r>
      <w:r>
        <w:t xml:space="preserve">”</w:t>
      </w:r>
      <w:r>
        <w:t xml:space="preserve"> </w:t>
      </w:r>
      <w:r>
        <w:t xml:space="preserve">official specification, 2026.</w:t>
      </w:r>
    </w:p>
    <w:p>
      <w:pPr>
        <w:pStyle w:val="Bibliography"/>
        <w:widowControl w:val="1"/>
        <w:spacing w:after="56" w:line="240" w:lineRule="auto"/>
        <w:ind w:left="432" w:hanging="432"/>
        <w:jc w:val="left"/>
      </w:pPr>
      <w:r>
        <w:t xml:space="preserve">[18] X. Qin, S. Luan, J. See, C. Yang, and Z. Li,</w:t>
      </w:r>
      <w:r>
        <w:t xml:space="preserve"> </w:t>
      </w:r>
      <w:r>
        <w:t xml:space="preserve">“</w:t>
      </w:r>
      <w:r>
        <w:t xml:space="preserve">Governed Capability Evolution for Embodied Agents: Safe Upgrade, Compatibility Checking, and Runtime Rollback for Embodied Capability Modules,</w:t>
      </w:r>
      <w:r>
        <w:t xml:space="preserve">”</w:t>
      </w:r>
      <w:r>
        <w:t xml:space="preserve"> </w:t>
      </w:r>
      <w:r>
        <w:t xml:space="preserve">arXiv:2604.08059, 2026.</w:t>
      </w:r>
    </w:p>
    <w:p>
      <w:pPr>
        <w:pStyle w:val="Bibliography"/>
        <w:widowControl w:val="1"/>
        <w:spacing w:after="56" w:line="240" w:lineRule="auto"/>
        <w:ind w:left="432" w:hanging="432"/>
        <w:jc w:val="left"/>
      </w:pPr>
      <w:r>
        <w:t xml:space="preserve">[19] M. Garralda-Barrio,</w:t>
      </w:r>
      <w:r>
        <w:t xml:space="preserve"> </w:t>
      </w:r>
      <w:r>
        <w:t xml:space="preserve">“</w:t>
      </w:r>
      <w:r>
        <w:t xml:space="preserve">Governed Evolution of Agent Runtimes through Executable Operational Cognition,</w:t>
      </w:r>
      <w:r>
        <w:t xml:space="preserve">”</w:t>
      </w:r>
      <w:r>
        <w:t xml:space="preserve"> </w:t>
      </w:r>
      <w:r>
        <w:t xml:space="preserve">arXiv:2605.27328, 2026.</w:t>
      </w:r>
    </w:p>
    <w:p>
      <w:pPr>
        <w:pStyle w:val="Bibliography"/>
        <w:widowControl w:val="1"/>
        <w:spacing w:after="56" w:line="240" w:lineRule="auto"/>
        <w:ind w:left="432" w:hanging="432"/>
        <w:jc w:val="left"/>
      </w:pPr>
      <w:r>
        <w:t xml:space="preserve">[20] J. O. Kephart and D. M. Chess,</w:t>
      </w:r>
      <w:r>
        <w:t xml:space="preserve"> </w:t>
      </w:r>
      <w:r>
        <w:t xml:space="preserve">“</w:t>
      </w:r>
      <w:r>
        <w:t xml:space="preserve">The Vision of Autonomic Computing,</w:t>
      </w:r>
      <w:r>
        <w:t xml:space="preserve">”</w:t>
      </w:r>
      <w:r>
        <w:t xml:space="preserve"> </w:t>
      </w:r>
      <w:r>
        <w:rPr>
          <w:i/>
          <w:iCs/>
        </w:rPr>
        <w:t xml:space="preserve">Computer</w:t>
      </w:r>
      <w:r>
        <w:t xml:space="preserve">, vol. 36, no. 1, pp. 41-50, 2003. doi:10.1109/MC.2003.1160055.</w:t>
      </w:r>
    </w:p>
    <w:p>
      <w:pPr>
        <w:pStyle w:val="Bibliography"/>
        <w:widowControl w:val="1"/>
        <w:spacing w:after="56" w:line="240" w:lineRule="auto"/>
        <w:ind w:left="432" w:hanging="432"/>
        <w:jc w:val="left"/>
      </w:pPr>
      <w:r>
        <w:t xml:space="preserve">[21] S. R. White et al.,</w:t>
      </w:r>
      <w:r>
        <w:t xml:space="preserve"> </w:t>
      </w:r>
      <w:r>
        <w:t xml:space="preserve">“</w:t>
      </w:r>
      <w:r>
        <w:t xml:space="preserve">An Architectural Approach to Autonomic Computing,</w:t>
      </w:r>
      <w:r>
        <w:t xml:space="preserve">”</w:t>
      </w:r>
      <w:r>
        <w:t xml:space="preserve"> </w:t>
      </w:r>
      <w:r>
        <w:t xml:space="preserve">in</w:t>
      </w:r>
      <w:r>
        <w:t xml:space="preserve"> </w:t>
      </w:r>
      <w:r>
        <w:rPr>
          <w:i/>
          <w:iCs/>
        </w:rPr>
        <w:t xml:space="preserve">Proceedings of the First International Conference on Autonomic Computing</w:t>
      </w:r>
      <w:r>
        <w:t xml:space="preserve">, 2004.</w:t>
      </w:r>
    </w:p>
    <w:p>
      <w:pPr>
        <w:pStyle w:val="Bibliography"/>
        <w:widowControl w:val="1"/>
        <w:spacing w:after="56" w:line="240" w:lineRule="auto"/>
        <w:ind w:left="432" w:hanging="432"/>
        <w:jc w:val="left"/>
      </w:pPr>
      <w:r>
        <w:t xml:space="preserve">[22] D. Garlan, S. Cheng, A. Huang, B. Schmerl, and P. Steenkiste,</w:t>
      </w:r>
      <w:r>
        <w:t xml:space="preserve"> </w:t>
      </w:r>
      <w:r>
        <w:t xml:space="preserve">“</w:t>
      </w:r>
      <w:r>
        <w:t xml:space="preserve">Rainbow: Architecture-Based Self-Adaptation with Reusable Infrastructure,</w:t>
      </w:r>
      <w:r>
        <w:t xml:space="preserve">”</w:t>
      </w:r>
      <w:r>
        <w:t xml:space="preserve"> </w:t>
      </w:r>
      <w:r>
        <w:rPr>
          <w:i/>
          <w:iCs/>
        </w:rPr>
        <w:t xml:space="preserve">Computer</w:t>
      </w:r>
      <w:r>
        <w:t xml:space="preserve">, vol. 37, no. 10, pp. 46-54, 2004. doi:10.1109/MC.2004.175.</w:t>
      </w:r>
    </w:p>
    <w:p>
      <w:pPr>
        <w:pStyle w:val="Bibliography"/>
        <w:widowControl w:val="1"/>
        <w:spacing w:after="56" w:line="240" w:lineRule="auto"/>
        <w:ind w:left="432" w:hanging="432"/>
        <w:jc w:val="left"/>
      </w:pPr>
      <w:r>
        <w:t xml:space="preserve">[23] B. Meyer,</w:t>
      </w:r>
      <w:r>
        <w:t xml:space="preserve"> </w:t>
      </w:r>
      <w:r>
        <w:t xml:space="preserve">“</w:t>
      </w:r>
      <w:r>
        <w:t xml:space="preserve">Applying Design by Contract,</w:t>
      </w:r>
      <w:r>
        <w:t xml:space="preserve">”</w:t>
      </w:r>
      <w:r>
        <w:t xml:space="preserve"> </w:t>
      </w:r>
      <w:r>
        <w:rPr>
          <w:i/>
          <w:iCs/>
        </w:rPr>
        <w:t xml:space="preserve">Computer</w:t>
      </w:r>
      <w:r>
        <w:t xml:space="preserve">, vol. 25, no. 10, pp. 40-51, 1992. doi:10.1109/2.161279.</w:t>
      </w:r>
    </w:p>
    <w:p>
      <w:pPr>
        <w:pStyle w:val="Bibliography"/>
        <w:widowControl w:val="1"/>
        <w:spacing w:after="56" w:line="240" w:lineRule="auto"/>
        <w:ind w:left="432" w:hanging="432"/>
        <w:jc w:val="left"/>
      </w:pPr>
      <w:r>
        <w:t xml:space="preserve">[24] B. H. Liskov and J. M. Wing,</w:t>
      </w:r>
      <w:r>
        <w:t xml:space="preserve"> </w:t>
      </w:r>
      <w:r>
        <w:t xml:space="preserve">“</w:t>
      </w:r>
      <w:r>
        <w:t xml:space="preserve">A Behavioral Notion of Subtyping,</w:t>
      </w:r>
      <w:r>
        <w:t xml:space="preserve">”</w:t>
      </w:r>
      <w:r>
        <w:t xml:space="preserve"> </w:t>
      </w:r>
      <w:r>
        <w:rPr>
          <w:i/>
          <w:iCs/>
        </w:rPr>
        <w:t xml:space="preserve">ACM Transactions on Programming Languages and Systems</w:t>
      </w:r>
      <w:r>
        <w:t xml:space="preserve">, vol. 16, no. 6, pp. 1811-1841, 1994. doi:10.1145/197320.197383.</w:t>
      </w:r>
    </w:p>
    <w:p>
      <w:pPr>
        <w:pStyle w:val="Bibliography"/>
        <w:widowControl w:val="1"/>
        <w:spacing w:after="56" w:line="240" w:lineRule="auto"/>
        <w:ind w:left="432" w:hanging="432"/>
        <w:jc w:val="left"/>
      </w:pPr>
      <w:r>
        <w:t xml:space="preserve">[25] L. de Alfaro and T. A. Henzinger,</w:t>
      </w:r>
      <w:r>
        <w:t xml:space="preserve"> </w:t>
      </w:r>
      <w:r>
        <w:t xml:space="preserve">“</w:t>
      </w:r>
      <w:r>
        <w:t xml:space="preserve">Interface Automata,</w:t>
      </w:r>
      <w:r>
        <w:t xml:space="preserve">”</w:t>
      </w:r>
      <w:r>
        <w:t xml:space="preserve"> </w:t>
      </w:r>
      <w:r>
        <w:t xml:space="preserve">in</w:t>
      </w:r>
      <w:r>
        <w:t xml:space="preserve"> </w:t>
      </w:r>
      <w:r>
        <w:rPr>
          <w:i/>
          <w:iCs/>
        </w:rPr>
        <w:t xml:space="preserve">Proceedings of ESEC/FSE</w:t>
      </w:r>
      <w:r>
        <w:t xml:space="preserve">, 2001. doi:10.1145/503209.503226.</w:t>
      </w:r>
    </w:p>
    <w:p>
      <w:pPr>
        <w:pStyle w:val="Bibliography"/>
        <w:widowControl w:val="1"/>
        <w:spacing w:after="56" w:line="240" w:lineRule="auto"/>
        <w:ind w:left="432" w:hanging="432"/>
        <w:jc w:val="left"/>
      </w:pPr>
      <w:r>
        <w:t xml:space="preserve">[26] N. Amla, E. A. Emerson, K. S. Namjoshi, and R. Trefler,</w:t>
      </w:r>
      <w:r>
        <w:t xml:space="preserve"> </w:t>
      </w:r>
      <w:r>
        <w:t xml:space="preserve">“</w:t>
      </w:r>
      <w:r>
        <w:t xml:space="preserve">Assume-Guarantee Based Compositional Reasoning for Synchronous Timing Diagrams,</w:t>
      </w:r>
      <w:r>
        <w:t xml:space="preserve">”</w:t>
      </w:r>
      <w:r>
        <w:t xml:space="preserve"> </w:t>
      </w:r>
      <w:r>
        <w:t xml:space="preserve">in</w:t>
      </w:r>
      <w:r>
        <w:t xml:space="preserve"> </w:t>
      </w:r>
      <w:r>
        <w:rPr>
          <w:i/>
          <w:iCs/>
        </w:rPr>
        <w:t xml:space="preserve">TACAS</w:t>
      </w:r>
      <w:r>
        <w:t xml:space="preserve">, 2001.</w:t>
      </w:r>
    </w:p>
    <w:p>
      <w:pPr>
        <w:pStyle w:val="Bibliography"/>
        <w:widowControl w:val="1"/>
        <w:spacing w:after="56" w:line="240" w:lineRule="auto"/>
        <w:ind w:left="432" w:hanging="432"/>
        <w:jc w:val="left"/>
      </w:pPr>
      <w:r>
        <w:t xml:space="preserve">[27] K. Mei et al.,</w:t>
      </w:r>
      <w:r>
        <w:t xml:space="preserve"> </w:t>
      </w:r>
      <w:r>
        <w:t xml:space="preserve">“</w:t>
      </w:r>
      <w:r>
        <w:t xml:space="preserve">AIOS: LLM Agent Operating System,</w:t>
      </w:r>
      <w:r>
        <w:t xml:space="preserve">”</w:t>
      </w:r>
      <w:r>
        <w:t xml:space="preserve"> </w:t>
      </w:r>
      <w:r>
        <w:t xml:space="preserve">arXiv:2403.16971, 2024; Conference on Language Modeling, 2025.</w:t>
      </w:r>
    </w:p>
    <w:p>
      <w:pPr>
        <w:pStyle w:val="Bibliography"/>
        <w:widowControl w:val="1"/>
        <w:spacing w:after="56" w:line="240" w:lineRule="auto"/>
        <w:ind w:left="432" w:hanging="432"/>
        <w:jc w:val="left"/>
      </w:pPr>
      <w:r>
        <w:t xml:space="preserve">[28] G. Klein et al.,</w:t>
      </w:r>
      <w:r>
        <w:t xml:space="preserve"> </w:t>
      </w:r>
      <w:r>
        <w:t xml:space="preserve">“</w:t>
      </w:r>
      <w:r>
        <w:t xml:space="preserve">seL4: Formal Verification of an OS Kernel,</w:t>
      </w:r>
      <w:r>
        <w:t xml:space="preserve">”</w:t>
      </w:r>
      <w:r>
        <w:t xml:space="preserve"> </w:t>
      </w:r>
      <w:r>
        <w:t xml:space="preserve">in</w:t>
      </w:r>
      <w:r>
        <w:t xml:space="preserve"> </w:t>
      </w:r>
      <w:r>
        <w:rPr>
          <w:i/>
          <w:iCs/>
        </w:rPr>
        <w:t xml:space="preserve">Proceedings of the 22nd ACM Symposium on Operating Systems Principles</w:t>
      </w:r>
      <w:r>
        <w:t xml:space="preserve">, 2009, pp. 207-220. doi:10.1145/1629575.1629596.</w:t>
      </w:r>
    </w:p>
    <w:p>
      <w:pPr>
        <w:pStyle w:val="Bibliography"/>
        <w:widowControl w:val="1"/>
        <w:spacing w:after="56" w:line="240" w:lineRule="auto"/>
        <w:ind w:left="432" w:hanging="432"/>
        <w:jc w:val="left"/>
      </w:pPr>
      <w:r>
        <w:t xml:space="preserve">[29] D. Seto, B. H. Krogh, L. Sha, and A. Chutinan,</w:t>
      </w:r>
      <w:r>
        <w:t xml:space="preserve"> </w:t>
      </w:r>
      <w:r>
        <w:t xml:space="preserve">“</w:t>
      </w:r>
      <w:r>
        <w:t xml:space="preserve">The Simplex Architecture for Safe On-Line Control System Upgrades,</w:t>
      </w:r>
      <w:r>
        <w:t xml:space="preserve">”</w:t>
      </w:r>
      <w:r>
        <w:t xml:space="preserve"> </w:t>
      </w:r>
      <w:r>
        <w:t xml:space="preserve">in</w:t>
      </w:r>
      <w:r>
        <w:t xml:space="preserve"> </w:t>
      </w:r>
      <w:r>
        <w:rPr>
          <w:i/>
          <w:iCs/>
        </w:rPr>
        <w:t xml:space="preserve">Proceedings of the American Control Conference</w:t>
      </w:r>
      <w:r>
        <w:t xml:space="preserve">, 1998, pp. 3504-3508. doi:10.1109/ACC.1998.703255.</w:t>
      </w:r>
    </w:p>
    <w:p>
      <w:pPr>
        <w:pStyle w:val="Bibliography"/>
        <w:widowControl w:val="1"/>
        <w:spacing w:after="56" w:line="240" w:lineRule="auto"/>
        <w:ind w:left="432" w:hanging="432"/>
        <w:jc w:val="left"/>
      </w:pPr>
      <w:r>
        <w:t xml:space="preserve">[30] A. Desai et al.,</w:t>
      </w:r>
      <w:r>
        <w:t xml:space="preserve"> </w:t>
      </w:r>
      <w:r>
        <w:t xml:space="preserve">“</w:t>
      </w:r>
      <w:r>
        <w:t xml:space="preserve">SOTER: A Runtime Assurance Framework for Programming Safe Robotics Systems,</w:t>
      </w:r>
      <w:r>
        <w:t xml:space="preserve">”</w:t>
      </w:r>
      <w:r>
        <w:t xml:space="preserve"> </w:t>
      </w:r>
      <w:r>
        <w:t xml:space="preserve">in</w:t>
      </w:r>
      <w:r>
        <w:t xml:space="preserve"> </w:t>
      </w:r>
      <w:r>
        <w:rPr>
          <w:i/>
          <w:iCs/>
        </w:rPr>
        <w:t xml:space="preserve">49th Annual IEEE/IFIP International Conference on Dependable Systems and Networks</w:t>
      </w:r>
      <w:r>
        <w:t xml:space="preserve">, 2019.</w:t>
      </w:r>
    </w:p>
    <w:p>
      <w:pPr>
        <w:pStyle w:val="Bibliography"/>
        <w:widowControl w:val="1"/>
        <w:spacing w:after="56" w:line="240" w:lineRule="auto"/>
        <w:ind w:left="432" w:hanging="432"/>
        <w:jc w:val="left"/>
      </w:pPr>
      <w:r>
        <w:t xml:space="preserve">[31] B. Randell,</w:t>
      </w:r>
      <w:r>
        <w:t xml:space="preserve"> </w:t>
      </w:r>
      <w:r>
        <w:t xml:space="preserve">“</w:t>
      </w:r>
      <w:r>
        <w:t xml:space="preserve">System Structure for Software Fault Tolerance,</w:t>
      </w:r>
      <w:r>
        <w:t xml:space="preserve">”</w:t>
      </w:r>
      <w:r>
        <w:t xml:space="preserve"> </w:t>
      </w:r>
      <w:r>
        <w:rPr>
          <w:i/>
          <w:iCs/>
        </w:rPr>
        <w:t xml:space="preserve">IEEE Transactions on Software Engineering</w:t>
      </w:r>
      <w:r>
        <w:t xml:space="preserve">, vol. SE-1, no. 2, pp. 220-232, 1975.</w:t>
      </w:r>
    </w:p>
    <w:p>
      <w:pPr>
        <w:pStyle w:val="Bibliography"/>
        <w:widowControl w:val="1"/>
        <w:spacing w:after="56" w:line="240" w:lineRule="auto"/>
        <w:ind w:left="432" w:hanging="432"/>
        <w:jc w:val="left"/>
      </w:pPr>
      <w:r>
        <w:t xml:space="preserve">[32] A. Avizienis,</w:t>
      </w:r>
      <w:r>
        <w:t xml:space="preserve"> </w:t>
      </w:r>
      <w:r>
        <w:t xml:space="preserve">“</w:t>
      </w:r>
      <w:r>
        <w:t xml:space="preserve">The N-Version Approach to Fault-Tolerant Software,</w:t>
      </w:r>
      <w:r>
        <w:t xml:space="preserve">”</w:t>
      </w:r>
      <w:r>
        <w:t xml:space="preserve"> </w:t>
      </w:r>
      <w:r>
        <w:rPr>
          <w:i/>
          <w:iCs/>
        </w:rPr>
        <w:t xml:space="preserve">IEEE Transactions on Software Engineering</w:t>
      </w:r>
      <w:r>
        <w:t xml:space="preserve">, vol. SE-11, no. 12, pp. 1491-1501, 1985.</w:t>
      </w:r>
    </w:p>
    <w:p>
      <w:pPr>
        <w:pStyle w:val="Bibliography"/>
        <w:widowControl w:val="1"/>
        <w:spacing w:after="56" w:line="240" w:lineRule="auto"/>
        <w:ind w:left="432" w:hanging="432"/>
        <w:jc w:val="left"/>
      </w:pPr>
      <w:r>
        <w:t xml:space="preserve">[33] S. Torres-Arias, H. Afzali, T. K. Kuppusamy, R. Curtmola, and J. Cappos,</w:t>
      </w:r>
      <w:r>
        <w:t xml:space="preserve"> </w:t>
      </w:r>
      <w:r>
        <w:t xml:space="preserve">“</w:t>
      </w:r>
      <w:r>
        <w:t xml:space="preserve">in-toto: Providing Farm-to-Table Guarantees for Bits and Bytes,</w:t>
      </w:r>
      <w:r>
        <w:t xml:space="preserve">”</w:t>
      </w:r>
      <w:r>
        <w:t xml:space="preserve"> </w:t>
      </w:r>
      <w:r>
        <w:t xml:space="preserve">in</w:t>
      </w:r>
      <w:r>
        <w:t xml:space="preserve"> </w:t>
      </w:r>
      <w:r>
        <w:rPr>
          <w:i/>
          <w:iCs/>
        </w:rPr>
        <w:t xml:space="preserve">28th USENIX Security Symposium</w:t>
      </w:r>
      <w:r>
        <w:t xml:space="preserve">, 2019, pp. 1393-1410.</w:t>
      </w:r>
    </w:p>
    <w:p>
      <w:pPr>
        <w:pStyle w:val="Bibliography"/>
        <w:widowControl w:val="1"/>
        <w:spacing w:after="56" w:line="240" w:lineRule="auto"/>
        <w:ind w:left="432" w:hanging="432"/>
        <w:jc w:val="left"/>
      </w:pPr>
      <w:r>
        <w:t xml:space="preserve">[34] Supply-chain Levels for Software Artifacts,</w:t>
      </w:r>
      <w:r>
        <w:t xml:space="preserve"> </w:t>
      </w:r>
      <w:r>
        <w:t xml:space="preserve">“</w:t>
      </w:r>
      <w:r>
        <w:t xml:space="preserve">SLSA Specification, version 1.0,</w:t>
      </w:r>
      <w:r>
        <w:t xml:space="preserve">”</w:t>
      </w:r>
      <w:r>
        <w:t xml:space="preserve"> </w:t>
      </w:r>
      <w:r>
        <w:t xml:space="preserve">official specification, 2023.</w:t>
      </w:r>
    </w:p>
    <w:p>
      <w:pPr>
        <w:pStyle w:val="Bibliography"/>
        <w:widowControl w:val="1"/>
        <w:spacing w:after="56" w:line="240" w:lineRule="auto"/>
        <w:ind w:left="432" w:hanging="432"/>
        <w:jc w:val="left"/>
      </w:pPr>
      <w:r>
        <w:t xml:space="preserve">[35] The Update Framework,</w:t>
      </w:r>
      <w:r>
        <w:t xml:space="preserve"> </w:t>
      </w:r>
      <w:r>
        <w:t xml:space="preserve">“</w:t>
      </w:r>
      <w:r>
        <w:t xml:space="preserve">TUF Specification,</w:t>
      </w:r>
      <w:r>
        <w:t xml:space="preserve">”</w:t>
      </w:r>
      <w:r>
        <w:t xml:space="preserve"> </w:t>
      </w:r>
      <w:r>
        <w:t xml:space="preserve">official specification, current 1.x series, accessed June 2026.</w:t>
      </w:r>
    </w:p>
    <w:p>
      <w:pPr>
        <w:pStyle w:val="Bibliography"/>
        <w:widowControl w:val="1"/>
        <w:spacing w:after="56" w:line="240" w:lineRule="auto"/>
        <w:ind w:left="432" w:hanging="432"/>
        <w:jc w:val="left"/>
      </w:pPr>
      <w:r>
        <w:t xml:space="preserve">[36] Open Container Initiative,</w:t>
      </w:r>
      <w:r>
        <w:t xml:space="preserve"> </w:t>
      </w:r>
      <w:r>
        <w:t xml:space="preserve">“</w:t>
      </w:r>
      <w:r>
        <w:t xml:space="preserve">OCI Image Format Specification,</w:t>
      </w:r>
      <w:r>
        <w:t xml:space="preserve">”</w:t>
      </w:r>
      <w:r>
        <w:t xml:space="preserve"> </w:t>
      </w:r>
      <w:r>
        <w:t xml:space="preserve">official specification, accessed June 2026.</w:t>
      </w:r>
    </w:p>
    <w:p>
      <w:pPr>
        <w:pStyle w:val="Bibliography"/>
        <w:widowControl w:val="1"/>
        <w:spacing w:after="56" w:line="240" w:lineRule="auto"/>
        <w:ind w:left="432" w:hanging="432"/>
        <w:jc w:val="left"/>
      </w:pPr>
      <w:r>
        <w:t xml:space="preserve">[37] D. Amodei et al.,</w:t>
      </w:r>
      <w:r>
        <w:t xml:space="preserve"> </w:t>
      </w:r>
      <w:r>
        <w:t xml:space="preserve">“</w:t>
      </w:r>
      <w:r>
        <w:t xml:space="preserve">Concrete Problems in AI Safety,</w:t>
      </w:r>
      <w:r>
        <w:t xml:space="preserve">”</w:t>
      </w:r>
      <w:r>
        <w:t xml:space="preserve"> </w:t>
      </w:r>
      <w:r>
        <w:t xml:space="preserve">arXiv:1606.06565, 2016.</w:t>
      </w:r>
    </w:p>
    <w:p>
      <w:pPr>
        <w:pStyle w:val="Bibliography"/>
        <w:widowControl w:val="1"/>
        <w:spacing w:after="56" w:line="240" w:lineRule="auto"/>
        <w:ind w:left="432" w:hanging="432"/>
        <w:jc w:val="left"/>
      </w:pPr>
      <w:r>
        <w:t xml:space="preserve">[38] T. Everitt, V. Krakovna, L. Orseau, M. Hutter, and S. Legg,</w:t>
      </w:r>
      <w:r>
        <w:t xml:space="preserve"> </w:t>
      </w:r>
      <w:r>
        <w:t xml:space="preserve">“</w:t>
      </w:r>
      <w:r>
        <w:t xml:space="preserve">Reward Tampering Problems and Solutions in Reinforcement Learning: A Causal Influence Diagram Perspective,</w:t>
      </w:r>
      <w:r>
        <w:t xml:space="preserve">”</w:t>
      </w:r>
      <w:r>
        <w:t xml:space="preserve"> </w:t>
      </w:r>
      <w:r>
        <w:rPr>
          <w:i/>
          <w:iCs/>
        </w:rPr>
        <w:t xml:space="preserve">Synthese</w:t>
      </w:r>
      <w:r>
        <w:t xml:space="preserve">, 2021; arXiv:1908.04734.</w:t>
      </w:r>
    </w:p>
    <w:p>
      <w:pPr>
        <w:pStyle w:val="Bibliography"/>
        <w:widowControl w:val="1"/>
        <w:spacing w:after="56" w:line="240" w:lineRule="auto"/>
        <w:ind w:left="432" w:hanging="432"/>
        <w:jc w:val="left"/>
      </w:pPr>
      <w:r>
        <w:t xml:space="preserve">[39] R. Greenblatt et al.,</w:t>
      </w:r>
      <w:r>
        <w:t xml:space="preserve"> </w:t>
      </w:r>
      <w:r>
        <w:t xml:space="preserve">“</w:t>
      </w:r>
      <w:r>
        <w:t xml:space="preserve">AI Control: Improving Safety Despite Intentional Subversion,</w:t>
      </w:r>
      <w:r>
        <w:t xml:space="preserve">”</w:t>
      </w:r>
      <w:r>
        <w:t xml:space="preserve"> </w:t>
      </w:r>
      <w:r>
        <w:t xml:space="preserve">in</w:t>
      </w:r>
      <w:r>
        <w:t xml:space="preserve"> </w:t>
      </w:r>
      <w:r>
        <w:rPr>
          <w:i/>
          <w:iCs/>
        </w:rPr>
        <w:t xml:space="preserve">Proceedings of the 41st International Conference on Machine Learning</w:t>
      </w:r>
      <w:r>
        <w:t xml:space="preserve">, PMLR 235, 2024, pp. 16295-16336.</w:t>
      </w:r>
    </w:p>
    <w:p>
      <w:pPr>
        <w:pStyle w:val="Bibliography"/>
        <w:widowControl w:val="1"/>
        <w:spacing w:after="56" w:line="240" w:lineRule="auto"/>
        <w:ind w:left="432" w:hanging="432"/>
        <w:jc w:val="left"/>
      </w:pPr>
      <w:r>
        <w:t xml:space="preserve">[40] S. Raemaekers, A. van Deursen, and J. Visser,</w:t>
      </w:r>
      <w:r>
        <w:t xml:space="preserve"> </w:t>
      </w:r>
      <w:r>
        <w:t xml:space="preserve">“</w:t>
      </w:r>
      <w:r>
        <w:t xml:space="preserve">Semantic Versioning and Impact of Breaking Changes in the Maven Repository,</w:t>
      </w:r>
      <w:r>
        <w:t xml:space="preserve">”</w:t>
      </w:r>
      <w:r>
        <w:t xml:space="preserve"> </w:t>
      </w:r>
      <w:r>
        <w:rPr>
          <w:i/>
          <w:iCs/>
        </w:rPr>
        <w:t xml:space="preserve">Journal of Systems and Software</w:t>
      </w:r>
      <w:r>
        <w:t xml:space="preserve">, vol. 129, pp. 140-158, 2017. doi:10.1016/j.jss.2016.04.008.</w:t>
      </w:r>
    </w:p>
    <w:bookmarkEnd w:id="172"/>
    <w:sectPr>
      <w:headerReference w:type="default" r:id="rId9"/>
      <w:footerReference w:type="default" r:id="rId10"/>
      <w:pgSz w:w="12240" w:h="15840"/>
      <w:pgMar w:top="1037" w:bottom="1037" w:left="1152" w:right="1152" w:header="403" w:footer="461"/>
      <w:titlePg/>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Inter" w:hAnsi="Inter" w:eastAsia="Inter"/>
        <w:color w:val="5F7080"/>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tabs>
        <w:tab w:pos="9936" w:val="right"/>
      </w:tabs>
      <w:spacing w:after="40"/>
      <w:pBdr>
        <w:bottom w:val="single" w:sz="6" w:space="3" w:color="E8EEF3"/>
      </w:pBdr>
    </w:pPr>
    <w:r/>
    <w:r>
      <w:rPr>
        <w:rFonts w:ascii="Inter" w:hAnsi="Inter" w:eastAsia="Inter"/>
        <w:b/>
        <w:color w:val="355C78"/>
        <w:sz w:val="15"/>
      </w:rPr>
      <w:t>STABLE CAPABILITY FIELDS</w:t>
    </w:r>
    <w:r>
      <w:tab/>
    </w:r>
    <w:r>
      <w:rPr>
        <w:rFonts w:ascii="Inter" w:hAnsi="Inter" w:eastAsia="Inter"/>
        <w:color w:val="5F7080"/>
        <w:sz w:val="15"/>
      </w:rPr>
      <w:t>CORBEN SORENSON  /  JUNE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4" w:lineRule="auto" w:after="84"/>
      <w:jc w:val="both"/>
    </w:pPr>
    <w:rPr>
      <w:rFonts w:ascii="Noto Serif" w:hAnsi="Noto Serif" w:eastAsia="Noto Serif"/>
      <w:color w:val="1D2833"/>
      <w:sz w:val="20"/>
    </w:rPr>
  </w:style>
  <w:style w:styleId="BodyText" w:type="paragraph">
    <w:name w:val="Body Text"/>
    <w:basedOn w:val="Normal"/>
    <w:link w:val="BodyTextChar"/>
    <w:qFormat/>
    <w:pPr>
      <w:spacing w:after="84" w:before="180" w:line="254" w:lineRule="auto"/>
      <w:ind w:firstLine="0"/>
      <w:jc w:val="both"/>
    </w:pPr>
    <w:rPr>
      <w:rFonts w:ascii="Noto Serif" w:hAnsi="Noto Serif" w:eastAsia="Noto Serif"/>
      <w:color w:val="1D2833"/>
      <w:sz w:val="20"/>
    </w:rPr>
  </w:style>
  <w:style w:customStyle="1" w:styleId="FirstParagraph" w:type="paragraph">
    <w:name w:val="First Paragraph"/>
    <w:basedOn w:val="BodyText"/>
    <w:next w:val="BodyText"/>
    <w:qFormat/>
    <w:pPr>
      <w:spacing w:line="254" w:lineRule="auto" w:after="84"/>
      <w:ind w:firstLine="0"/>
      <w:jc w:val="both"/>
    </w:pPr>
    <w:rPr>
      <w:rFonts w:ascii="Noto Serif" w:hAnsi="Noto Serif" w:eastAsia="Noto Serif"/>
      <w:color w:val="1D2833"/>
      <w:sz w:val="20"/>
    </w:rPr>
  </w:style>
  <w:style w:customStyle="1" w:styleId="Compact" w:type="paragraph">
    <w:name w:val="Compact"/>
    <w:basedOn w:val="BodyText"/>
    <w:qFormat/>
    <w:pPr>
      <w:spacing w:after="30" w:before="36" w:line="245" w:lineRule="auto"/>
      <w:ind w:left="389" w:hanging="230"/>
      <w:jc w:val="left"/>
    </w:pPr>
    <w:rPr>
      <w:rFonts w:ascii="Noto Serif" w:hAnsi="Noto Serif" w:eastAsia="Noto Serif"/>
      <w:color w:val="1D2833"/>
      <w:sz w:val="19"/>
    </w:rPr>
  </w:style>
  <w:style w:styleId="Title" w:type="paragraph">
    <w:name w:val="Title"/>
    <w:basedOn w:val="Normal"/>
    <w:next w:val="BodyText"/>
    <w:qFormat/>
    <w:pPr>
      <w:keepNext/>
      <w:keepLines/>
      <w:spacing w:after="240" w:before="2900"/>
      <w:jc w:val="center"/>
    </w:pPr>
    <w:rPr>
      <w:rFonts w:asciiTheme="majorHAnsi" w:cstheme="majorBidi" w:eastAsiaTheme="majorEastAsia" w:hAnsiTheme="majorHAnsi" w:ascii="Inter Display" w:hAnsi="Inter Display" w:eastAsia="Inter Display"/>
      <w:b/>
      <w:bCs/>
      <w:color w:val="19324A"/>
      <w:sz w:val="60"/>
      <w:szCs w:val="36"/>
    </w:rPr>
  </w:style>
  <w:style w:styleId="Subtitle" w:type="paragraph">
    <w:name w:val="Subtitle"/>
    <w:basedOn w:val="Title"/>
    <w:next w:val="BodyText"/>
    <w:qFormat/>
    <w:pPr>
      <w:keepNext/>
      <w:keepLines/>
      <w:spacing w:after="840" w:before="240"/>
      <w:ind w:left="792" w:right="792"/>
      <w:jc w:val="center"/>
    </w:pPr>
    <w:rPr>
      <w:rFonts w:ascii="Inter Display" w:hAnsi="Inter Display" w:eastAsia="Inter Display"/>
      <w:b/>
      <w:color w:val="355C78"/>
      <w:sz w:val="33"/>
      <w:szCs w:val="30"/>
    </w:rPr>
  </w:style>
  <w:style w:customStyle="1" w:styleId="Author" w:type="paragraph">
    <w:name w:val="Author"/>
    <w:next w:val="BodyText"/>
    <w:qFormat/>
    <w:pPr>
      <w:keepNext/>
      <w:keepLines/>
      <w:spacing w:after="160"/>
      <w:jc w:val="center"/>
    </w:pPr>
    <w:rPr>
      <w:rFonts w:ascii="Noto Serif" w:hAnsi="Noto Serif" w:eastAsia="Noto Serif"/>
      <w:color w:val="1D2833"/>
      <w:sz w:val="24"/>
    </w:rPr>
  </w:style>
  <w:style w:styleId="Date" w:type="paragraph">
    <w:name w:val="Date"/>
    <w:next w:val="BodyText"/>
    <w:qFormat/>
    <w:pPr>
      <w:keepNext/>
      <w:keepLines/>
      <w:spacing w:after="0"/>
      <w:jc w:val="center"/>
    </w:pPr>
    <w:rPr>
      <w:rFonts w:ascii="Inter" w:hAnsi="Inter" w:eastAsia="Inter"/>
      <w:color w:val="5F7080"/>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Noto Serif" w:hAnsi="Noto Serif" w:eastAsia="Noto Serif"/>
      <w:color w:val="1D2833"/>
      <w:sz w:val="16"/>
    </w:rPr>
  </w:style>
  <w:style w:styleId="Heading1" w:type="paragraph">
    <w:name w:val="Heading 1"/>
    <w:basedOn w:val="Normal"/>
    <w:next w:val="BodyText"/>
    <w:uiPriority w:val="9"/>
    <w:qFormat/>
    <w:pPr>
      <w:keepNext/>
      <w:keepLines/>
      <w:spacing w:after="120" w:before="280"/>
      <w:outlineLvl w:val="0"/>
    </w:pPr>
    <w:rPr>
      <w:rFonts w:asciiTheme="majorHAnsi" w:cstheme="majorBidi" w:eastAsiaTheme="majorEastAsia" w:hAnsiTheme="majorHAnsi" w:ascii="Inter Display" w:hAnsi="Inter Display" w:eastAsia="Inter Display"/>
      <w:b/>
      <w:bCs/>
      <w:color w:val="19324A"/>
      <w:sz w:val="32"/>
      <w:szCs w:val="32"/>
    </w:rPr>
  </w:style>
  <w:style w:styleId="Heading2" w:type="paragraph">
    <w:name w:val="Heading 2"/>
    <w:basedOn w:val="Normal"/>
    <w:next w:val="BodyText"/>
    <w:uiPriority w:val="9"/>
    <w:unhideWhenUsed/>
    <w:qFormat/>
    <w:pPr>
      <w:keepNext/>
      <w:keepLines/>
      <w:spacing w:after="70" w:before="200"/>
      <w:outlineLvl w:val="1"/>
    </w:pPr>
    <w:rPr>
      <w:rFonts w:asciiTheme="majorHAnsi" w:cstheme="majorBidi" w:eastAsiaTheme="majorEastAsia" w:hAnsiTheme="majorHAnsi" w:ascii="Inter Display" w:hAnsi="Inter Display" w:eastAsia="Inter Display"/>
      <w:b/>
      <w:bCs/>
      <w:color w:val="355C78"/>
      <w:sz w:val="24"/>
      <w:szCs w:val="28"/>
    </w:rPr>
  </w:style>
  <w:style w:styleId="Heading3" w:type="paragraph">
    <w:name w:val="Heading 3"/>
    <w:basedOn w:val="Normal"/>
    <w:next w:val="BodyText"/>
    <w:uiPriority w:val="9"/>
    <w:unhideWhenUsed/>
    <w:qFormat/>
    <w:pPr>
      <w:keepNext/>
      <w:keepLines/>
      <w:spacing w:after="50" w:before="160"/>
      <w:outlineLvl w:val="2"/>
    </w:pPr>
    <w:rPr>
      <w:rFonts w:asciiTheme="majorHAnsi" w:cstheme="majorBidi" w:eastAsiaTheme="majorEastAsia" w:hAnsiTheme="majorHAnsi" w:ascii="Inter Display" w:hAnsi="Inter Display" w:eastAsia="Inter Display"/>
      <w:b/>
      <w:bCs/>
      <w:color w:val="3F7466"/>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59" w:lineRule="auto"/>
      <w:ind w:firstLine="0" w:left="547" w:right="403"/>
    </w:pPr>
    <w:rPr>
      <w:rFonts w:ascii="Noto Serif" w:hAnsi="Noto Serif" w:eastAsia="Noto Serif"/>
      <w:i/>
      <w:color w:val="19324A"/>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30" w:line="240" w:lineRule="auto"/>
      <w:jc w:val="center"/>
    </w:pPr>
    <w:rPr>
      <w:rFonts w:ascii="Noto Serif" w:hAnsi="Noto Serif" w:eastAsia="Noto Serif"/>
      <w:i/>
      <w:color w:val="5F7080"/>
      <w:sz w:val="16"/>
    </w:rPr>
  </w:style>
  <w:style w:customStyle="1" w:styleId="TableCaption" w:type="paragraph">
    <w:name w:val="Table Caption"/>
    <w:basedOn w:val="Caption"/>
    <w:pPr>
      <w:keepNext/>
      <w:spacing w:before="140" w:after="60"/>
    </w:pPr>
    <w:rPr>
      <w:rFonts w:ascii="Inter" w:hAnsi="Inter" w:eastAsia="Inter"/>
      <w:b/>
      <w:color w:val="355C78"/>
      <w:sz w:val="16"/>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100" w:line="240" w:lineRule="auto"/>
      <w:ind w:left="216" w:right="173"/>
    </w:pPr>
    <w:rPr>
      <w:rFonts w:ascii="DejaVu Sans Mono" w:hAnsi="DejaVu Sans Mono" w:eastAsia="DejaVu Sans Mono"/>
      <w:color w:val="1D2833"/>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ntentsEntry">
    <w:name w:val="Contents Entry"/>
    <w:pPr>
      <w:spacing w:after="24" w:line="240" w:lineRule="auto"/>
      <w:ind w:left="288" w:hanging="173"/>
    </w:pPr>
    <w:rPr>
      <w:rFonts w:ascii="Inter" w:hAnsi="Inter" w:eastAsia="Inter"/>
      <w:color w:val="1D2833"/>
      <w:sz w:val="19"/>
    </w:rPr>
  </w:style>
  <w:style w:type="paragraph" w:customStyle="1" w:styleId="ContentsDivider">
    <w:name w:val="Contents Divider"/>
    <w:pPr>
      <w:spacing w:before="80" w:after="40"/>
      <w:ind w:left="72"/>
    </w:pPr>
    <w:rPr>
      <w:rFonts w:ascii="Inter" w:hAnsi="Inter" w:eastAsia="Inter"/>
      <w:b/>
      <w:color w:val="355C78"/>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3" Type="http://schemas.openxmlformats.org/officeDocument/2006/relationships/image" Target="media/rId83.png"/><Relationship Id="rId98" Type="http://schemas.openxmlformats.org/officeDocument/2006/relationships/image" Target="media/rId98.png"/><Relationship Id="rId58" Type="http://schemas.openxmlformats.org/officeDocument/2006/relationships/image" Target="media/rId58.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Stable Capability Fields: A Governed Substrate for Recursive AI Self-Improvement</dc:title>
  <dc:creator>Corben Sorenson</dc:creator>
  <dc:language>en-US</dc:language>
  <cp:keywords>recursive self-improvement, AI architecture, capability fields, registries, governance, rollback</cp:keywords>
  <dcterms:created xsi:type="dcterms:W3CDTF">2026-06-22T23:05:17Z</dcterms:created>
  <dcterms:modified xsi:type="dcterms:W3CDTF">2026-06-22T23:05:17Z</dcterms:modified>
  <dc:subject>Architecture proposal for governed recursive AI self-improvement</dc:subject>
  <dc:description>Working paper, June 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Working Paper - June 2026</vt:lpwstr>
  </property>
  <property fmtid="{D5CDD505-2E9C-101B-9397-08002B2CF9AE}" pid="3" name="subtitle">
    <vt:lpwstr>A Governed Substrate for Recursive AI Self-Improvement</vt:lpwstr>
  </property>
</Properties>
</file>