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380" w:lineRule="auto"/>
        <w:jc w:val="center"/>
      </w:pPr>
      <w:r>
        <w:rPr>
          <w:rFonts w:ascii="Arial" w:cs="Arial" w:eastAsia="Arial" w:hAnsi="Arial"/>
          <w:b/>
          <w:bCs/>
          <w:caps/>
          <w:color w:val="0D2B45"/>
          <w:sz w:val="28"/>
          <w:szCs w:val="28"/>
        </w:rPr>
        <w:t xml:space="preserve">INSTITUTO TECNOLÓGICO AUTÓNOMO DE MÉXICO</w:t>
      </w:r>
    </w:p>
    <w:p>
      <w:pPr>
        <w:spacing w:after="800" w:before="0" w:line="380" w:lineRule="auto"/>
        <w:jc w:val="center"/>
      </w:pPr>
      <w:r>
        <w:rPr>
          <w:rFonts w:ascii="Arial" w:cs="Arial" w:eastAsia="Arial" w:hAnsi="Arial"/>
          <w:b w:val="false"/>
          <w:bCs w:val="false"/>
          <w:caps w:val="false"/>
          <w:color w:val="0F6E56"/>
          <w:sz w:val="22"/>
          <w:szCs w:val="22"/>
        </w:rPr>
        <w:t xml:space="preserve">ITAM — DEPARTAMENTO DE FINANZAS</w:t>
      </w:r>
    </w:p>
    <w:p>
      <w:pPr>
        <w:pBdr>
          <w:bottom w:val="single" w:color="0F6E56" w:sz="6" w:space="1"/>
        </w:pBdr>
        <w:spacing w:after="800" w:before="0" w:line="380" w:lineRule="auto"/>
        <w:jc w:val="both"/>
      </w:pPr>
      <w:r>
        <w:rPr>
          <w:rFonts w:ascii="Arial" w:cs="Arial" w:eastAsia="Arial" w:hAnsi="Arial"/>
          <w:b w:val="false"/>
          <w:bCs w:val="false"/>
          <w:caps w:val="false"/>
          <w:color w:val="000000"/>
          <w:sz w:val="24"/>
          <w:szCs w:val="24"/>
        </w:rPr>
        <w:t xml:space="preserve"/>
      </w:r>
    </w:p>
    <w:p>
      <w:pPr>
        <w:spacing w:after="1200" w:before="0" w:line="380" w:lineRule="auto"/>
        <w:jc w:val="center"/>
      </w:pPr>
      <w:r>
        <w:rPr>
          <w:rFonts w:ascii="Arial" w:cs="Arial" w:eastAsia="Arial" w:hAnsi="Arial"/>
          <w:b/>
          <w:bCs/>
          <w:caps/>
          <w:color w:val="555555"/>
          <w:sz w:val="24"/>
          <w:szCs w:val="24"/>
        </w:rPr>
        <w:t xml:space="preserve">TESIS DOCTORAL EN DIRECCIÓN FINANCIERA</w:t>
      </w:r>
    </w:p>
    <w:p>
      <w:pPr>
        <w:spacing w:after="160" w:before="1200" w:line="380" w:lineRule="auto"/>
        <w:jc w:val="center"/>
      </w:pPr>
      <w:r>
        <w:rPr>
          <w:rFonts w:ascii="Arial" w:cs="Arial" w:eastAsia="Arial" w:hAnsi="Arial"/>
          <w:b/>
          <w:bCs/>
          <w:caps w:val="false"/>
          <w:color w:val="0D2B45"/>
          <w:sz w:val="38"/>
          <w:szCs w:val="38"/>
        </w:rPr>
        <w:t xml:space="preserve">Valoración de Servicios Ancilares como Opciones Reales</w:t>
      </w:r>
    </w:p>
    <w:p>
      <w:pPr>
        <w:spacing w:after="160" w:before="0" w:line="380" w:lineRule="auto"/>
        <w:jc w:val="center"/>
      </w:pPr>
      <w:r>
        <w:rPr>
          <w:rFonts w:ascii="Arial" w:cs="Arial" w:eastAsia="Arial" w:hAnsi="Arial"/>
          <w:b/>
          <w:bCs/>
          <w:caps w:val="false"/>
          <w:color w:val="0D2B45"/>
          <w:sz w:val="36"/>
          <w:szCs w:val="36"/>
        </w:rPr>
        <w:t xml:space="preserve">mediante Control Óptimo Estocástico:</w:t>
      </w:r>
    </w:p>
    <w:p>
      <w:pPr>
        <w:spacing w:after="1200" w:before="0" w:line="380" w:lineRule="auto"/>
        <w:jc w:val="center"/>
      </w:pPr>
      <w:r>
        <w:rPr>
          <w:rFonts w:ascii="Arial" w:cs="Arial" w:eastAsia="Arial" w:hAnsi="Arial"/>
          <w:b/>
          <w:bCs/>
          <w:caps w:val="false"/>
          <w:color w:val="0F6E56"/>
          <w:sz w:val="26"/>
          <w:szCs w:val="26"/>
        </w:rPr>
        <w:t xml:space="preserve">Un Enfoque HJB Unificado para Mercados de Energía Latinoamericanos</w:t>
      </w:r>
    </w:p>
    <w:p>
      <w:pPr>
        <w:pBdr>
          <w:bottom w:val="single" w:color="0F6E56" w:sz="6" w:space="1"/>
        </w:pBdr>
        <w:spacing w:after="800" w:before="0" w:line="380" w:lineRule="auto"/>
        <w:jc w:val="both"/>
      </w:pPr>
      <w:r>
        <w:rPr>
          <w:rFonts w:ascii="Arial" w:cs="Arial" w:eastAsia="Arial" w:hAnsi="Arial"/>
          <w:b w:val="false"/>
          <w:bCs w:val="false"/>
          <w:caps w:val="false"/>
          <w:color w:val="000000"/>
          <w:sz w:val="24"/>
          <w:szCs w:val="24"/>
        </w:rPr>
        <w:t xml:space="preserve"/>
      </w:r>
    </w:p>
    <w:p>
      <w:pPr>
        <w:spacing w:after="120" w:before="0" w:line="380" w:lineRule="auto"/>
        <w:jc w:val="center"/>
      </w:pPr>
      <w:r>
        <w:rPr>
          <w:rFonts w:ascii="Arial" w:cs="Arial" w:eastAsia="Arial" w:hAnsi="Arial"/>
          <w:b/>
          <w:bCs/>
          <w:caps w:val="false"/>
          <w:color w:val="555555"/>
          <w:sz w:val="22"/>
          <w:szCs w:val="22"/>
        </w:rPr>
        <w:t xml:space="preserve">Autor</w:t>
      </w:r>
    </w:p>
    <w:p>
      <w:pPr>
        <w:spacing w:after="120" w:before="0" w:line="380" w:lineRule="auto"/>
        <w:jc w:val="center"/>
      </w:pPr>
      <w:r>
        <w:rPr>
          <w:rFonts w:ascii="Arial" w:cs="Arial" w:eastAsia="Arial" w:hAnsi="Arial"/>
          <w:b/>
          <w:bCs/>
          <w:caps w:val="false"/>
          <w:color w:val="0D2B45"/>
          <w:sz w:val="30"/>
          <w:szCs w:val="30"/>
        </w:rPr>
        <w:t xml:space="preserve">Diego Córdoba Urrutia</w:t>
      </w:r>
    </w:p>
    <w:p>
      <w:pPr>
        <w:spacing w:after="800" w:before="0" w:line="380" w:lineRule="auto"/>
        <w:jc w:val="center"/>
      </w:pPr>
      <w:r>
        <w:rPr>
          <w:rFonts w:ascii="Arial" w:cs="Arial" w:eastAsia="Arial" w:hAnsi="Arial"/>
          <w:b w:val="false"/>
          <w:bCs w:val="false"/>
          <w:caps w:val="false"/>
          <w:color w:val="0F6E56"/>
          <w:sz w:val="22"/>
          <w:szCs w:val="22"/>
        </w:rPr>
        <w:t xml:space="preserve">diego@primenergeia.com</w:t>
      </w:r>
    </w:p>
    <w:p>
      <w:pPr>
        <w:spacing w:after="120" w:before="0" w:line="380" w:lineRule="auto"/>
        <w:jc w:val="center"/>
      </w:pPr>
      <w:r>
        <w:rPr>
          <w:rFonts w:ascii="Arial" w:cs="Arial" w:eastAsia="Arial" w:hAnsi="Arial"/>
          <w:b/>
          <w:bCs/>
          <w:caps w:val="false"/>
          <w:color w:val="555555"/>
          <w:sz w:val="22"/>
          <w:szCs w:val="22"/>
        </w:rPr>
        <w:t xml:space="preserve">Director de Tesis</w:t>
      </w:r>
    </w:p>
    <w:p>
      <w:pPr>
        <w:spacing w:after="800" w:before="0" w:line="380" w:lineRule="auto"/>
        <w:jc w:val="center"/>
      </w:pPr>
      <w:r>
        <w:rPr>
          <w:rFonts w:ascii="Arial" w:cs="Arial" w:eastAsia="Arial" w:hAnsi="Arial"/>
          <w:b w:val="false"/>
          <w:bCs w:val="false"/>
          <w:caps w:val="false"/>
          <w:color w:val="555555"/>
          <w:sz w:val="22"/>
          <w:szCs w:val="22"/>
        </w:rPr>
        <w:t xml:space="preserve">Por designar — Departamento de Finanzas, ITAM</w:t>
      </w:r>
    </w:p>
    <w:p>
      <w:pPr>
        <w:spacing w:after="200" w:before="0" w:line="380" w:lineRule="auto"/>
        <w:jc w:val="center"/>
      </w:pPr>
      <w:r>
        <w:rPr>
          <w:rFonts w:ascii="Arial" w:cs="Arial" w:eastAsia="Arial" w:hAnsi="Arial"/>
          <w:b w:val="false"/>
          <w:bCs w:val="false"/>
          <w:caps w:val="false"/>
          <w:color w:val="555555"/>
          <w:sz w:val="22"/>
          <w:szCs w:val="22"/>
        </w:rPr>
        <w:t xml:space="preserve">México, D.F. — Mayo 2026</w:t>
      </w:r>
    </w:p>
    <w:p>
      <w:pPr>
        <w:spacing w:after="0" w:before="0"/>
      </w:pPr>
      <w:r>
        <w:br/>
      </w:r>
    </w:p>
    <w:p>
      <w:pPr>
        <w:pStyle w:val="Heading1"/>
        <w:spacing w:after="280" w:before="600"/>
        <w:jc w:val="left"/>
      </w:pPr>
      <w:r>
        <w:rPr>
          <w:rFonts w:ascii="Arial" w:cs="Arial" w:eastAsia="Arial" w:hAnsi="Arial"/>
          <w:b/>
          <w:bCs/>
          <w:caps w:val="false"/>
          <w:color w:val="0D2B45"/>
          <w:sz w:val="34"/>
          <w:szCs w:val="34"/>
        </w:rPr>
        <w:t xml:space="preserve">Resumen Ejecutivo</w:t>
      </w:r>
    </w:p>
    <w:p>
      <w:pPr>
        <w:spacing w:after="200" w:before="0" w:line="380" w:lineRule="auto"/>
        <w:jc w:val="both"/>
      </w:pPr>
      <w:r>
        <w:rPr>
          <w:rFonts w:ascii="Arial" w:cs="Arial" w:eastAsia="Arial" w:hAnsi="Arial"/>
          <w:b w:val="false"/>
          <w:bCs w:val="false"/>
          <w:caps w:val="false"/>
          <w:color w:val="000000"/>
          <w:sz w:val="24"/>
          <w:szCs w:val="24"/>
        </w:rPr>
        <w:t xml:space="preserve">Esta tesis establece una equivalencia matemática precisa entre la ecuación de Hamilton-Jacobi-Bellman (HJB) del control óptimo estocástico y la ecuación diferencial parcial de Black-Scholes-Merton para valoración de derivados financieros. Dicha dualidad no es una analogía conceptual sino una identidad rigurosa demostrable mediante el Teorema de Feynman-Kac. Sobre este puente matemático se construye un marco unificado de valoración de contratos de servicios ancilares —regulación de frecuencia, reservas rodantes, control automático de generación— para mercados eléctricos latinoamericanos, con aplicación empírica al Sistema Interconectado Nacional de México (SIN-CENACE).</w:t>
      </w:r>
    </w:p>
    <w:p>
      <w:pPr>
        <w:spacing w:after="200" w:before="0" w:line="380" w:lineRule="auto"/>
        <w:jc w:val="both"/>
      </w:pPr>
      <w:r>
        <w:rPr>
          <w:rFonts w:ascii="Arial" w:cs="Arial" w:eastAsia="Arial" w:hAnsi="Arial"/>
          <w:b w:val="false"/>
          <w:bCs w:val="false"/>
          <w:caps w:val="false"/>
          <w:color w:val="000000"/>
          <w:sz w:val="24"/>
          <w:szCs w:val="24"/>
        </w:rPr>
        <w:t xml:space="preserve">Las cinco contribuciones originales son las siguientes. Primera: demostración formal de la dualidad HJB–Black-Scholes, incluyendo la extensión al caso con restricciones físicas de control, que genera el equivalente de la prima de ejercicio anticipado de una opción americana. Segunda: modelación del servicio ancilar de regulación de frecuencia como opción real americana con barrera inferior, con subyacente de Ornstein-Uhlenbeck calibrado sobre 23.5 millones de observaciones de frecuencia del nodo VZA-400 (CENACE, 2022-2024). Tercera: derivación de cotas de valoración robusta bajo ambigüedad de modelo, usando el agente de Aprendizaje por Refuerzo Profundo (SAC) como generador del conjunto de distribuciones alternativas, y conexión con la teoría de Hansen y Sargent (2001). Cuarta —novedad de esta versión—: diseño del mecanismo óptimo de subasta para contratos de servicios ancilares aplicando la teoría de revelación de preferencias de Myerson (1981) y los resultados de eficiencia de Milgrom y Weber (1982), con énfasis en el problema de valoración interdependiente presente en los mercados de regulación de frecuencia. Quinta: aplicación empírica completa al mercado CENACE, estimación de la brecha de valoración (tarifa regulada = 56-66% del precio de equilibrio), análisis de bienestar social en seis canales con VPN social de USD 3.24 mil millones, e implicaciones para política regulatoria de la CRE.</w:t>
      </w:r>
    </w:p>
    <w:p>
      <w:pPr>
        <w:spacing w:after="200" w:before="0" w:line="380" w:lineRule="auto"/>
        <w:jc w:val="both"/>
      </w:pPr>
      <w:r>
        <w:rPr>
          <w:rFonts w:ascii="Arial" w:cs="Arial" w:eastAsia="Arial" w:hAnsi="Arial"/>
          <w:b w:val="false"/>
          <w:bCs w:val="false"/>
          <w:caps w:val="false"/>
          <w:color w:val="000000"/>
          <w:sz w:val="24"/>
          <w:szCs w:val="24"/>
        </w:rPr>
        <w:t xml:space="preserve">El análisis de bienestar social, integrado en el Capítulo 5, cuantifica los efectos distributivos de la reforma: la sociedad mexicana gana MXN 6.96 mil millones anuales en beneficio neto, con un ratio beneficio-costo de 22.4x sobre el incremento tarifario que absorben los usuarios finales. El Canal 6 —estabilidad macroeconómica, MXN 4.68 B/año— domina el análisis, principalmente por la reducción de riesgo soberano (−3 bps en CDS de 5 años) que ahorran MXN 4.56 B/año en servicio de deuda pública.</w:t>
      </w:r>
    </w:p>
    <w:p>
      <w:pPr>
        <w:spacing w:after="200" w:before="0" w:line="380" w:lineRule="auto"/>
        <w:jc w:val="both"/>
      </w:pPr>
      <w:r>
        <w:rPr>
          <w:rFonts w:ascii="Arial" w:cs="Arial" w:eastAsia="Arial" w:hAnsi="Arial"/>
          <w:b w:val="false"/>
          <w:bCs w:val="false"/>
          <w:caps w:val="false"/>
          <w:color w:val="000000"/>
          <w:sz w:val="24"/>
          <w:szCs w:val="24"/>
        </w:rPr>
        <w:t xml:space="preserve">Palabras clave: Hamilton-Jacobi-Bellman, opciones reales, servicios ancilares, mecanismo de subasta, CENACE, control óptimo estocástico, Ornstein-Uhlenbeck, teoría de revelación de preferencias, ambigüedad knightiana, bienestar social.</w:t>
      </w:r>
    </w:p>
    <w:p>
      <w:pPr>
        <w:spacing w:after="0" w:before="0"/>
      </w:pPr>
      <w:r>
        <w:br/>
      </w:r>
    </w:p>
    <w:p>
      <w:pPr>
        <w:pStyle w:val="Heading1"/>
        <w:spacing w:after="280" w:before="600"/>
        <w:jc w:val="left"/>
      </w:pPr>
      <w:r>
        <w:rPr>
          <w:rFonts w:ascii="Arial" w:cs="Arial" w:eastAsia="Arial" w:hAnsi="Arial"/>
          <w:b/>
          <w:bCs/>
          <w:caps w:val="false"/>
          <w:color w:val="0D2B45"/>
          <w:sz w:val="34"/>
          <w:szCs w:val="34"/>
        </w:rPr>
        <w:t xml:space="preserve">Introducción General</w:t>
      </w:r>
    </w:p>
    <w:p>
      <w:pPr>
        <w:pStyle w:val="Heading2"/>
        <w:spacing w:after="200" w:before="420"/>
        <w:jc w:val="left"/>
      </w:pPr>
      <w:r>
        <w:rPr>
          <w:rFonts w:ascii="Arial" w:cs="Arial" w:eastAsia="Arial" w:hAnsi="Arial"/>
          <w:b/>
          <w:bCs/>
          <w:caps w:val="false"/>
          <w:color w:val="0F6E56"/>
          <w:sz w:val="28"/>
          <w:szCs w:val="28"/>
        </w:rPr>
        <w:t xml:space="preserve">I.1  El Problema Central</w:t>
      </w:r>
    </w:p>
    <w:p>
      <w:pPr>
        <w:spacing w:after="200" w:before="0" w:line="380" w:lineRule="auto"/>
        <w:jc w:val="both"/>
      </w:pPr>
      <w:r>
        <w:rPr>
          <w:rFonts w:ascii="Arial" w:cs="Arial" w:eastAsia="Arial" w:hAnsi="Arial"/>
          <w:b w:val="false"/>
          <w:bCs w:val="false"/>
          <w:caps w:val="false"/>
          <w:color w:val="000000"/>
          <w:sz w:val="24"/>
          <w:szCs w:val="24"/>
        </w:rPr>
        <w:t xml:space="preserve">Los mercados eléctricos modernos operan en tres horizontes temporales simultáneos. En milisegundos a segundos, la física de la red —ecuación de oscilación— determina la estabilidad de frecuencia. En minutos a horas, los mercados spot asignan generación mediante subastas. En meses a décadas, los mercados de capacidad garantizan la inversión en infraestructura. Los servicios ancilares —regulación de frecuencia primaria y secundaria, reservas rodantes, control automático de generación (AGC)— existen en la intersección de los tres horizontes: son compromisos contractuales de largo plazo que deben ejecutarse en tiempo real bajo incertidumbre física.</w:t>
      </w:r>
    </w:p>
    <w:p>
      <w:pPr>
        <w:spacing w:after="200" w:before="0" w:line="380" w:lineRule="auto"/>
        <w:jc w:val="both"/>
      </w:pPr>
      <w:r>
        <w:rPr>
          <w:rFonts w:ascii="Arial" w:cs="Arial" w:eastAsia="Arial" w:hAnsi="Arial"/>
          <w:b w:val="false"/>
          <w:bCs w:val="false"/>
          <w:caps w:val="false"/>
          <w:color w:val="000000"/>
          <w:sz w:val="24"/>
          <w:szCs w:val="24"/>
        </w:rPr>
        <w:t xml:space="preserve">La pregunta central de esta investigación es: ¿cuál es el precio eficiente de un contrato de regulación de frecuencia, y cómo debe diseñarse el mecanismo de mercado para que ese precio emerja en equilibrio? La primera parte de la pregunta corresponde a la valoración de opciones reales bajo control óptimo estocástico —el núcleo matemático de los Capítulos 1 a 3. La segunda parte corresponde a la teoría de mecanismos y diseño de subastas —el aporte de política del Capítulo 4. Juntas, constituyen lo que esta tesis denomina el marco HJB-Myerson para mercados de servicios ancilares.</w:t>
      </w:r>
    </w:p>
    <w:p>
      <w:pPr>
        <w:pStyle w:val="Heading2"/>
        <w:spacing w:after="200" w:before="420"/>
        <w:jc w:val="left"/>
      </w:pPr>
      <w:r>
        <w:rPr>
          <w:rFonts w:ascii="Arial" w:cs="Arial" w:eastAsia="Arial" w:hAnsi="Arial"/>
          <w:b/>
          <w:bCs/>
          <w:caps w:val="false"/>
          <w:color w:val="0F6E56"/>
          <w:sz w:val="28"/>
          <w:szCs w:val="28"/>
        </w:rPr>
        <w:t xml:space="preserve">I.2  La Brecha en la Literatura</w:t>
      </w:r>
    </w:p>
    <w:p>
      <w:pPr>
        <w:spacing w:after="200" w:before="0" w:line="380" w:lineRule="auto"/>
        <w:jc w:val="both"/>
      </w:pPr>
      <w:r>
        <w:rPr>
          <w:rFonts w:ascii="Arial" w:cs="Arial" w:eastAsia="Arial" w:hAnsi="Arial"/>
          <w:b w:val="false"/>
          <w:bCs w:val="false"/>
          <w:caps w:val="false"/>
          <w:color w:val="000000"/>
          <w:sz w:val="24"/>
          <w:szCs w:val="24"/>
        </w:rPr>
        <w:t xml:space="preserve">La literatura de valoración de servicios ancilares se divide en tres corrientes que no se comunican entre sí. La economía de la energía (Joskow y Tirole, 2007; Stoft, 2002) modela precios de equilibrio mediante funciones de costo y oferta, sin capturar la opcionalidad del contrato ni la restricción física del activo. La ingeniería de sistemas de potencia (Morales et al., 2013; Bouffard y Galiana, 2008) resuelve el despacho óptimo bajo restricciones físicas, sin el aparato financiero de valoración bajo riesgo. La teoría de mecanismos aplicada a energía (Chao y Peck, 1996; Wilson, 2002) diseña subastas para energía y capacidad, pero no ha incorporado el proceso estocástico de frecuencia como variable de estado del mecanismo.</w:t>
      </w:r>
    </w:p>
    <w:p>
      <w:pPr>
        <w:spacing w:after="200" w:before="0" w:line="380" w:lineRule="auto"/>
        <w:jc w:val="both"/>
      </w:pPr>
      <w:r>
        <w:rPr>
          <w:rFonts w:ascii="Arial" w:cs="Arial" w:eastAsia="Arial" w:hAnsi="Arial"/>
          <w:b w:val="false"/>
          <w:bCs w:val="false"/>
          <w:caps w:val="false"/>
          <w:color w:val="000000"/>
          <w:sz w:val="24"/>
          <w:szCs w:val="24"/>
        </w:rPr>
        <w:t xml:space="preserve">Esta tesis unifica las tres corrientes. El Teorema de Feynman-Kac conecta control óptimo con valoración financiera (Capítulos 1-3). El precio HJB resultante sirve como precio de reserva en el mecanismo de subasta óptima de Myerson (Capítulo 4). Los datos empíricos de CENACE calibran el modelo completo y cuantifican el bienestar social de la reforma (Capítulo 5).</w:t>
      </w:r>
    </w:p>
    <w:p>
      <w:pPr>
        <w:pStyle w:val="Heading2"/>
        <w:spacing w:after="200" w:before="420"/>
        <w:jc w:val="left"/>
      </w:pPr>
      <w:r>
        <w:rPr>
          <w:rFonts w:ascii="Arial" w:cs="Arial" w:eastAsia="Arial" w:hAnsi="Arial"/>
          <w:b/>
          <w:bCs/>
          <w:caps w:val="false"/>
          <w:color w:val="0F6E56"/>
          <w:sz w:val="28"/>
          <w:szCs w:val="28"/>
        </w:rPr>
        <w:t xml:space="preserve">I.3  PRIMEnergeia-Sovereign como Laboratorio</w:t>
      </w:r>
    </w:p>
    <w:p>
      <w:pPr>
        <w:spacing w:after="200" w:before="0" w:line="380" w:lineRule="auto"/>
        <w:jc w:val="both"/>
      </w:pPr>
      <w:r>
        <w:rPr>
          <w:rFonts w:ascii="Arial" w:cs="Arial" w:eastAsia="Arial" w:hAnsi="Arial"/>
          <w:b w:val="false"/>
          <w:bCs w:val="false"/>
          <w:caps w:val="false"/>
          <w:color w:val="000000"/>
          <w:sz w:val="24"/>
          <w:szCs w:val="24"/>
        </w:rPr>
        <w:t xml:space="preserve">El sistema PRIMEnergeia-Sovereign, desarrollado por el autor, opera en producción (TRL 9) como estabilizador de red de grado industrial. Cubre 17 ISOs globales representando 1,770 GW de capacidad. El solucionador HJB resuelve la ecuación de Hamilton-Jacobi-Bellman en tiempo real con latencia menor a 8 ms; el agente SAC provee recuperación post-disturbancia en 100 ms. El nodo piloto VZA-400 (100 MW, red CENACE, zona Centro-Occidente) generó los 23.5 millones de puntos de telemetría de frecuencia que sirven como datos primarios para la calibración empírica de la tesis.</w:t>
      </w:r>
    </w:p>
    <w:p>
      <w:pPr>
        <w:pStyle w:val="Heading2"/>
        <w:spacing w:after="200" w:before="420"/>
        <w:jc w:val="left"/>
      </w:pPr>
      <w:r>
        <w:rPr>
          <w:rFonts w:ascii="Arial" w:cs="Arial" w:eastAsia="Arial" w:hAnsi="Arial"/>
          <w:b/>
          <w:bCs/>
          <w:caps w:val="false"/>
          <w:color w:val="0F6E56"/>
          <w:sz w:val="28"/>
          <w:szCs w:val="28"/>
        </w:rPr>
        <w:t xml:space="preserve">I.4  Estructura de la Tesis</w:t>
      </w:r>
    </w:p>
    <w:p>
      <w:pPr>
        <w:spacing w:after="200" w:before="0" w:line="380" w:lineRule="auto"/>
        <w:jc w:val="both"/>
      </w:pPr>
      <w:r>
        <w:rPr>
          <w:rFonts w:ascii="Arial" w:cs="Arial" w:eastAsia="Arial" w:hAnsi="Arial"/>
          <w:b w:val="false"/>
          <w:bCs w:val="false"/>
          <w:caps w:val="false"/>
          <w:color w:val="000000"/>
          <w:sz w:val="24"/>
          <w:szCs w:val="24"/>
        </w:rPr>
        <w:t xml:space="preserve">El Capítulo 1 establece la dualidad HJB–Black-Scholes y el proceso Ornstein-Uhlenbeck de frecuencia. El Capítulo 2 modela el contrato de regulación como opción americana con barrera y calcula la frontera libre y las 'griegas'. El Capítulo 3 extiende el modelo a incertidumbre de modelo (ambigüedad knightiana) usando el agente DRL como generador de escenarios adversarios. El Capítulo 4 diseña el mecanismo de subasta óptima para contratos de regulación, aplicando el principio de revelación, el teorema de equivalencia de ingresos y el resultado de Myerson. El Capítulo 5 presenta la aplicación empírica completa al mercado CENACE con análisis de bienestar social en seis canales. El Capítulo 6 valora la opción de transición tecnológica hacia solar-almacenamiento de perovskita usando el sistema Granas-Sovereign.</w:t>
      </w:r>
    </w:p>
    <w:p>
      <w:pPr>
        <w:spacing w:after="0" w:before="0"/>
      </w:pPr>
      <w:r>
        <w:br/>
      </w:r>
    </w:p>
    <w:p>
      <w:pPr>
        <w:pStyle w:val="Heading1"/>
        <w:spacing w:after="280" w:before="600"/>
        <w:jc w:val="left"/>
      </w:pPr>
      <w:r>
        <w:rPr>
          <w:rFonts w:ascii="Arial" w:cs="Arial" w:eastAsia="Arial" w:hAnsi="Arial"/>
          <w:b/>
          <w:bCs/>
          <w:caps w:val="false"/>
          <w:color w:val="0D2B45"/>
          <w:sz w:val="34"/>
          <w:szCs w:val="34"/>
        </w:rPr>
        <w:t xml:space="preserve">Capítulo 1  Marco Teórico Unificado — La Dualidad HJB y Black-Scholes</w:t>
      </w:r>
    </w:p>
    <w:p>
      <w:pPr>
        <w:pStyle w:val="Heading2"/>
        <w:spacing w:after="200" w:before="420"/>
        <w:jc w:val="left"/>
      </w:pPr>
      <w:r>
        <w:rPr>
          <w:rFonts w:ascii="Arial" w:cs="Arial" w:eastAsia="Arial" w:hAnsi="Arial"/>
          <w:b/>
          <w:bCs/>
          <w:caps w:val="false"/>
          <w:color w:val="0F6E56"/>
          <w:sz w:val="28"/>
          <w:szCs w:val="28"/>
        </w:rPr>
        <w:t xml:space="preserve">1.1  Introducción</w:t>
      </w:r>
    </w:p>
    <w:p>
      <w:pPr>
        <w:spacing w:after="200" w:before="0" w:line="380" w:lineRule="auto"/>
        <w:jc w:val="both"/>
      </w:pPr>
      <w:r>
        <w:rPr>
          <w:rFonts w:ascii="Arial" w:cs="Arial" w:eastAsia="Arial" w:hAnsi="Arial"/>
          <w:b w:val="false"/>
          <w:bCs w:val="false"/>
          <w:caps w:val="false"/>
          <w:color w:val="000000"/>
          <w:sz w:val="24"/>
          <w:szCs w:val="24"/>
        </w:rPr>
        <w:t xml:space="preserve">Este capítulo establece que la ecuación de Hamilton-Jacobi-Bellman del control óptimo estocástico y la ecuación diferencial parcial de Black-Scholes-Merton son instancias del mismo operador parabólico, con la diferencia de que la HJB de control incluye una restricción en el conjunto de acciones admisibles U que genera una no-linealidad equivalente a la prima de ejercicio anticipado de una opción americana. La demostración pasa por el Teorema de Feynman-Kac y constituye el fundamento matemático de toda la tesis.</w:t>
      </w:r>
    </w:p>
    <w:p>
      <w:pPr>
        <w:pStyle w:val="Heading2"/>
        <w:spacing w:after="200" w:before="420"/>
        <w:jc w:val="left"/>
      </w:pPr>
      <w:r>
        <w:rPr>
          <w:rFonts w:ascii="Arial" w:cs="Arial" w:eastAsia="Arial" w:hAnsi="Arial"/>
          <w:b/>
          <w:bCs/>
          <w:caps w:val="false"/>
          <w:color w:val="0F6E56"/>
          <w:sz w:val="28"/>
          <w:szCs w:val="28"/>
        </w:rPr>
        <w:t xml:space="preserve">1.2  El Sistema Físico y la Ecuación de Oscilación</w:t>
      </w:r>
    </w:p>
    <w:p>
      <w:pPr>
        <w:pStyle w:val="Heading3"/>
        <w:spacing w:after="140" w:before="280"/>
        <w:jc w:val="left"/>
      </w:pPr>
      <w:r>
        <w:rPr>
          <w:rFonts w:ascii="Arial" w:cs="Arial" w:eastAsia="Arial" w:hAnsi="Arial"/>
          <w:b/>
          <w:bCs/>
          <w:caps w:val="false"/>
          <w:color w:val="0D2B45"/>
          <w:sz w:val="24"/>
          <w:szCs w:val="24"/>
        </w:rPr>
        <w:t xml:space="preserve">1.2.1  Dinámica de Frecuencia</w:t>
      </w:r>
    </w:p>
    <w:p>
      <w:pPr>
        <w:spacing w:after="200" w:before="0" w:line="380" w:lineRule="auto"/>
        <w:jc w:val="both"/>
      </w:pPr>
      <w:r>
        <w:rPr>
          <w:rFonts w:ascii="Arial" w:cs="Arial" w:eastAsia="Arial" w:hAnsi="Arial"/>
          <w:b w:val="false"/>
          <w:bCs w:val="false"/>
          <w:caps w:val="false"/>
          <w:color w:val="000000"/>
          <w:sz w:val="24"/>
          <w:szCs w:val="24"/>
        </w:rPr>
        <w:t xml:space="preserve">Consideremos un sistema de potencia de área única con constante de inercia H (segundos), coeficiente de amortiguamiento D (pu/Hz), y perturbación de potencia ΔP_d. La ecuación de oscilación que gobierna la desviación de frecuencia Δf(t) es:</w:t>
      </w:r>
    </w:p>
    <w:p>
      <w:pPr>
        <w:spacing w:after="240" w:before="240"/>
        <w:jc w:val="center"/>
      </w:pPr>
      <w:r>
        <w:rPr>
          <w:rFonts w:ascii="Cambria Math" w:cs="Cambria Math" w:eastAsia="Cambria Math" w:hAnsi="Cambria Math"/>
          <w:color w:val="0D2B45"/>
          <w:sz w:val="22"/>
          <w:szCs w:val="22"/>
        </w:rPr>
        <w:t xml:space="preserve">2H · d(Δf)/dt  =  ΔP_mec  −  D · Δf  −  ΔP_carga  +  u(t)  +  σ · dW_t / dt</w:t>
      </w:r>
    </w:p>
    <w:p>
      <w:pPr>
        <w:spacing w:after="200" w:before="0" w:line="380" w:lineRule="auto"/>
        <w:jc w:val="both"/>
      </w:pPr>
      <w:r>
        <w:rPr>
          <w:rFonts w:ascii="Arial" w:cs="Arial" w:eastAsia="Arial" w:hAnsi="Arial"/>
          <w:b w:val="false"/>
          <w:bCs w:val="false"/>
          <w:caps w:val="false"/>
          <w:color w:val="000000"/>
          <w:sz w:val="24"/>
          <w:szCs w:val="24"/>
        </w:rPr>
        <w:t xml:space="preserve">donde u(t) ∈ U = [u_min, u_max] = [−50, +50] MW es la acción de control del regulador de frecuencia, σ es la intensidad del ruido estocástico (incertidumbre en la demanda y generación renovable), y W_t es un movimiento browniano estándar bajo la medida de probabilidad física P. En coordenadas de estado x = (x₁, x₂) = (Δf, ROCOF):</w:t>
      </w:r>
    </w:p>
    <w:p>
      <w:pPr>
        <w:spacing w:after="240" w:before="240"/>
        <w:jc w:val="center"/>
      </w:pPr>
      <w:r>
        <w:rPr>
          <w:rFonts w:ascii="Cambria Math" w:cs="Cambria Math" w:eastAsia="Cambria Math" w:hAnsi="Cambria Math"/>
          <w:color w:val="0D2B45"/>
          <w:sz w:val="22"/>
          <w:szCs w:val="22"/>
        </w:rPr>
        <w:t xml:space="preserve">dx  =  f(x, u) dt  +  Σ dW_t</w:t>
      </w:r>
    </w:p>
    <w:p>
      <w:pPr>
        <w:spacing w:after="240" w:before="240"/>
        <w:jc w:val="center"/>
      </w:pPr>
      <w:r>
        <w:rPr>
          <w:rFonts w:ascii="Cambria Math" w:cs="Cambria Math" w:eastAsia="Cambria Math" w:hAnsi="Cambria Math"/>
          <w:color w:val="0D2B45"/>
          <w:sz w:val="22"/>
          <w:szCs w:val="22"/>
        </w:rPr>
        <w:t xml:space="preserve">f(x, u)  =  [ x₂ ,  (−D x₁  −  u  +  ΔP_d) / (2H) ]ᵀ</w:t>
      </w:r>
    </w:p>
    <w:p>
      <w:pPr>
        <w:pStyle w:val="Heading3"/>
        <w:spacing w:after="140" w:before="280"/>
        <w:jc w:val="left"/>
      </w:pPr>
      <w:r>
        <w:rPr>
          <w:rFonts w:ascii="Arial" w:cs="Arial" w:eastAsia="Arial" w:hAnsi="Arial"/>
          <w:b/>
          <w:bCs/>
          <w:caps w:val="false"/>
          <w:color w:val="0D2B45"/>
          <w:sz w:val="24"/>
          <w:szCs w:val="24"/>
        </w:rPr>
        <w:t xml:space="preserve">1.2.2  El Problema de Control Óptimo</w:t>
      </w:r>
    </w:p>
    <w:p>
      <w:pPr>
        <w:spacing w:after="200" w:before="0" w:line="380" w:lineRule="auto"/>
        <w:jc w:val="both"/>
      </w:pPr>
      <w:r>
        <w:rPr>
          <w:rFonts w:ascii="Arial" w:cs="Arial" w:eastAsia="Arial" w:hAnsi="Arial"/>
          <w:b w:val="false"/>
          <w:bCs w:val="false"/>
          <w:caps w:val="false"/>
          <w:color w:val="000000"/>
          <w:sz w:val="24"/>
          <w:szCs w:val="24"/>
        </w:rPr>
        <w:t xml:space="preserve">El operador busca la política u*(x,t): ℝ² × [0,T] → U que minimiza el funcional de costo esperado:</w:t>
      </w:r>
    </w:p>
    <w:p>
      <w:pPr>
        <w:spacing w:after="240" w:before="240"/>
        <w:jc w:val="center"/>
      </w:pPr>
      <w:r>
        <w:rPr>
          <w:rFonts w:ascii="Cambria Math" w:cs="Cambria Math" w:eastAsia="Cambria Math" w:hAnsi="Cambria Math"/>
          <w:color w:val="0D2B45"/>
          <w:sz w:val="22"/>
          <w:szCs w:val="22"/>
        </w:rPr>
        <w:t xml:space="preserve">J(x₀, t₀)  =  E[ ∫_{t₀}^{T} L(x(s), u(s)) ds  +  Φ(x(T))  |  x(t₀) = x₀ ]</w:t>
      </w:r>
    </w:p>
    <w:p>
      <w:pPr>
        <w:spacing w:after="200" w:before="0" w:line="380" w:lineRule="auto"/>
        <w:jc w:val="both"/>
      </w:pPr>
      <w:r>
        <w:rPr>
          <w:rFonts w:ascii="Arial" w:cs="Arial" w:eastAsia="Arial" w:hAnsi="Arial"/>
          <w:b w:val="false"/>
          <w:bCs w:val="false"/>
          <w:caps w:val="false"/>
          <w:color w:val="000000"/>
          <w:sz w:val="24"/>
          <w:szCs w:val="24"/>
        </w:rPr>
        <w:t xml:space="preserve">con costo de operación L(x,u) = q₁ x₁² + q₂ x₂² + r u², que penaliza desviación de frecuencia (q₁ = 100), ROCOF (q₂ = 10), y esfuerzo de control (r = 0.1), y costo terminal Φ(x(T)) = 0 para contratos de horizonte T finito.</w:t>
      </w:r>
    </w:p>
    <w:p>
      <w:pPr>
        <w:pStyle w:val="Heading2"/>
        <w:spacing w:after="200" w:before="420"/>
        <w:jc w:val="left"/>
      </w:pPr>
      <w:r>
        <w:rPr>
          <w:rFonts w:ascii="Arial" w:cs="Arial" w:eastAsia="Arial" w:hAnsi="Arial"/>
          <w:b/>
          <w:bCs/>
          <w:caps w:val="false"/>
          <w:color w:val="0F6E56"/>
          <w:sz w:val="28"/>
          <w:szCs w:val="28"/>
        </w:rPr>
        <w:t xml:space="preserve">1.3  La Ecuación HJB Estocástica</w:t>
      </w:r>
    </w:p>
    <w:p>
      <w:pPr>
        <w:spacing w:after="200" w:before="0" w:line="380" w:lineRule="auto"/>
        <w:jc w:val="both"/>
      </w:pPr>
      <w:r>
        <w:rPr>
          <w:rFonts w:ascii="Arial" w:cs="Arial" w:eastAsia="Arial" w:hAnsi="Arial"/>
          <w:b w:val="false"/>
          <w:bCs w:val="false"/>
          <w:caps w:val="false"/>
          <w:color w:val="000000"/>
          <w:sz w:val="24"/>
          <w:szCs w:val="24"/>
        </w:rPr>
        <w:t xml:space="preserve">Por el Principio de Optimalidad de Bellman (1957), la función de valor V*(x,t) = inf_{u} J(x,t) satisface la HJB estocástica:</w:t>
      </w:r>
    </w:p>
    <w:p>
      <w:pPr>
        <w:spacing w:after="240" w:before="240"/>
        <w:jc w:val="center"/>
      </w:pPr>
      <w:r>
        <w:rPr>
          <w:rFonts w:ascii="Cambria Math" w:cs="Cambria Math" w:eastAsia="Cambria Math" w:hAnsi="Cambria Math"/>
          <w:color w:val="0D2B45"/>
          <w:sz w:val="22"/>
          <w:szCs w:val="22"/>
        </w:rPr>
        <w:t xml:space="preserve">−∂V/∂t  =  min_{u ∈ U} { L(x,u)  +  (∇_x V)ᵀ f(x,u)  +  ½ Tr[ΣΣᵀ · Hess_x(V)] }</w:t>
      </w:r>
    </w:p>
    <w:p>
      <w:pPr>
        <w:spacing w:after="200" w:before="0" w:line="380" w:lineRule="auto"/>
        <w:jc w:val="both"/>
      </w:pPr>
      <w:r>
        <w:rPr>
          <w:rFonts w:ascii="Arial" w:cs="Arial" w:eastAsia="Arial" w:hAnsi="Arial"/>
          <w:b w:val="false"/>
          <w:bCs w:val="false"/>
          <w:caps w:val="false"/>
          <w:color w:val="000000"/>
          <w:sz w:val="24"/>
          <w:szCs w:val="24"/>
        </w:rPr>
        <w:t xml:space="preserve">con condición terminal V*(x,T) = 0. El término ½ Tr[ΣΣᵀ · Hess(V)] es la contribución de la difusión estocástica a la función de valor — no existe en el problema determinístico — y es exactamente el que establece la conexión con Black-Scholes. Para el caso de una sola dimensión de ruido (σ escalar que afecta solo a Δf):</w:t>
      </w:r>
    </w:p>
    <w:p>
      <w:pPr>
        <w:spacing w:after="240" w:before="240"/>
        <w:jc w:val="center"/>
      </w:pPr>
      <w:r>
        <w:rPr>
          <w:rFonts w:ascii="Cambria Math" w:cs="Cambria Math" w:eastAsia="Cambria Math" w:hAnsi="Cambria Math"/>
          <w:color w:val="0D2B45"/>
          <w:sz w:val="22"/>
          <w:szCs w:val="22"/>
        </w:rPr>
        <w:t xml:space="preserve">−∂V/∂t − min_{u∈U}{ q₁x₁² + q₂x₂² + ru² + (∂V/∂x₁)x₂ + (∂V/∂x₂)(−Dx₁−u+ΔP_d)/(2H) } − ½σ²∂²V/∂x₁² = 0</w:t>
      </w:r>
    </w:p>
    <w:p>
      <w:pPr>
        <w:pStyle w:val="Heading2"/>
        <w:spacing w:after="200" w:before="420"/>
        <w:jc w:val="left"/>
      </w:pPr>
      <w:r>
        <w:rPr>
          <w:rFonts w:ascii="Arial" w:cs="Arial" w:eastAsia="Arial" w:hAnsi="Arial"/>
          <w:b/>
          <w:bCs/>
          <w:caps w:val="false"/>
          <w:color w:val="0F6E56"/>
          <w:sz w:val="28"/>
          <w:szCs w:val="28"/>
        </w:rPr>
        <w:t xml:space="preserve">1.4  La EDP de Black-Scholes-Merton</w:t>
      </w:r>
    </w:p>
    <w:p>
      <w:pPr>
        <w:spacing w:after="200" w:before="0" w:line="380" w:lineRule="auto"/>
        <w:jc w:val="both"/>
      </w:pPr>
      <w:r>
        <w:rPr>
          <w:rFonts w:ascii="Arial" w:cs="Arial" w:eastAsia="Arial" w:hAnsi="Arial"/>
          <w:b w:val="false"/>
          <w:bCs w:val="false"/>
          <w:caps w:val="false"/>
          <w:color w:val="000000"/>
          <w:sz w:val="24"/>
          <w:szCs w:val="24"/>
        </w:rPr>
        <w:t xml:space="preserve">En el dominio financiero, el precio de un derivado V(S,t) sobre un activo que sigue dS = μS dt + σ_S S dW satisface la EDP parabólica de Black-Scholes:</w:t>
      </w:r>
    </w:p>
    <w:p>
      <w:pPr>
        <w:spacing w:after="240" w:before="240"/>
        <w:jc w:val="center"/>
      </w:pPr>
      <w:r>
        <w:rPr>
          <w:rFonts w:ascii="Cambria Math" w:cs="Cambria Math" w:eastAsia="Cambria Math" w:hAnsi="Cambria Math"/>
          <w:color w:val="0D2B45"/>
          <w:sz w:val="22"/>
          <w:szCs w:val="22"/>
        </w:rPr>
        <w:t xml:space="preserve">∂V/∂t  +  ½ σ_S² S² ∂²V/∂S²  +  r_f S ∂V/∂S  −  r_f V  =  0</w:t>
      </w:r>
    </w:p>
    <w:p>
      <w:pPr>
        <w:spacing w:after="200" w:before="0" w:line="380" w:lineRule="auto"/>
        <w:jc w:val="both"/>
      </w:pPr>
      <w:r>
        <w:rPr>
          <w:rFonts w:ascii="Arial" w:cs="Arial" w:eastAsia="Arial" w:hAnsi="Arial"/>
          <w:b w:val="false"/>
          <w:bCs w:val="false"/>
          <w:caps w:val="false"/>
          <w:color w:val="000000"/>
          <w:sz w:val="24"/>
          <w:szCs w:val="24"/>
        </w:rPr>
        <w:t xml:space="preserve">con condición terminal V(S,T) = Φ(S(T)). Reescribiendo con el operador infinitesimal L^{BS}:</w:t>
      </w:r>
    </w:p>
    <w:p>
      <w:pPr>
        <w:spacing w:after="240" w:before="240"/>
        <w:jc w:val="center"/>
      </w:pPr>
      <w:r>
        <w:rPr>
          <w:rFonts w:ascii="Cambria Math" w:cs="Cambria Math" w:eastAsia="Cambria Math" w:hAnsi="Cambria Math"/>
          <w:color w:val="0D2B45"/>
          <w:sz w:val="22"/>
          <w:szCs w:val="22"/>
        </w:rPr>
        <w:t xml:space="preserve">∂V/∂t  +  L^{BS}[V]  =  0</w:t>
      </w:r>
    </w:p>
    <w:p>
      <w:pPr>
        <w:pStyle w:val="Heading2"/>
        <w:spacing w:after="200" w:before="420"/>
        <w:jc w:val="left"/>
      </w:pPr>
      <w:r>
        <w:rPr>
          <w:rFonts w:ascii="Arial" w:cs="Arial" w:eastAsia="Arial" w:hAnsi="Arial"/>
          <w:b/>
          <w:bCs/>
          <w:caps w:val="false"/>
          <w:color w:val="0F6E56"/>
          <w:sz w:val="28"/>
          <w:szCs w:val="28"/>
        </w:rPr>
        <w:t xml:space="preserve">1.5  Demostración de la Dualidad via Feynman-Kac</w:t>
      </w:r>
    </w:p>
    <w:p>
      <w:pPr>
        <w:pStyle w:val="Heading3"/>
        <w:spacing w:after="140" w:before="280"/>
        <w:jc w:val="left"/>
      </w:pPr>
      <w:r>
        <w:rPr>
          <w:rFonts w:ascii="Arial" w:cs="Arial" w:eastAsia="Arial" w:hAnsi="Arial"/>
          <w:b/>
          <w:bCs/>
          <w:caps w:val="false"/>
          <w:color w:val="0D2B45"/>
          <w:sz w:val="24"/>
          <w:szCs w:val="24"/>
        </w:rPr>
        <w:t xml:space="preserve">1.5.1  El Teorema de Feynman-Kac</w:t>
      </w:r>
    </w:p>
    <w:p>
      <w:pPr>
        <w:spacing w:after="200" w:before="0" w:line="380" w:lineRule="auto"/>
        <w:jc w:val="both"/>
      </w:pPr>
      <w:r>
        <w:rPr>
          <w:rFonts w:ascii="Arial" w:cs="Arial" w:eastAsia="Arial" w:hAnsi="Arial"/>
          <w:b w:val="false"/>
          <w:bCs w:val="false"/>
          <w:caps w:val="false"/>
          <w:color w:val="000000"/>
          <w:sz w:val="24"/>
          <w:szCs w:val="24"/>
        </w:rPr>
        <w:t xml:space="preserve">Teorema 1.1 (Feynman-Kac, versión general). Sea X(t) un proceso de Itô en ℝⁿ con dX = μ(X,t)dt + σ(X,t)dW. Si u(x,t) satisface la EDP parabólica:</w:t>
      </w:r>
    </w:p>
    <w:p>
      <w:pPr>
        <w:spacing w:after="240" w:before="240"/>
        <w:jc w:val="center"/>
      </w:pPr>
      <w:r>
        <w:rPr>
          <w:rFonts w:ascii="Cambria Math" w:cs="Cambria Math" w:eastAsia="Cambria Math" w:hAnsi="Cambria Math"/>
          <w:color w:val="0D2B45"/>
          <w:sz w:val="22"/>
          <w:szCs w:val="22"/>
        </w:rPr>
        <w:t xml:space="preserve">∂u/∂t  +  Σᵢ μᵢ ∂u/∂xᵢ  +  ½ Σᵢⱼ (σσᵀ)ᵢⱼ ∂²u/∂xᵢ∂xⱼ  −  r(x,t)u  +  g(x,t)  =  0</w:t>
      </w:r>
    </w:p>
    <w:p>
      <w:pPr>
        <w:spacing w:after="200" w:before="0" w:line="380" w:lineRule="auto"/>
        <w:jc w:val="both"/>
      </w:pPr>
      <w:r>
        <w:rPr>
          <w:rFonts w:ascii="Arial" w:cs="Arial" w:eastAsia="Arial" w:hAnsi="Arial"/>
          <w:b w:val="false"/>
          <w:bCs w:val="false"/>
          <w:caps w:val="false"/>
          <w:color w:val="000000"/>
          <w:sz w:val="24"/>
          <w:szCs w:val="24"/>
        </w:rPr>
        <w:t xml:space="preserve">entonces u admite la representación estocástica (esperanza bajo la medida inducida por el proceso):</w:t>
      </w:r>
    </w:p>
    <w:p>
      <w:pPr>
        <w:spacing w:after="240" w:before="240"/>
        <w:jc w:val="center"/>
      </w:pPr>
      <w:r>
        <w:rPr>
          <w:rFonts w:ascii="Cambria Math" w:cs="Cambria Math" w:eastAsia="Cambria Math" w:hAnsi="Cambria Math"/>
          <w:color w:val="0D2B45"/>
          <w:sz w:val="22"/>
          <w:szCs w:val="22"/>
        </w:rPr>
        <w:t xml:space="preserve">u(x,t)  =  E[ ∫_t^T e^{−∫_t^s r dτ} g(X(s),s) ds  +  e^{−∫_t^T r dτ} Φ(X(T)) | X(t)=x ]</w:t>
      </w:r>
    </w:p>
    <w:p>
      <w:pPr>
        <w:pStyle w:val="Heading3"/>
        <w:spacing w:after="140" w:before="280"/>
        <w:jc w:val="left"/>
      </w:pPr>
      <w:r>
        <w:rPr>
          <w:rFonts w:ascii="Arial" w:cs="Arial" w:eastAsia="Arial" w:hAnsi="Arial"/>
          <w:b/>
          <w:bCs/>
          <w:caps w:val="false"/>
          <w:color w:val="0D2B45"/>
          <w:sz w:val="24"/>
          <w:szCs w:val="24"/>
        </w:rPr>
        <w:t xml:space="preserve">1.5.2  La Dualidad: Proposición Formal</w:t>
      </w:r>
    </w:p>
    <w:p>
      <w:pPr>
        <w:spacing w:after="200" w:before="0" w:line="380" w:lineRule="auto"/>
        <w:jc w:val="both"/>
      </w:pPr>
      <w:r>
        <w:rPr>
          <w:rFonts w:ascii="Arial" w:cs="Arial" w:eastAsia="Arial" w:hAnsi="Arial"/>
          <w:b w:val="false"/>
          <w:bCs w:val="false"/>
          <w:caps w:val="false"/>
          <w:color w:val="000000"/>
          <w:sz w:val="24"/>
          <w:szCs w:val="24"/>
        </w:rPr>
        <w:t xml:space="preserve">Proposición 1.1 (Dualidad HJB–BS). Sea V_HJB(x,t) la función de valor del problema de control estocástico con costo cuadrático L y sin restricciones (U = ℝ). Entonces V_HJB coincide con el precio V_BS(S,t) de una opción bajo el modelo Black-Scholes bajo la identificación paramétrica:</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1200"/>
        <w:gridCol w:w="2400"/>
        <w:gridCol w:w="3360"/>
      </w:tblGrid>
      <w:tr>
        <w:trPr>
          <w:tblHeader/>
        </w:trPr>
        <w:tc>
          <w:tcPr>
            <w:tcW w:type="dxa" w:w="24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Parámetro Físico (HJB)</w:t>
            </w:r>
          </w:p>
        </w:tc>
        <w:tc>
          <w:tcPr>
            <w:tcW w:type="dxa" w:w="12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Símbolo</w:t>
            </w:r>
          </w:p>
        </w:tc>
        <w:tc>
          <w:tcPr>
            <w:tcW w:type="dxa" w:w="24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Parámetro Financiero (BS)</w:t>
            </w:r>
          </w:p>
        </w:tc>
        <w:tc>
          <w:tcPr>
            <w:tcW w:type="dxa" w:w="33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Expresión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Constante de inercia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Inverso tasa de reversión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r_f = D/(2H)</w:t>
            </w:r>
          </w:p>
        </w:tc>
      </w:tr>
      <w:tr>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Volatilidad de demanda</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σ</w:t>
            </w:r>
          </w:p>
        </w:tc>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Volatilidad del subyacente</w:t>
            </w:r>
          </w:p>
        </w:tc>
        <w:tc>
          <w:tcPr>
            <w:tcW w:type="dxa" w:w="33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σ_BS = σ/(S₀)</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Peso de frecuencia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q₁</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Costo de running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g(S,t) = q₁(S−S₀)²</w:t>
            </w:r>
          </w:p>
        </w:tc>
      </w:tr>
      <w:tr>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Peso de control</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r</w:t>
            </w:r>
          </w:p>
        </w:tc>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Costo de ejercicio</w:t>
            </w:r>
          </w:p>
        </w:tc>
        <w:tc>
          <w:tcPr>
            <w:tcW w:type="dxa" w:w="33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1/(2r)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Horizonte 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Madurez de la opción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T</w:t>
            </w:r>
          </w:p>
        </w:tc>
      </w:tr>
      <w:tr>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Factor descuento γ</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γ</w:t>
            </w:r>
          </w:p>
        </w:tc>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Factor descuento r_f</w:t>
            </w:r>
          </w:p>
        </w:tc>
        <w:tc>
          <w:tcPr>
            <w:tcW w:type="dxa" w:w="33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e^{−r_f t}</w:t>
            </w:r>
          </w:p>
        </w:tc>
      </w:tr>
    </w:tbl>
    <w:p>
      <w:pPr>
        <w:spacing w:after="320" w:before="80" w:line="380" w:lineRule="auto"/>
        <w:jc w:val="center"/>
      </w:pPr>
      <w:r>
        <w:rPr>
          <w:rFonts w:ascii="Arial" w:cs="Arial" w:eastAsia="Arial" w:hAnsi="Arial"/>
          <w:b w:val="false"/>
          <w:bCs w:val="false"/>
          <w:caps w:val="false"/>
          <w:color w:val="888888"/>
          <w:sz w:val="20"/>
          <w:szCs w:val="20"/>
        </w:rPr>
        <w:t xml:space="preserve">Tabla 1.1: Correspondencia de parámetros HJB ↔ Black-Scholes. La identificación es exacta en el caso sin restricciones.</w:t>
      </w:r>
    </w:p>
    <w:p>
      <w:pPr>
        <w:spacing w:after="200" w:before="0" w:line="380" w:lineRule="auto"/>
        <w:jc w:val="both"/>
      </w:pPr>
      <w:r>
        <w:rPr>
          <w:rFonts w:ascii="Arial" w:cs="Arial" w:eastAsia="Arial" w:hAnsi="Arial"/>
          <w:b w:val="false"/>
          <w:bCs w:val="false"/>
          <w:caps w:val="false"/>
          <w:color w:val="000000"/>
          <w:sz w:val="24"/>
          <w:szCs w:val="24"/>
        </w:rPr>
        <w:t xml:space="preserve">Demostración. En el caso U = ℝ, el mínimo sobre u se calcula explícitamente. La condición de primer orden ∂/∂u {ru² + (∂V/∂x₂)(−u/(2H))} = 0 da u*(x,t) = (∂V/∂x₂)/(4rH). Sustituyendo en la HJB y proyectando sobre la coordenada x₁ = Δf (bajo la dinámica reducida de primer orden ẋ₁ ≈ x₂ = dΔf/dt ≈ 0 en el límite cuasi-estático), la HJB se reduce a:</w:t>
      </w:r>
    </w:p>
    <w:p>
      <w:pPr>
        <w:spacing w:after="240" w:before="240"/>
        <w:jc w:val="center"/>
      </w:pPr>
      <w:r>
        <w:rPr>
          <w:rFonts w:ascii="Cambria Math" w:cs="Cambria Math" w:eastAsia="Cambria Math" w:hAnsi="Cambria Math"/>
          <w:color w:val="0D2B45"/>
          <w:sz w:val="22"/>
          <w:szCs w:val="22"/>
        </w:rPr>
        <w:t xml:space="preserve">−∂V/∂t  −  (D/(2H)) x₁ ∂V/∂x₁  −  ½σ² ∂²V/∂x₁²  +  r_f V  =  q₁ x₁²</w:t>
      </w:r>
    </w:p>
    <w:p>
      <w:pPr>
        <w:spacing w:after="200" w:before="0" w:line="380" w:lineRule="auto"/>
        <w:jc w:val="both"/>
      </w:pPr>
      <w:r>
        <w:rPr>
          <w:rFonts w:ascii="Arial" w:cs="Arial" w:eastAsia="Arial" w:hAnsi="Arial"/>
          <w:b w:val="false"/>
          <w:bCs w:val="false"/>
          <w:caps w:val="false"/>
          <w:color w:val="000000"/>
          <w:sz w:val="24"/>
          <w:szCs w:val="24"/>
        </w:rPr>
        <w:t xml:space="preserve">que bajo la sustitución S = S₀ + x₁, r_f = D/(2H), σ_BS = σ, g(S,t) = q₁(S−S₀)² es exactamente la EDP de Black-Scholes con término de running cost. La representación Feynman-Kac establece la equivalencia estocástica. □</w:t>
      </w:r>
    </w:p>
    <w:p>
      <w:pPr>
        <w:pStyle w:val="Heading3"/>
        <w:spacing w:after="140" w:before="280"/>
        <w:jc w:val="left"/>
      </w:pPr>
      <w:r>
        <w:rPr>
          <w:rFonts w:ascii="Arial" w:cs="Arial" w:eastAsia="Arial" w:hAnsi="Arial"/>
          <w:b/>
          <w:bCs/>
          <w:caps w:val="false"/>
          <w:color w:val="0D2B45"/>
          <w:sz w:val="24"/>
          <w:szCs w:val="24"/>
        </w:rPr>
        <w:t xml:space="preserve">1.5.3  El Caso con Restricciones: La Prima de Control Óptimo</w:t>
      </w:r>
    </w:p>
    <w:p>
      <w:pPr>
        <w:spacing w:after="200" w:before="0" w:line="380" w:lineRule="auto"/>
        <w:jc w:val="both"/>
      </w:pPr>
      <w:r>
        <w:rPr>
          <w:rFonts w:ascii="Arial" w:cs="Arial" w:eastAsia="Arial" w:hAnsi="Arial"/>
          <w:b w:val="false"/>
          <w:bCs w:val="false"/>
          <w:caps w:val="false"/>
          <w:color w:val="000000"/>
          <w:sz w:val="24"/>
          <w:szCs w:val="24"/>
        </w:rPr>
        <w:t xml:space="preserve">Cuando U = [u_min, u_max] (restricciones físicas reales), la política óptima se satura: u*(x,t) = max(u_min, min(u_max, û*(x,t))) donde û* es la política sin restricciones. En la región donde la restricción es activa, la HJB introduce una no-linealidad que no tiene equivalente en Black-Scholes europeo, pero sí en la opción americana: la condición de frontera libre V ≥ h(x) (el payoff de ejercicio inmediato). La Prima de Control Óptimo (PCO) cuantifica esta diferencia:</w:t>
      </w:r>
    </w:p>
    <w:p>
      <w:pPr>
        <w:spacing w:after="240" w:before="240"/>
        <w:jc w:val="center"/>
      </w:pPr>
      <w:r>
        <w:rPr>
          <w:rFonts w:ascii="Cambria Math" w:cs="Cambria Math" w:eastAsia="Cambria Math" w:hAnsi="Cambria Math"/>
          <w:color w:val="0D2B45"/>
          <w:sz w:val="22"/>
          <w:szCs w:val="22"/>
        </w:rPr>
        <w:t xml:space="preserve">PCO(x,t)  =  V_HJB^{restringido}(x,t)  −  V_HJB^{libre}(x,t)  ≥  0</w:t>
      </w:r>
    </w:p>
    <w:p>
      <w:pPr>
        <w:spacing w:after="200" w:before="0" w:line="380" w:lineRule="auto"/>
        <w:jc w:val="both"/>
      </w:pPr>
      <w:r>
        <w:rPr>
          <w:rFonts w:ascii="Arial" w:cs="Arial" w:eastAsia="Arial" w:hAnsi="Arial"/>
          <w:b w:val="false"/>
          <w:bCs w:val="false"/>
          <w:caps w:val="false"/>
          <w:color w:val="000000"/>
          <w:sz w:val="24"/>
          <w:szCs w:val="24"/>
        </w:rPr>
        <w:t xml:space="preserve">Empíricamente, para el nodo VZA-400 con u_max = 50 MW, PCO/V_HJB ∈ [12%, 18%] dependiendo del nivel de volatilidad de frecuencia observado en el período de calibración.</w:t>
      </w:r>
    </w:p>
    <w:p>
      <w:pPr>
        <w:pStyle w:val="Heading2"/>
        <w:spacing w:after="200" w:before="420"/>
        <w:jc w:val="left"/>
      </w:pPr>
      <w:r>
        <w:rPr>
          <w:rFonts w:ascii="Arial" w:cs="Arial" w:eastAsia="Arial" w:hAnsi="Arial"/>
          <w:b/>
          <w:bCs/>
          <w:caps w:val="false"/>
          <w:color w:val="0F6E56"/>
          <w:sz w:val="28"/>
          <w:szCs w:val="28"/>
        </w:rPr>
        <w:t xml:space="preserve">1.6  El Proceso OU de Frecuencia</w:t>
      </w:r>
    </w:p>
    <w:p>
      <w:pPr>
        <w:spacing w:after="200" w:before="0" w:line="380" w:lineRule="auto"/>
        <w:jc w:val="both"/>
      </w:pPr>
      <w:r>
        <w:rPr>
          <w:rFonts w:ascii="Arial" w:cs="Arial" w:eastAsia="Arial" w:hAnsi="Arial"/>
          <w:b w:val="false"/>
          <w:bCs w:val="false"/>
          <w:caps w:val="false"/>
          <w:color w:val="000000"/>
          <w:sz w:val="24"/>
          <w:szCs w:val="24"/>
        </w:rPr>
        <w:t xml:space="preserve">La frecuencia de red no sigue una caminata aleatoria —lo prohíbe la arquitectura de control primario— sino un proceso de Ornstein-Uhlenbeck (reversión a la media):</w:t>
      </w:r>
    </w:p>
    <w:p>
      <w:pPr>
        <w:spacing w:after="240" w:before="240"/>
        <w:jc w:val="center"/>
      </w:pPr>
      <w:r>
        <w:rPr>
          <w:rFonts w:ascii="Cambria Math" w:cs="Cambria Math" w:eastAsia="Cambria Math" w:hAnsi="Cambria Math"/>
          <w:color w:val="0D2B45"/>
          <w:sz w:val="22"/>
          <w:szCs w:val="22"/>
        </w:rPr>
        <w:t xml:space="preserve">d(Δf)  =  κ(μ − Δf) dt  +  σ_OU dW_t^Q</w:t>
      </w:r>
    </w:p>
    <w:p>
      <w:pPr>
        <w:spacing w:after="200" w:before="0" w:line="380" w:lineRule="auto"/>
        <w:jc w:val="both"/>
      </w:pPr>
      <w:r>
        <w:rPr>
          <w:rFonts w:ascii="Arial" w:cs="Arial" w:eastAsia="Arial" w:hAnsi="Arial"/>
          <w:b w:val="false"/>
          <w:bCs w:val="false"/>
          <w:caps w:val="false"/>
          <w:color w:val="000000"/>
          <w:sz w:val="24"/>
          <w:szCs w:val="24"/>
        </w:rPr>
        <w:t xml:space="preserve">donde κ &gt; 0 es la velocidad de reversión (gobernadores de velocidad), μ ≈ 0 Hz es la media de largo plazo (regulación secundaria restaura la nominal), y σ_OU es la volatilidad instantánea. La calibración MLE sobre 23.5 millones de observaciones CENACE arroja:</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000"/>
        <w:gridCol w:w="1800"/>
        <w:gridCol w:w="1800"/>
        <w:gridCol w:w="2160"/>
        <w:gridCol w:w="1600"/>
      </w:tblGrid>
      <w:tr>
        <w:trPr>
          <w:tblHeader/>
        </w:trPr>
        <w:tc>
          <w:tcPr>
            <w:tcW w:type="dxa" w:w="20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Parámetro</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Estimación MLE</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Error Estándar</w:t>
            </w:r>
          </w:p>
        </w:tc>
        <w:tc>
          <w:tcPr>
            <w:tcW w:type="dxa" w:w="21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IC 95%</w:t>
            </w:r>
          </w:p>
        </w:tc>
        <w:tc>
          <w:tcPr>
            <w:tcW w:type="dxa" w:w="16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Significancia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κ (s⁻¹)</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8.341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0.674</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[7.020, 9.663]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p &lt; 10⁻¹⁰⁰</w:t>
            </w:r>
          </w:p>
        </w:tc>
      </w:tr>
      <w:tr>
        <w:tc>
          <w:tcPr>
            <w:tcW w:type="dxa" w:w="2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μ (Hz)</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−0.00118</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0.000287</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[−0.00174, −0.00062]</w:t>
            </w:r>
          </w:p>
        </w:tc>
        <w:tc>
          <w:tcPr>
            <w:tcW w:type="dxa" w:w="16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p &lt; 10⁻⁴⁸</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σ_OU (Hz/√s)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0.01483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0.000924</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[0.01302, 0.01664]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p &lt; 10⁻¹⁰⁰</w:t>
            </w:r>
          </w:p>
        </w:tc>
      </w:tr>
    </w:tbl>
    <w:p>
      <w:pPr>
        <w:spacing w:after="320" w:before="80" w:line="380" w:lineRule="auto"/>
        <w:jc w:val="center"/>
      </w:pPr>
      <w:r>
        <w:rPr>
          <w:rFonts w:ascii="Arial" w:cs="Arial" w:eastAsia="Arial" w:hAnsi="Arial"/>
          <w:b w:val="false"/>
          <w:bCs w:val="false"/>
          <w:caps w:val="false"/>
          <w:color w:val="888888"/>
          <w:sz w:val="20"/>
          <w:szCs w:val="20"/>
        </w:rPr>
        <w:t xml:space="preserve">Tabla 1.2: Parámetros OU calibrados por MLE — nodo VZA-400, CENACE 2022-2024. Test LR vs caminata aleatoria: LR = 47,284 (p &lt; 10⁻¹⁰⁰).</w:t>
      </w:r>
    </w:p>
    <w:p>
      <w:pPr>
        <w:spacing w:after="200" w:before="0" w:line="380" w:lineRule="auto"/>
        <w:jc w:val="both"/>
      </w:pPr>
      <w:r>
        <w:rPr>
          <w:rFonts w:ascii="Arial" w:cs="Arial" w:eastAsia="Arial" w:hAnsi="Arial"/>
          <w:b w:val="false"/>
          <w:bCs w:val="false"/>
          <w:caps w:val="false"/>
          <w:color w:val="000000"/>
          <w:sz w:val="24"/>
          <w:szCs w:val="24"/>
        </w:rPr>
        <w:t xml:space="preserve">La distribución estacionaria es Δf_∞ ~ N(−0.0012, 0.000013) Hz², lo que implica P(|Δf| &gt; 0.017) ≈ 5.8%. Esto es la frecuencia esperada de activación del contrato de regulación en condiciones normales.</w:t>
      </w:r>
    </w:p>
    <w:p>
      <w:pPr>
        <w:pStyle w:val="Heading2"/>
        <w:spacing w:after="200" w:before="420"/>
        <w:jc w:val="left"/>
      </w:pPr>
      <w:r>
        <w:rPr>
          <w:rFonts w:ascii="Arial" w:cs="Arial" w:eastAsia="Arial" w:hAnsi="Arial"/>
          <w:b/>
          <w:bCs/>
          <w:caps w:val="false"/>
          <w:color w:val="0F6E56"/>
          <w:sz w:val="28"/>
          <w:szCs w:val="28"/>
        </w:rPr>
        <w:t xml:space="preserve">1.7  El Proceso OU Vectorial — Red Multizonal con 67% de Expansión Eólica</w:t>
      </w:r>
    </w:p>
    <w:p>
      <w:pPr>
        <w:pStyle w:val="Heading3"/>
        <w:spacing w:after="140" w:before="280"/>
        <w:jc w:val="left"/>
      </w:pPr>
      <w:r>
        <w:rPr>
          <w:rFonts w:ascii="Arial" w:cs="Arial" w:eastAsia="Arial" w:hAnsi="Arial"/>
          <w:b/>
          <w:bCs/>
          <w:caps w:val="false"/>
          <w:color w:val="0D2B45"/>
          <w:sz w:val="24"/>
          <w:szCs w:val="24"/>
        </w:rPr>
        <w:t xml:space="preserve">1.7.1  Motivación: El Efecto del Viento del Norte</w:t>
      </w:r>
    </w:p>
    <w:p>
      <w:pPr>
        <w:spacing w:after="200" w:before="0" w:line="380" w:lineRule="auto"/>
        <w:jc w:val="both"/>
      </w:pPr>
      <w:r>
        <w:rPr>
          <w:rFonts w:ascii="Arial" w:cs="Arial" w:eastAsia="Arial" w:hAnsi="Arial"/>
          <w:b w:val="false"/>
          <w:bCs w:val="false"/>
          <w:caps w:val="false"/>
          <w:color w:val="000000"/>
          <w:sz w:val="24"/>
          <w:szCs w:val="24"/>
        </w:rPr>
        <w:t xml:space="preserve">Entre 2021 y 2024, la capacidad eólica instalada en el SIN creció de 6.7 GW a 11.2 GW —un incremento del 67%— concentrada geográficamente en las zonas Norte (Tamaulipas, Nuevo León, Oaxaca Istmo). Esta expansión asimétrica rompe la hipótesis de área única que subyace al proceso OU escalar: la perturbación de frecuencia originada por una rampa eólica en la zona Norte no se propaga instantáneamente a las zonas Centro, Occidental y Sur-Sureste, sino que sigue la dinámica de la red de transmisión con retardos de 0.5–5 segundos y excita modos de oscilación interareal de 0.1–2.0 Hz. Ignorar esta estructura espacial introduce errores de valoración sistemáticos en los contratos de regulación de las zonas no-Norte.</w:t>
      </w:r>
    </w:p>
    <w:p>
      <w:pPr>
        <w:spacing w:after="200" w:before="0" w:line="380" w:lineRule="auto"/>
        <w:jc w:val="both"/>
      </w:pPr>
      <w:r>
        <w:rPr>
          <w:rFonts w:ascii="Arial" w:cs="Arial" w:eastAsia="Arial" w:hAnsi="Arial"/>
          <w:b w:val="false"/>
          <w:bCs w:val="false"/>
          <w:caps w:val="false"/>
          <w:color w:val="000000"/>
          <w:sz w:val="24"/>
          <w:szCs w:val="24"/>
        </w:rPr>
        <w:t xml:space="preserve">La evidencia empírica es directa. Tomando la covarianza entre las desviaciones de frecuencia en las cinco zonas de control del SIN (extraída de los datos de telemetría PRIMEnergeia), la matriz de correlación contemporánea es:</w:t>
      </w:r>
    </w:p>
    <w:p>
      <w:pPr>
        <w:spacing w:after="240" w:before="240"/>
        <w:jc w:val="center"/>
      </w:pPr>
      <w:r>
        <w:rPr>
          <w:rFonts w:ascii="Cambria Math" w:cs="Cambria Math" w:eastAsia="Cambria Math" w:hAnsi="Cambria Math"/>
          <w:color w:val="0D2B45"/>
          <w:sz w:val="22"/>
          <w:szCs w:val="22"/>
        </w:rPr>
        <w:t xml:space="preserve">ρ = [[1.00, 0.74, 0.68, 0.51, 0.23],
        [0.74, 1.00, 0.81, 0.62, 0.19],
        [0.68, 0.81, 1.00, 0.71, 0.17],
        [0.51, 0.62, 0.71, 1.00, 0.14],
        [0.23, 0.19, 0.17, 0.14, 1.00]]</w:t>
      </w:r>
    </w:p>
    <w:p>
      <w:pPr>
        <w:spacing w:after="200" w:before="0" w:line="380" w:lineRule="auto"/>
        <w:jc w:val="both"/>
      </w:pPr>
      <w:r>
        <w:rPr>
          <w:rFonts w:ascii="Arial" w:cs="Arial" w:eastAsia="Arial" w:hAnsi="Arial"/>
          <w:b w:val="false"/>
          <w:bCs w:val="false"/>
          <w:caps w:val="false"/>
          <w:color w:val="000000"/>
          <w:sz w:val="24"/>
          <w:szCs w:val="24"/>
        </w:rPr>
        <w:t xml:space="preserve">donde las filas/columnas son (Norte, Centro, Occidental, Sur-Sureste, Baja California). La correlación Norte–Baja California (0.23) es cuatro veces menor que la correlación Norte–Centro (0.74), confirmando que tratar el SIN como un área única introduce errores de covarianza de hasta el 77%. Baja California, sincronizada con WECC/CAISO y no con el SIN continental, es prácticamente un sistema independiente.</w:t>
      </w:r>
    </w:p>
    <w:p>
      <w:pPr>
        <w:pStyle w:val="Heading3"/>
        <w:spacing w:after="140" w:before="280"/>
        <w:jc w:val="left"/>
      </w:pPr>
      <w:r>
        <w:rPr>
          <w:rFonts w:ascii="Arial" w:cs="Arial" w:eastAsia="Arial" w:hAnsi="Arial"/>
          <w:b/>
          <w:bCs/>
          <w:caps w:val="false"/>
          <w:color w:val="0D2B45"/>
          <w:sz w:val="24"/>
          <w:szCs w:val="24"/>
        </w:rPr>
        <w:t xml:space="preserve">1.7.2  Formulación del Proceso OU Vectorial</w:t>
      </w:r>
    </w:p>
    <w:p>
      <w:pPr>
        <w:spacing w:after="200" w:before="0" w:line="380" w:lineRule="auto"/>
        <w:jc w:val="both"/>
      </w:pPr>
      <w:r>
        <w:rPr>
          <w:rFonts w:ascii="Arial" w:cs="Arial" w:eastAsia="Arial" w:hAnsi="Arial"/>
          <w:b w:val="false"/>
          <w:bCs w:val="false"/>
          <w:caps w:val="false"/>
          <w:color w:val="000000"/>
          <w:sz w:val="24"/>
          <w:szCs w:val="24"/>
        </w:rPr>
        <w:t xml:space="preserve">Sea Δf(t) = (Δf_N, Δf_C, Δf_O, Δf_SS, Δf_BC)ᵀ ∈ ℝ⁵ el vector de desviaciones de frecuencia en las cinco zonas. El proceso OU vectorial es:</w:t>
      </w:r>
    </w:p>
    <w:p>
      <w:pPr>
        <w:spacing w:after="240" w:before="240"/>
        <w:jc w:val="center"/>
      </w:pPr>
      <w:r>
        <w:rPr>
          <w:rFonts w:ascii="Cambria Math" w:cs="Cambria Math" w:eastAsia="Cambria Math" w:hAnsi="Cambria Math"/>
          <w:color w:val="0D2B45"/>
          <w:sz w:val="22"/>
          <w:szCs w:val="22"/>
        </w:rPr>
        <w:t xml:space="preserve">d(Δf)  =  K(μ − Δf) dt  +  Σ^{1/2} dW_t</w:t>
      </w:r>
    </w:p>
    <w:p>
      <w:pPr>
        <w:spacing w:after="200" w:before="0" w:line="380" w:lineRule="auto"/>
        <w:jc w:val="both"/>
      </w:pPr>
      <w:r>
        <w:rPr>
          <w:rFonts w:ascii="Arial" w:cs="Arial" w:eastAsia="Arial" w:hAnsi="Arial"/>
          <w:b w:val="false"/>
          <w:bCs w:val="false"/>
          <w:caps w:val="false"/>
          <w:color w:val="000000"/>
          <w:sz w:val="24"/>
          <w:szCs w:val="24"/>
        </w:rPr>
        <w:t xml:space="preserve">donde K ∈ ℝ^{5×5} es la matriz de reversión a la media, μ ∈ ℝ⁵ es el vector de medias de largo plazo (nominalmente 0 Hz para todas las zonas bajo regulación secundaria activa), y Σ ∈ ℝ^{5×5} es la matriz de covarianza del ruido. La estructura de K captura los acoplamientos eléctricos interareales:</w:t>
      </w:r>
    </w:p>
    <w:p>
      <w:pPr>
        <w:spacing w:after="240" w:before="240"/>
        <w:jc w:val="center"/>
      </w:pPr>
      <w:r>
        <w:rPr>
          <w:rFonts w:ascii="Cambria Math" w:cs="Cambria Math" w:eastAsia="Cambria Math" w:hAnsi="Cambria Math"/>
          <w:color w:val="0D2B45"/>
          <w:sz w:val="22"/>
          <w:szCs w:val="22"/>
        </w:rPr>
        <w:t xml:space="preserve">K_{ij}  =  κᵢ · 1_{i=j}  −  B_{ij} / (2H_i)  · 1_{i≠j}</w:t>
      </w:r>
    </w:p>
    <w:p>
      <w:pPr>
        <w:spacing w:after="200" w:before="0" w:line="380" w:lineRule="auto"/>
        <w:jc w:val="both"/>
      </w:pPr>
      <w:r>
        <w:rPr>
          <w:rFonts w:ascii="Arial" w:cs="Arial" w:eastAsia="Arial" w:hAnsi="Arial"/>
          <w:b w:val="false"/>
          <w:bCs w:val="false"/>
          <w:caps w:val="false"/>
          <w:color w:val="000000"/>
          <w:sz w:val="24"/>
          <w:szCs w:val="24"/>
        </w:rPr>
        <w:t xml:space="preserve">donde κᵢ es la velocidad de reversión propia de la zona i (gobernada por sus gobernadores de velocidad locales), B_{ij} es la susceptancia de la línea de transmisión entre las zonas i y j (medida en la barra de frontera), y H_i es la constante de inercia efectiva de la zona i. Los términos fuera de la diagonal son negativos (acoplamientos restauradores) y la matriz K es estable (todos sus valores propios tienen parte real positiva) para una red eléctricamente coherente.</w:t>
      </w:r>
    </w:p>
    <w:p>
      <w:pPr>
        <w:spacing w:after="200" w:before="0" w:line="380" w:lineRule="auto"/>
        <w:jc w:val="both"/>
      </w:pPr>
      <w:r>
        <w:rPr>
          <w:rFonts w:ascii="Arial" w:cs="Arial" w:eastAsia="Arial" w:hAnsi="Arial"/>
          <w:b w:val="false"/>
          <w:bCs w:val="false"/>
          <w:caps w:val="false"/>
          <w:color w:val="000000"/>
          <w:sz w:val="24"/>
          <w:szCs w:val="24"/>
        </w:rPr>
        <w:t xml:space="preserve">Calibración MLE sobre datos multivariantes del SIN (enero 2022–diciembre 2024):</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1400"/>
        <w:gridCol w:w="1400"/>
        <w:gridCol w:w="1800"/>
        <w:gridCol w:w="1800"/>
        <w:gridCol w:w="1760"/>
      </w:tblGrid>
      <w:tr>
        <w:trPr>
          <w:tblHeader/>
        </w:trPr>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Zona</w:t>
            </w:r>
          </w:p>
        </w:tc>
        <w:tc>
          <w:tcPr>
            <w:tcW w:type="dxa" w:w="14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κᵢ (s⁻¹)</w:t>
            </w:r>
          </w:p>
        </w:tc>
        <w:tc>
          <w:tcPr>
            <w:tcW w:type="dxa" w:w="14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μᵢ (Hz)</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σᵢᵢ (Hz/√s)</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Carga eólica (GW)</w:t>
            </w:r>
          </w:p>
        </w:tc>
        <w:tc>
          <w:tcPr>
            <w:tcW w:type="dxa" w:w="17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Δσ vs. 2021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Norte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6.82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−0.00214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0.01841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4.71 GW</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+ 34.2%</w:t>
            </w:r>
          </w:p>
        </w:tc>
      </w:tr>
      <w:tr>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Centro</w:t>
            </w:r>
          </w:p>
        </w:tc>
        <w:tc>
          <w:tcPr>
            <w:tcW w:type="dxa" w:w="1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9.14</w:t>
            </w:r>
          </w:p>
        </w:tc>
        <w:tc>
          <w:tcPr>
            <w:tcW w:type="dxa" w:w="1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−0.00098</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0.01203</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1.28 GW</w:t>
            </w:r>
          </w:p>
        </w:tc>
        <w:tc>
          <w:tcPr>
            <w:tcW w:type="dxa" w:w="1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+ 8.1%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Occidental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8.67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−0.00131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0.01341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2.18 GW</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+ 12.4%</w:t>
            </w:r>
          </w:p>
        </w:tc>
      </w:tr>
      <w:tr>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Sur-Sureste</w:t>
            </w:r>
          </w:p>
        </w:tc>
        <w:tc>
          <w:tcPr>
            <w:tcW w:type="dxa" w:w="1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10.23</w:t>
            </w:r>
          </w:p>
        </w:tc>
        <w:tc>
          <w:tcPr>
            <w:tcW w:type="dxa" w:w="1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−0.00072</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0.01094</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2.89 GW</w:t>
            </w:r>
          </w:p>
        </w:tc>
        <w:tc>
          <w:tcPr>
            <w:tcW w:type="dxa" w:w="1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+ 3.7%</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Baja California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7.91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−0.00089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0.01612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0.14 GW</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+ 21.8%</w:t>
            </w:r>
          </w:p>
        </w:tc>
      </w:tr>
    </w:tbl>
    <w:p>
      <w:pPr>
        <w:spacing w:after="320" w:before="80" w:line="380" w:lineRule="auto"/>
        <w:jc w:val="center"/>
      </w:pPr>
      <w:r>
        <w:rPr>
          <w:rFonts w:ascii="Arial" w:cs="Arial" w:eastAsia="Arial" w:hAnsi="Arial"/>
          <w:b w:val="false"/>
          <w:bCs w:val="false"/>
          <w:caps w:val="false"/>
          <w:color w:val="888888"/>
          <w:sz w:val="20"/>
          <w:szCs w:val="20"/>
        </w:rPr>
        <w:t xml:space="preserve">Tabla 1.3: Parámetros del proceso OU vectorial por zona de control SIN — calibración MLE 2022-2024. La zona Norte presenta la mayor volatilidad absoluta (σ = 0.01841 Hz/√s) como consecuencia directa de la expansión eólica del 34.2%.</w:t>
      </w:r>
    </w:p>
    <w:p>
      <w:pPr>
        <w:spacing w:after="200" w:before="0" w:line="380" w:lineRule="auto"/>
        <w:jc w:val="both"/>
      </w:pPr>
      <w:r>
        <w:rPr>
          <w:rFonts w:ascii="Arial" w:cs="Arial" w:eastAsia="Arial" w:hAnsi="Arial"/>
          <w:b w:val="false"/>
          <w:bCs w:val="false"/>
          <w:caps w:val="false"/>
          <w:color w:val="000000"/>
          <w:sz w:val="24"/>
          <w:szCs w:val="24"/>
        </w:rPr>
        <w:t xml:space="preserve">El incremento en volatilidad de la zona Norte (+34.2%) es consistente con la expectativa teórica: bajo el modelo lineal de la ecuación de oscilación, σ_Norte ∝ √(σ²_{eólico}/GW_convencional), de modo que duplicar la penetración eólica sin incrementar la inercia convencional aumenta la volatilidad en factor √2 ≈ 41.4%, aproximando bien el 34.2% observado (la diferencia se debe a la inercia virtual de los inversores de las turbinas eólicas modernas de doble alimentación).</w:t>
      </w:r>
    </w:p>
    <w:p>
      <w:pPr>
        <w:pStyle w:val="Heading3"/>
        <w:spacing w:after="140" w:before="280"/>
        <w:jc w:val="left"/>
      </w:pPr>
      <w:r>
        <w:rPr>
          <w:rFonts w:ascii="Arial" w:cs="Arial" w:eastAsia="Arial" w:hAnsi="Arial"/>
          <w:b/>
          <w:bCs/>
          <w:caps w:val="false"/>
          <w:color w:val="0D2B45"/>
          <w:sz w:val="24"/>
          <w:szCs w:val="24"/>
        </w:rPr>
        <w:t xml:space="preserve">1.7.3  La HJB Multizonal</w:t>
      </w:r>
    </w:p>
    <w:p>
      <w:pPr>
        <w:spacing w:after="200" w:before="0" w:line="380" w:lineRule="auto"/>
        <w:jc w:val="both"/>
      </w:pPr>
      <w:r>
        <w:rPr>
          <w:rFonts w:ascii="Arial" w:cs="Arial" w:eastAsia="Arial" w:hAnsi="Arial"/>
          <w:b w:val="false"/>
          <w:bCs w:val="false"/>
          <w:caps w:val="false"/>
          <w:color w:val="000000"/>
          <w:sz w:val="24"/>
          <w:szCs w:val="24"/>
        </w:rPr>
        <w:t xml:space="preserve">Con el estado extendido x = (Δf, ROCOF) = (Δf_N, ..., Δf_BC, ṙ_N, ..., ṙ_BC) ∈ ℝ^{10} y el vector de control u = (u_N, ..., u_BC)ᵀ ∈ ℝ⁵ (ajuste de potencia por zona), la HJB multizonal es:</w:t>
      </w:r>
    </w:p>
    <w:p>
      <w:pPr>
        <w:spacing w:after="240" w:before="240"/>
        <w:jc w:val="center"/>
      </w:pPr>
      <w:r>
        <w:rPr>
          <w:rFonts w:ascii="Cambria Math" w:cs="Cambria Math" w:eastAsia="Cambria Math" w:hAnsi="Cambria Math"/>
          <w:color w:val="0D2B45"/>
          <w:sz w:val="22"/>
          <w:szCs w:val="22"/>
        </w:rPr>
        <w:t xml:space="preserve">−∂V/∂t  =  min_{u ∈ U⁵} { Σᵢ (q_i Δfᵢ² + r_i uᵢ²)  +  (∇V)ᵀ f(x,u)  +  ½ Tr[ΣΣᵀ Hess(V)] }</w:t>
      </w:r>
    </w:p>
    <w:p>
      <w:pPr>
        <w:spacing w:after="200" w:before="0" w:line="380" w:lineRule="auto"/>
        <w:jc w:val="both"/>
      </w:pPr>
      <w:r>
        <w:rPr>
          <w:rFonts w:ascii="Arial" w:cs="Arial" w:eastAsia="Arial" w:hAnsi="Arial"/>
          <w:b w:val="false"/>
          <w:bCs w:val="false"/>
          <w:caps w:val="false"/>
          <w:color w:val="000000"/>
          <w:sz w:val="24"/>
          <w:szCs w:val="24"/>
        </w:rPr>
        <w:t xml:space="preserve">El término Tr[ΣΣᵀ Hess(V)] ahora involucra la matriz de covarianza completa Σ ∈ ℝ^{5×5}, capturando los efectos cruzados entre zonas. La implicación para el precio del contrato de regulación es que V_HJB^{zona Norte} &gt; V_HJB^{zona Centro} por la mayor volatilidad, y que los contratos de regulación en diferentes zonas tienen griegas cruzadas no nulas (el Vega cruzado ∂V_N/∂σ_{CC} &gt; 0) que reflejan el contagio de volatilidad entre zonas via los acoplamientos K_{ij}.</w:t>
      </w:r>
    </w:p>
    <w:p>
      <w:pPr>
        <w:spacing w:after="200" w:before="0" w:line="380" w:lineRule="auto"/>
        <w:jc w:val="both"/>
      </w:pPr>
      <w:r>
        <w:rPr>
          <w:rFonts w:ascii="Arial" w:cs="Arial" w:eastAsia="Arial" w:hAnsi="Arial"/>
          <w:b w:val="false"/>
          <w:bCs w:val="false"/>
          <w:caps w:val="false"/>
          <w:color w:val="000000"/>
          <w:sz w:val="24"/>
          <w:szCs w:val="24"/>
        </w:rPr>
        <w:t xml:space="preserve">Comparación del precio del contrato bajo modelos univariante vs. multizonal:</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200"/>
        <w:gridCol w:w="2160"/>
        <w:gridCol w:w="2160"/>
        <w:gridCol w:w="1440"/>
        <w:gridCol w:w="2400"/>
      </w:tblGrid>
      <w:tr>
        <w:trPr>
          <w:tblHeader/>
        </w:trPr>
        <w:tc>
          <w:tcPr>
            <w:tcW w:type="dxa" w:w="12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Zona</w:t>
            </w:r>
          </w:p>
        </w:tc>
        <w:tc>
          <w:tcPr>
            <w:tcW w:type="dxa" w:w="21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V_HJB univariante (MXN/MW-año)</w:t>
            </w:r>
          </w:p>
        </w:tc>
        <w:tc>
          <w:tcPr>
            <w:tcW w:type="dxa" w:w="21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V_HJB multizonal (MXN/MW-año)</w:t>
            </w:r>
          </w:p>
        </w:tc>
        <w:tc>
          <w:tcPr>
            <w:tcW w:type="dxa" w:w="144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Diferencia</w:t>
            </w:r>
          </w:p>
        </w:tc>
        <w:tc>
          <w:tcPr>
            <w:tcW w:type="dxa" w:w="24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Error del modelo escalar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Norte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2,395,000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2,748,300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+353,300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+14.8% — subestima (alta volatilidad propia)</w:t>
            </w:r>
          </w:p>
        </w:tc>
      </w:tr>
      <w:tr>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Centro</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2,395,000</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2,218,400</w:t>
            </w:r>
          </w:p>
        </w:tc>
        <w:tc>
          <w:tcPr>
            <w:tcW w:type="dxa" w:w="14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−176,600</w:t>
            </w:r>
          </w:p>
        </w:tc>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−7.4% — sobreestima (volatilidad compartida)</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Occidental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2,395,000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2,301,700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−93,300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−3.9% — sobreestima moderado</w:t>
            </w:r>
          </w:p>
        </w:tc>
      </w:tr>
      <w:tr>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Sur-Sureste</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2,395,000</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2,089,200</w:t>
            </w:r>
          </w:p>
        </w:tc>
        <w:tc>
          <w:tcPr>
            <w:tcW w:type="dxa" w:w="14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−305,800</w:t>
            </w:r>
          </w:p>
        </w:tc>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−12.8% — sobreestima (zona más estable)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Baja California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2,395,000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2,612,800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+217,800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+9.1% — subestima (desacoplada del SIN)</w:t>
            </w:r>
          </w:p>
        </w:tc>
      </w:tr>
    </w:tbl>
    <w:p>
      <w:pPr>
        <w:spacing w:after="320" w:before="80" w:line="380" w:lineRule="auto"/>
        <w:jc w:val="center"/>
      </w:pPr>
      <w:r>
        <w:rPr>
          <w:rFonts w:ascii="Arial" w:cs="Arial" w:eastAsia="Arial" w:hAnsi="Arial"/>
          <w:b w:val="false"/>
          <w:bCs w:val="false"/>
          <w:caps w:val="false"/>
          <w:color w:val="888888"/>
          <w:sz w:val="20"/>
          <w:szCs w:val="20"/>
        </w:rPr>
        <w:t xml:space="preserve">Tabla 1.4: Error de valoración del modelo escalar vs. modelo multizonal. El modelo univariante produce el mismo precio para todas las zonas (MXN 2,395,000/MW-año), enmascarando diferencias de hasta 32.6 puntos porcentuales entre las zonas más volátiles y las más estables.</w:t>
      </w:r>
    </w:p>
    <w:p>
      <w:pPr>
        <w:spacing w:after="0" w:before="0"/>
      </w:pPr>
      <w:r>
        <w:br/>
      </w:r>
    </w:p>
    <w:p>
      <w:pPr>
        <w:pStyle w:val="Heading1"/>
        <w:spacing w:after="280" w:before="600"/>
        <w:jc w:val="left"/>
      </w:pPr>
      <w:r>
        <w:rPr>
          <w:rFonts w:ascii="Arial" w:cs="Arial" w:eastAsia="Arial" w:hAnsi="Arial"/>
          <w:b/>
          <w:bCs/>
          <w:caps w:val="false"/>
          <w:color w:val="0D2B45"/>
          <w:sz w:val="34"/>
          <w:szCs w:val="34"/>
        </w:rPr>
        <w:t xml:space="preserve">Capítulo 2  El Servicio Ancilar como Opción Real Americana con Barrera</w:t>
      </w:r>
    </w:p>
    <w:p>
      <w:pPr>
        <w:pStyle w:val="Heading2"/>
        <w:spacing w:after="200" w:before="420"/>
        <w:jc w:val="left"/>
      </w:pPr>
      <w:r>
        <w:rPr>
          <w:rFonts w:ascii="Arial" w:cs="Arial" w:eastAsia="Arial" w:hAnsi="Arial"/>
          <w:b/>
          <w:bCs/>
          <w:caps w:val="false"/>
          <w:color w:val="0F6E56"/>
          <w:sz w:val="28"/>
          <w:szCs w:val="28"/>
        </w:rPr>
        <w:t xml:space="preserve">2.1  Introducción</w:t>
      </w:r>
    </w:p>
    <w:p>
      <w:pPr>
        <w:spacing w:after="200" w:before="0" w:line="380" w:lineRule="auto"/>
        <w:jc w:val="both"/>
      </w:pPr>
      <w:r>
        <w:rPr>
          <w:rFonts w:ascii="Arial" w:cs="Arial" w:eastAsia="Arial" w:hAnsi="Arial"/>
          <w:b w:val="false"/>
          <w:bCs w:val="false"/>
          <w:caps w:val="false"/>
          <w:color w:val="000000"/>
          <w:sz w:val="24"/>
          <w:szCs w:val="24"/>
        </w:rPr>
        <w:t xml:space="preserve">El Capítulo 1 estableció la equivalencia entre la HJB de control de red y la EDP de Black-Scholes. Este capítulo traduce esa equivalencia en un modelo de valoración concreto: el contrato de regulación de frecuencia como opción real americana con barrera inferior de extinción. La analogía es exacta: el operador del sistema tiene el derecho —ejercitable en cualquier momento τ ∈ [0,T]— de demandar hasta Ū MW de regulación cuando la desviación de frecuencia supera el umbral de la banda muerta NERC (±17 mHz), pero el contrato se extingue si la frecuencia cae por debajo de la barrera de colapso sistémico (−0.5 Hz).</w:t>
      </w:r>
    </w:p>
    <w:p>
      <w:pPr>
        <w:pStyle w:val="Heading2"/>
        <w:spacing w:after="200" w:before="420"/>
        <w:jc w:val="left"/>
      </w:pPr>
      <w:r>
        <w:rPr>
          <w:rFonts w:ascii="Arial" w:cs="Arial" w:eastAsia="Arial" w:hAnsi="Arial"/>
          <w:b/>
          <w:bCs/>
          <w:caps w:val="false"/>
          <w:color w:val="0F6E56"/>
          <w:sz w:val="28"/>
          <w:szCs w:val="28"/>
        </w:rPr>
        <w:t xml:space="preserve">2.2  Definición del Contrato</w:t>
      </w:r>
    </w:p>
    <w:p>
      <w:pPr>
        <w:spacing w:after="200" w:before="0" w:line="380" w:lineRule="auto"/>
        <w:jc w:val="both"/>
      </w:pPr>
      <w:r>
        <w:rPr>
          <w:rFonts w:ascii="Arial" w:cs="Arial" w:eastAsia="Arial" w:hAnsi="Arial"/>
          <w:b w:val="false"/>
          <w:bCs w:val="false"/>
          <w:caps w:val="false"/>
          <w:color w:val="000000"/>
          <w:sz w:val="24"/>
          <w:szCs w:val="24"/>
        </w:rPr>
        <w:t xml:space="preserve">Definición 2.1. Un contrato de regulación de frecuencia de capacidad Ū MW, duración T, en el mercado m es una opción real americana con barrera con las siguientes características estructurales:</w:t>
      </w:r>
    </w:p>
    <w:p>
      <w:pPr>
        <w:pStyle w:val="ListParagraph"/>
        <w:numPr>
          <w:ilvl w:val="0"/>
          <w:numId w:val="2"/>
        </w:numPr>
        <w:spacing w:after="60" w:before="40" w:line="340" w:lineRule="auto"/>
      </w:pPr>
      <w:r>
        <w:rPr>
          <w:rFonts w:ascii="Arial" w:cs="Arial" w:eastAsia="Arial" w:hAnsi="Arial"/>
          <w:b w:val="false"/>
          <w:bCs w:val="false"/>
          <w:caps w:val="false"/>
          <w:color w:val="000000"/>
          <w:sz w:val="24"/>
          <w:szCs w:val="24"/>
        </w:rPr>
        <w:t xml:space="preserve">Subyacente: Δf(t) ~ OU(κ,μ,σ_OU) calibrado en el mercado m.</w:t>
      </w:r>
    </w:p>
    <w:p>
      <w:pPr>
        <w:pStyle w:val="ListParagraph"/>
        <w:numPr>
          <w:ilvl w:val="0"/>
          <w:numId w:val="2"/>
        </w:numPr>
        <w:spacing w:after="60" w:before="40" w:line="340" w:lineRule="auto"/>
      </w:pPr>
      <w:r>
        <w:rPr>
          <w:rFonts w:ascii="Arial" w:cs="Arial" w:eastAsia="Arial" w:hAnsi="Arial"/>
          <w:b w:val="false"/>
          <w:bCs w:val="false"/>
          <w:caps w:val="false"/>
          <w:color w:val="000000"/>
          <w:sz w:val="24"/>
          <w:szCs w:val="24"/>
        </w:rPr>
        <w:t xml:space="preserve">Condición de activación (strike efectivo): |Δf(τ)| ≥ θ_db = 0.017 Hz ó |dΔf/dt| ≥ θ_ROCOF = 0.5 Hz/s.</w:t>
      </w:r>
    </w:p>
    <w:p>
      <w:pPr>
        <w:pStyle w:val="ListParagraph"/>
        <w:numPr>
          <w:ilvl w:val="0"/>
          <w:numId w:val="2"/>
        </w:numPr>
        <w:spacing w:after="60" w:before="40" w:line="340" w:lineRule="auto"/>
      </w:pPr>
      <w:r>
        <w:rPr>
          <w:rFonts w:ascii="Arial" w:cs="Arial" w:eastAsia="Arial" w:hAnsi="Arial"/>
          <w:b w:val="false"/>
          <w:bCs w:val="false"/>
          <w:caps w:val="false"/>
          <w:color w:val="000000"/>
          <w:sz w:val="24"/>
          <w:szCs w:val="24"/>
        </w:rPr>
        <w:t xml:space="preserve">Payoff de ejercicio: π(Δf,u) = c_ENS · Δf² · min(u, Ū) − c_opp · u².</w:t>
      </w:r>
    </w:p>
    <w:p>
      <w:pPr>
        <w:pStyle w:val="ListParagraph"/>
        <w:numPr>
          <w:ilvl w:val="0"/>
          <w:numId w:val="2"/>
        </w:numPr>
        <w:spacing w:after="60" w:before="40" w:line="340" w:lineRule="auto"/>
      </w:pPr>
      <w:r>
        <w:rPr>
          <w:rFonts w:ascii="Arial" w:cs="Arial" w:eastAsia="Arial" w:hAnsi="Arial"/>
          <w:b w:val="false"/>
          <w:bCs w:val="false"/>
          <w:caps w:val="false"/>
          <w:color w:val="000000"/>
          <w:sz w:val="24"/>
          <w:szCs w:val="24"/>
        </w:rPr>
        <w:t xml:space="preserve">Barrera de extinción: τ_b = inf{t : Δf(t) &lt; −θ_b}, con θ_b = 0.5 Hz (UFLS).</w:t>
      </w:r>
    </w:p>
    <w:p>
      <w:pPr>
        <w:pStyle w:val="ListParagraph"/>
        <w:numPr>
          <w:ilvl w:val="0"/>
          <w:numId w:val="2"/>
        </w:numPr>
        <w:spacing w:after="60" w:before="40" w:line="340" w:lineRule="auto"/>
      </w:pPr>
      <w:r>
        <w:rPr>
          <w:rFonts w:ascii="Arial" w:cs="Arial" w:eastAsia="Arial" w:hAnsi="Arial"/>
          <w:b w:val="false"/>
          <w:bCs w:val="false"/>
          <w:caps w:val="false"/>
          <w:color w:val="000000"/>
          <w:sz w:val="24"/>
          <w:szCs w:val="24"/>
        </w:rPr>
        <w:t xml:space="preserve">Prima a determinar: P* = V(Δf₀, 0; Ū, T) = precio libre de arbitraje.</w:t>
      </w:r>
    </w:p>
    <w:p>
      <w:pPr>
        <w:spacing w:after="200" w:before="0" w:line="380" w:lineRule="auto"/>
        <w:jc w:val="both"/>
      </w:pPr>
      <w:r>
        <w:rPr>
          <w:rFonts w:ascii="Arial" w:cs="Arial" w:eastAsia="Arial" w:hAnsi="Arial"/>
          <w:b w:val="false"/>
          <w:bCs w:val="false"/>
          <w:caps w:val="false"/>
          <w:color w:val="000000"/>
          <w:sz w:val="24"/>
          <w:szCs w:val="24"/>
        </w:rPr>
        <w:t xml:space="preserve">El precio satisface la desigualdad variacional parabólica:</w:t>
      </w:r>
    </w:p>
    <w:p>
      <w:pPr>
        <w:spacing w:after="240" w:before="240"/>
        <w:jc w:val="center"/>
      </w:pPr>
      <w:r>
        <w:rPr>
          <w:rFonts w:ascii="Cambria Math" w:cs="Cambria Math" w:eastAsia="Cambria Math" w:hAnsi="Cambria Math"/>
          <w:color w:val="0D2B45"/>
          <w:sz w:val="22"/>
          <w:szCs w:val="22"/>
        </w:rPr>
        <w:t xml:space="preserve">min { −∂V/∂t − L_OU[V] + r_f V − g(x),   V − h(x) }  =  0,    x &gt; −θ_b</w:t>
      </w:r>
    </w:p>
    <w:p>
      <w:pPr>
        <w:spacing w:after="240" w:before="240"/>
        <w:jc w:val="center"/>
      </w:pPr>
      <w:r>
        <w:rPr>
          <w:rFonts w:ascii="Cambria Math" w:cs="Cambria Math" w:eastAsia="Cambria Math" w:hAnsi="Cambria Math"/>
          <w:color w:val="0D2B45"/>
          <w:sz w:val="22"/>
          <w:szCs w:val="22"/>
        </w:rPr>
        <w:t xml:space="preserve">V(−θ_b, t) = 0    (absorción en la barrera)</w:t>
      </w:r>
    </w:p>
    <w:p>
      <w:pPr>
        <w:spacing w:after="240" w:before="240"/>
        <w:jc w:val="center"/>
      </w:pPr>
      <w:r>
        <w:rPr>
          <w:rFonts w:ascii="Cambria Math" w:cs="Cambria Math" w:eastAsia="Cambria Math" w:hAnsi="Cambria Math"/>
          <w:color w:val="0D2B45"/>
          <w:sz w:val="22"/>
          <w:szCs w:val="22"/>
        </w:rPr>
        <w:t xml:space="preserve">V(x, T) = 0       (sin valor al vencimiento)</w:t>
      </w:r>
    </w:p>
    <w:p>
      <w:pPr>
        <w:spacing w:after="200" w:before="0" w:line="380" w:lineRule="auto"/>
        <w:jc w:val="both"/>
      </w:pPr>
      <w:r>
        <w:rPr>
          <w:rFonts w:ascii="Arial" w:cs="Arial" w:eastAsia="Arial" w:hAnsi="Arial"/>
          <w:b w:val="false"/>
          <w:bCs w:val="false"/>
          <w:caps w:val="false"/>
          <w:color w:val="000000"/>
          <w:sz w:val="24"/>
          <w:szCs w:val="24"/>
        </w:rPr>
        <w:t xml:space="preserve">donde L_OU[V] = κ(μ−x)∂V/∂x + ½σ_OU² ∂²V/∂x², g(x) = c_ENS x² y h(x) = π(x, Ū).</w:t>
      </w:r>
    </w:p>
    <w:p>
      <w:pPr>
        <w:pStyle w:val="Heading2"/>
        <w:spacing w:after="200" w:before="420"/>
        <w:jc w:val="left"/>
      </w:pPr>
      <w:r>
        <w:rPr>
          <w:rFonts w:ascii="Arial" w:cs="Arial" w:eastAsia="Arial" w:hAnsi="Arial"/>
          <w:b/>
          <w:bCs/>
          <w:caps w:val="false"/>
          <w:color w:val="0F6E56"/>
          <w:sz w:val="28"/>
          <w:szCs w:val="28"/>
        </w:rPr>
        <w:t xml:space="preserve">2.3  La Frontera Libre y el Algoritmo PSOR</w:t>
      </w:r>
    </w:p>
    <w:p>
      <w:pPr>
        <w:spacing w:after="200" w:before="0" w:line="380" w:lineRule="auto"/>
        <w:jc w:val="both"/>
      </w:pPr>
      <w:r>
        <w:rPr>
          <w:rFonts w:ascii="Arial" w:cs="Arial" w:eastAsia="Arial" w:hAnsi="Arial"/>
          <w:b w:val="false"/>
          <w:bCs w:val="false"/>
          <w:caps w:val="false"/>
          <w:color w:val="000000"/>
          <w:sz w:val="24"/>
          <w:szCs w:val="24"/>
        </w:rPr>
        <w:t xml:space="preserve">La frontera libre x*(t) —umbral óptimo de intervención— separa la región de continuación C = {V &gt; h} de la región de ejercicio E = {V = h}. Se calcula mediante el algoritmo PSOR (Projected Successive Over-Relaxation) con esquema Crank-Nicolson sobre malla de N_x = 500 puntos en [−θ_b, θ_max] y N_t = 1,000 pasos en [0,T]:</w:t>
      </w:r>
    </w:p>
    <w:p>
      <w:pPr>
        <w:pStyle w:val="ListParagraph"/>
        <w:numPr>
          <w:ilvl w:val="0"/>
          <w:numId w:val="3"/>
        </w:numPr>
        <w:spacing w:after="60" w:before="40" w:line="340" w:lineRule="auto"/>
      </w:pPr>
      <w:r>
        <w:rPr>
          <w:rFonts w:ascii="Arial" w:cs="Arial" w:eastAsia="Arial" w:hAnsi="Arial"/>
          <w:b w:val="false"/>
          <w:bCs w:val="false"/>
          <w:caps w:val="false"/>
          <w:color w:val="000000"/>
          <w:sz w:val="24"/>
          <w:szCs w:val="24"/>
        </w:rPr>
        <w:t xml:space="preserve">Inicializar V^{N_t}(x_i) = 0 ∀i.</w:t>
      </w:r>
    </w:p>
    <w:p>
      <w:pPr>
        <w:pStyle w:val="ListParagraph"/>
        <w:numPr>
          <w:ilvl w:val="0"/>
          <w:numId w:val="3"/>
        </w:numPr>
        <w:spacing w:after="60" w:before="40" w:line="340" w:lineRule="auto"/>
      </w:pPr>
      <w:r>
        <w:rPr>
          <w:rFonts w:ascii="Arial" w:cs="Arial" w:eastAsia="Arial" w:hAnsi="Arial"/>
          <w:b w:val="false"/>
          <w:bCs w:val="false"/>
          <w:caps w:val="false"/>
          <w:color w:val="000000"/>
          <w:sz w:val="24"/>
          <w:szCs w:val="24"/>
        </w:rPr>
        <w:t xml:space="preserve">Retroceder en tiempo resolviendo el sistema implícito A·V^j = B·V^{j+1} + f en cada paso j.</w:t>
      </w:r>
    </w:p>
    <w:p>
      <w:pPr>
        <w:pStyle w:val="ListParagraph"/>
        <w:numPr>
          <w:ilvl w:val="0"/>
          <w:numId w:val="3"/>
        </w:numPr>
        <w:spacing w:after="60" w:before="40" w:line="340" w:lineRule="auto"/>
      </w:pPr>
      <w:r>
        <w:rPr>
          <w:rFonts w:ascii="Arial" w:cs="Arial" w:eastAsia="Arial" w:hAnsi="Arial"/>
          <w:b w:val="false"/>
          <w:bCs w:val="false"/>
          <w:caps w:val="false"/>
          <w:color w:val="000000"/>
          <w:sz w:val="24"/>
          <w:szCs w:val="24"/>
        </w:rPr>
        <w:t xml:space="preserve">Proyectar: V^j(x_i) ← max(V^j(x_i), h(x_i)).</w:t>
      </w:r>
    </w:p>
    <w:p>
      <w:pPr>
        <w:pStyle w:val="ListParagraph"/>
        <w:numPr>
          <w:ilvl w:val="0"/>
          <w:numId w:val="3"/>
        </w:numPr>
        <w:spacing w:after="60" w:before="40" w:line="340" w:lineRule="auto"/>
      </w:pPr>
      <w:r>
        <w:rPr>
          <w:rFonts w:ascii="Arial" w:cs="Arial" w:eastAsia="Arial" w:hAnsi="Arial"/>
          <w:b w:val="false"/>
          <w:bCs w:val="false"/>
          <w:caps w:val="false"/>
          <w:color w:val="000000"/>
          <w:sz w:val="24"/>
          <w:szCs w:val="24"/>
        </w:rPr>
        <w:t xml:space="preserve">Identificar x*(t_j) = min{x_i : V^j(x_i) = h(x_i)}.</w:t>
      </w:r>
    </w:p>
    <w:p>
      <w:pPr>
        <w:spacing w:after="200" w:before="0" w:line="380" w:lineRule="auto"/>
        <w:jc w:val="both"/>
      </w:pPr>
      <w:r>
        <w:rPr>
          <w:rFonts w:ascii="Arial" w:cs="Arial" w:eastAsia="Arial" w:hAnsi="Arial"/>
          <w:b w:val="false"/>
          <w:bCs w:val="false"/>
          <w:caps w:val="false"/>
          <w:color w:val="000000"/>
          <w:sz w:val="24"/>
          <w:szCs w:val="24"/>
        </w:rPr>
        <w:t xml:space="preserve">Para los parámetros CENACE calibrados (r_f = 0.115, c_ENS = 2,840 $/Hz²·h, c_opp = 85 $/MW²·h, T = 1 año), la frontera libre en t = 0 es x*(0) ≈ −0.024 Hz. Esto significa que el regulador óptimo interviene cuando la desviación supera 24 mHz —apenas por encima de la banda muerta NERC de 17 mHz— y aumenta su propensión a intervenir conforme se aproxima el vencimiento del contrato (efecto time-to-expiry), análogamente al ejercicio anticipado de una put americana.</w:t>
      </w:r>
    </w:p>
    <w:p>
      <w:pPr>
        <w:pStyle w:val="Heading2"/>
        <w:spacing w:after="200" w:before="420"/>
        <w:jc w:val="left"/>
      </w:pPr>
      <w:r>
        <w:rPr>
          <w:rFonts w:ascii="Arial" w:cs="Arial" w:eastAsia="Arial" w:hAnsi="Arial"/>
          <w:b/>
          <w:bCs/>
          <w:caps w:val="false"/>
          <w:color w:val="0F6E56"/>
          <w:sz w:val="28"/>
          <w:szCs w:val="28"/>
        </w:rPr>
        <w:t xml:space="preserve">2.4  Descomposición del Precio</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700"/>
        <w:gridCol w:w="1800"/>
        <w:gridCol w:w="1200"/>
        <w:gridCol w:w="3660"/>
      </w:tblGrid>
      <w:tr>
        <w:trPr>
          <w:tblHeader/>
        </w:trPr>
        <w:tc>
          <w:tcPr>
            <w:tcW w:type="dxa" w:w="27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Componente</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MXN/MW-año</w:t>
            </w:r>
          </w:p>
        </w:tc>
        <w:tc>
          <w:tcPr>
            <w:tcW w:type="dxa" w:w="12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 del Total</w:t>
            </w:r>
          </w:p>
        </w:tc>
        <w:tc>
          <w:tcPr>
            <w:tcW w:type="dxa" w:w="36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Descripción</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Valor base (Black-Scholes OU)</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1,247,800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52.1%</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Sin restricciones físicas</w:t>
            </w:r>
          </w:p>
        </w:tc>
      </w:tr>
      <w:tr>
        <w:tc>
          <w:tcPr>
            <w:tcW w:type="dxa" w:w="27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Prima de Control Óptimo (PCO)</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387,200</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16.2%</w:t>
            </w:r>
          </w:p>
        </w:tc>
        <w:tc>
          <w:tcPr>
            <w:tcW w:type="dxa" w:w="36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Restricciones ±50 MW</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Prima de barrera inferior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291,500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12.2%</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Riesgo de extinción UFLS</w:t>
            </w:r>
          </w:p>
        </w:tc>
      </w:tr>
      <w:tr>
        <w:tc>
          <w:tcPr>
            <w:tcW w:type="dxa" w:w="27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Ajuste precio de riesgo (λ &lt; 0)</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−108,300</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−4.5%</w:t>
            </w:r>
          </w:p>
        </w:tc>
        <w:tc>
          <w:tcPr>
            <w:tcW w:type="dxa" w:w="36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Mercado incompleto</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Prima de liquidez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576,800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24.1%</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Mercado bilateral</w:t>
            </w:r>
          </w:p>
        </w:tc>
      </w:tr>
      <w:tr>
        <w:tc>
          <w:tcPr>
            <w:tcW w:type="dxa" w:w="27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PRECIO TOTAL V_HJB</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2,395,000</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100%</w:t>
            </w:r>
          </w:p>
        </w:tc>
        <w:tc>
          <w:tcPr>
            <w:tcW w:type="dxa" w:w="36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Precio equilibrio</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TARIFA CRE ACTUAL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1,424,000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59.5%</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Referencia regulada</w:t>
            </w:r>
          </w:p>
        </w:tc>
      </w:tr>
      <w:tr>
        <w:tc>
          <w:tcPr>
            <w:tcW w:type="dxa" w:w="27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BRECHA DE VALORACIÓN</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971,000</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40.5%</w:t>
            </w:r>
          </w:p>
        </w:tc>
        <w:tc>
          <w:tcPr>
            <w:tcW w:type="dxa" w:w="36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Subvaloración estimada</w:t>
            </w:r>
          </w:p>
        </w:tc>
      </w:tr>
    </w:tbl>
    <w:p>
      <w:pPr>
        <w:spacing w:after="320" w:before="80" w:line="380" w:lineRule="auto"/>
        <w:jc w:val="center"/>
      </w:pPr>
      <w:r>
        <w:rPr>
          <w:rFonts w:ascii="Arial" w:cs="Arial" w:eastAsia="Arial" w:hAnsi="Arial"/>
          <w:b w:val="false"/>
          <w:bCs w:val="false"/>
          <w:caps w:val="false"/>
          <w:color w:val="888888"/>
          <w:sz w:val="20"/>
          <w:szCs w:val="20"/>
        </w:rPr>
        <w:t xml:space="preserve">Tabla 2.1: Descomposición del precio V_HJB — contrato de regulación VZA-400, 100 MW, 1 año.</w:t>
      </w:r>
    </w:p>
    <w:p>
      <w:pPr>
        <w:pStyle w:val="Heading2"/>
        <w:spacing w:after="200" w:before="420"/>
        <w:jc w:val="left"/>
      </w:pPr>
      <w:r>
        <w:rPr>
          <w:rFonts w:ascii="Arial" w:cs="Arial" w:eastAsia="Arial" w:hAnsi="Arial"/>
          <w:b/>
          <w:bCs/>
          <w:caps w:val="false"/>
          <w:color w:val="0F6E56"/>
          <w:sz w:val="28"/>
          <w:szCs w:val="28"/>
        </w:rPr>
        <w:t xml:space="preserve">2.5  Las 'Griegas' del Contrato de Regulación</w:t>
      </w:r>
    </w:p>
    <w:p>
      <w:pPr>
        <w:spacing w:after="200" w:before="0" w:line="380" w:lineRule="auto"/>
        <w:jc w:val="both"/>
      </w:pPr>
      <w:r>
        <w:rPr>
          <w:rFonts w:ascii="Arial" w:cs="Arial" w:eastAsia="Arial" w:hAnsi="Arial"/>
          <w:b w:val="false"/>
          <w:bCs w:val="false"/>
          <w:caps w:val="false"/>
          <w:color w:val="000000"/>
          <w:sz w:val="24"/>
          <w:szCs w:val="24"/>
        </w:rPr>
        <w:t xml:space="preserve">Las sensibilidades de primer y segundo orden del precio respecto a los parámetros de mercado cuantifican el riesgo financiero del contrato de regulación. Su interpretación es directamente análoga a la de las griegas de opciones financieras estándar:</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440"/>
        <w:gridCol w:w="2160"/>
        <w:gridCol w:w="1800"/>
        <w:gridCol w:w="4000"/>
      </w:tblGrid>
      <w:tr>
        <w:trPr>
          <w:tblHeader/>
        </w:trPr>
        <w:tc>
          <w:tcPr>
            <w:tcW w:type="dxa" w:w="144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Griega</w:t>
            </w:r>
          </w:p>
        </w:tc>
        <w:tc>
          <w:tcPr>
            <w:tcW w:type="dxa" w:w="21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Definición formal</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Estimación</w:t>
            </w:r>
          </w:p>
        </w:tc>
        <w:tc>
          <w:tcPr>
            <w:tcW w:type="dxa" w:w="40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Interpretación operativa</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Delta (Δ)</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∂V/∂(Δf)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18,420 $/Hz</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Exposición al nivel de frecuencia</w:t>
            </w:r>
          </w:p>
        </w:tc>
      </w:tr>
      <w:tr>
        <w:tc>
          <w:tcPr>
            <w:tcW w:type="dxa" w:w="14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Gamma (Γ)</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∂²V/∂(Δf)²</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8,940 $/Hz²</w:t>
            </w:r>
          </w:p>
        </w:tc>
        <w:tc>
          <w:tcPr>
            <w:tcW w:type="dxa" w:w="4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Convexidad — valor de la opcionalidad</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Vega (ν)</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∂V/∂σ_OU</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124,600 $/vol-unit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Sensibilidad a la volatilidad</w:t>
            </w:r>
          </w:p>
        </w:tc>
      </w:tr>
      <w:tr>
        <w:tc>
          <w:tcPr>
            <w:tcW w:type="dxa" w:w="14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Theta (Θ)</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∂V/∂t</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−4,280 $/día</w:t>
            </w:r>
          </w:p>
        </w:tc>
        <w:tc>
          <w:tcPr>
            <w:tcW w:type="dxa" w:w="4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Decaimiento temporal</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Kappa (K)</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∂V/∂κ</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−89,300 $/κ-unit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Sensibilidad a reversión a media</w:t>
            </w:r>
          </w:p>
        </w:tc>
      </w:tr>
      <w:tr>
        <w:tc>
          <w:tcPr>
            <w:tcW w:type="dxa" w:w="14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Rho (ρ)</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∂V/∂r_f</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−31,200 $/r-unit</w:t>
            </w:r>
          </w:p>
        </w:tc>
        <w:tc>
          <w:tcPr>
            <w:tcW w:type="dxa" w:w="4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Sensibilidad a la tasa de descuento</w:t>
            </w:r>
          </w:p>
        </w:tc>
      </w:tr>
    </w:tbl>
    <w:p>
      <w:pPr>
        <w:spacing w:after="320" w:before="80" w:line="380" w:lineRule="auto"/>
        <w:jc w:val="center"/>
      </w:pPr>
      <w:r>
        <w:rPr>
          <w:rFonts w:ascii="Arial" w:cs="Arial" w:eastAsia="Arial" w:hAnsi="Arial"/>
          <w:b w:val="false"/>
          <w:bCs w:val="false"/>
          <w:caps w:val="false"/>
          <w:color w:val="888888"/>
          <w:sz w:val="20"/>
          <w:szCs w:val="20"/>
        </w:rPr>
        <w:t xml:space="preserve">Tabla 2.2: Griegas del contrato de regulación VZA-400 — cálculo numérico por diferencias finitas sobre la solución HJB.</w:t>
      </w:r>
    </w:p>
    <w:p>
      <w:pPr>
        <w:spacing w:after="200" w:before="0" w:line="380" w:lineRule="auto"/>
        <w:jc w:val="both"/>
      </w:pPr>
      <w:r>
        <w:rPr>
          <w:rFonts w:ascii="Arial" w:cs="Arial" w:eastAsia="Arial" w:hAnsi="Arial"/>
          <w:b w:val="false"/>
          <w:bCs w:val="false"/>
          <w:caps w:val="false"/>
          <w:color w:val="000000"/>
          <w:sz w:val="24"/>
          <w:szCs w:val="24"/>
        </w:rPr>
        <w:t xml:space="preserve">El Gamma positivo (Γ = +8,940 $/Hz²) es el hallazgo más relevante para el diseño de mercados: el valor del contrato es una función convexa de la desviación de frecuencia. Esta convexidad implica que el valor del servicio de regulación crece de manera no lineal con la volatilidad del subyacente —exactamente lo que el mercado de opciones cobra como vega— y que las tarifas fijas actuales de la CRE, al ignorar el nivel corriente de σ_OU, generan precios sistemáticamente incorrectos.</w:t>
      </w:r>
    </w:p>
    <w:p>
      <w:pPr>
        <w:pStyle w:val="Heading2"/>
        <w:spacing w:after="200" w:before="420"/>
        <w:jc w:val="left"/>
      </w:pPr>
      <w:r>
        <w:rPr>
          <w:rFonts w:ascii="Arial" w:cs="Arial" w:eastAsia="Arial" w:hAnsi="Arial"/>
          <w:b/>
          <w:bCs/>
          <w:caps w:val="false"/>
          <w:color w:val="0F6E56"/>
          <w:sz w:val="28"/>
          <w:szCs w:val="28"/>
        </w:rPr>
        <w:t xml:space="preserve">2.6  Complementariedades Estratégicas entre Servicios Ancilares</w:t>
      </w:r>
    </w:p>
    <w:p>
      <w:pPr>
        <w:pStyle w:val="Heading3"/>
        <w:spacing w:after="140" w:before="280"/>
        <w:jc w:val="left"/>
      </w:pPr>
      <w:r>
        <w:rPr>
          <w:rFonts w:ascii="Arial" w:cs="Arial" w:eastAsia="Arial" w:hAnsi="Arial"/>
          <w:b/>
          <w:bCs/>
          <w:caps w:val="false"/>
          <w:color w:val="0D2B45"/>
          <w:sz w:val="24"/>
          <w:szCs w:val="24"/>
        </w:rPr>
        <w:t xml:space="preserve">2.6.1  El Problema de Bundling</w:t>
      </w:r>
    </w:p>
    <w:p>
      <w:pPr>
        <w:spacing w:after="200" w:before="0" w:line="380" w:lineRule="auto"/>
        <w:jc w:val="both"/>
      </w:pPr>
      <w:r>
        <w:rPr>
          <w:rFonts w:ascii="Arial" w:cs="Arial" w:eastAsia="Arial" w:hAnsi="Arial"/>
          <w:b w:val="false"/>
          <w:bCs w:val="false"/>
          <w:caps w:val="false"/>
          <w:color w:val="000000"/>
          <w:sz w:val="24"/>
          <w:szCs w:val="24"/>
        </w:rPr>
        <w:t xml:space="preserve">El análisis de los Capítulos 2.1–2.5 valora el servicio de regulación de frecuencia AGC en aislamiento. Esta abstracción es costosa: en la práctica, el mismo activo físico —un BESS, un ciclo combinado flexible, o un agregador de demanda industrial— puede proveer simultáneamente cuatro servicios ancilares distintos, sujeto a una restricción de capacidad compartida. Los cuatro servicios y sus características en el MEM mexicano son:</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760"/>
        <w:gridCol w:w="900"/>
        <w:gridCol w:w="1800"/>
        <w:gridCol w:w="1440"/>
        <w:gridCol w:w="2460"/>
      </w:tblGrid>
      <w:tr>
        <w:trPr>
          <w:tblHeader/>
        </w:trPr>
        <w:tc>
          <w:tcPr>
            <w:tcW w:type="dxa" w:w="27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Servicio ancilar</w:t>
            </w:r>
          </w:p>
        </w:tc>
        <w:tc>
          <w:tcPr>
            <w:tcW w:type="dxa" w:w="9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Abrev.</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Tiempo de respuesta</w:t>
            </w:r>
          </w:p>
        </w:tc>
        <w:tc>
          <w:tcPr>
            <w:tcW w:type="dxa" w:w="144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Duración típica</w:t>
            </w:r>
          </w:p>
        </w:tc>
        <w:tc>
          <w:tcPr>
            <w:tcW w:type="dxa" w:w="24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Tarifa CRE actual (MXN/MW)</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Regulación frecuencia secundaria (AGC)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RFS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4–30 segundos</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Continua</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1,424,000/año</w:t>
            </w:r>
          </w:p>
        </w:tc>
      </w:tr>
      <w:tr>
        <w:tc>
          <w:tcPr>
            <w:tcW w:type="dxa" w:w="2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Reserva rodante sincronizada</w:t>
            </w:r>
          </w:p>
        </w:tc>
        <w:tc>
          <w:tcPr>
            <w:tcW w:type="dxa" w:w="9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RRS</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10 minutos</w:t>
            </w:r>
          </w:p>
        </w:tc>
        <w:tc>
          <w:tcPr>
            <w:tcW w:type="dxa" w:w="14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2–4 horas</w:t>
            </w:r>
          </w:p>
        </w:tc>
        <w:tc>
          <w:tcPr>
            <w:tcW w:type="dxa" w:w="24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841,000/año</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Reserva no rodante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RNR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30 minutos</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2–4 horas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312,000/año</w:t>
            </w:r>
          </w:p>
        </w:tc>
      </w:tr>
      <w:tr>
        <w:tc>
          <w:tcPr>
            <w:tcW w:type="dxa" w:w="2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Regulación de voltaje (potencia reactiva)</w:t>
            </w:r>
          </w:p>
        </w:tc>
        <w:tc>
          <w:tcPr>
            <w:tcW w:type="dxa" w:w="9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RV</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Segundos</w:t>
            </w:r>
          </w:p>
        </w:tc>
        <w:tc>
          <w:tcPr>
            <w:tcW w:type="dxa" w:w="14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Continua</w:t>
            </w:r>
          </w:p>
        </w:tc>
        <w:tc>
          <w:tcPr>
            <w:tcW w:type="dxa" w:w="24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No tarificada explícitamente</w:t>
            </w:r>
          </w:p>
        </w:tc>
      </w:tr>
    </w:tbl>
    <w:p>
      <w:pPr>
        <w:spacing w:after="320" w:before="80" w:line="380" w:lineRule="auto"/>
        <w:jc w:val="center"/>
      </w:pPr>
      <w:r>
        <w:rPr>
          <w:rFonts w:ascii="Arial" w:cs="Arial" w:eastAsia="Arial" w:hAnsi="Arial"/>
          <w:b w:val="false"/>
          <w:bCs w:val="false"/>
          <w:caps w:val="false"/>
          <w:color w:val="888888"/>
          <w:sz w:val="20"/>
          <w:szCs w:val="20"/>
        </w:rPr>
        <w:t xml:space="preserve">Tabla 2.3: Servicios ancilares del MEM mexicano y sus características. La regulación de voltaje (RV) no tiene tarifa explícita en la CRE — otro síntoma del diseño tarifario incompleto.</w:t>
      </w:r>
    </w:p>
    <w:p>
      <w:pPr>
        <w:spacing w:after="200" w:before="0" w:line="380" w:lineRule="auto"/>
        <w:jc w:val="both"/>
      </w:pPr>
      <w:r>
        <w:rPr>
          <w:rFonts w:ascii="Arial" w:cs="Arial" w:eastAsia="Arial" w:hAnsi="Arial"/>
          <w:b w:val="false"/>
          <w:bCs w:val="false"/>
          <w:caps w:val="false"/>
          <w:color w:val="000000"/>
          <w:sz w:val="24"/>
          <w:szCs w:val="24"/>
        </w:rPr>
        <w:t xml:space="preserve">La restricción de capacidad compartida es: Σⱼ uⱼ(t) ≤ Ū para todo t, donde uⱼ es la potencia asignada al servicio j y Ū es la capacidad total del activo. Esta restricción crea una complementariedad estratégica entre servicios: el valor de tener capacidad de regulación de frecuencia (AGC) depende de cuánta capacidad esté comprometida simultáneamente con reservas rodantes.</w:t>
      </w:r>
    </w:p>
    <w:p>
      <w:pPr>
        <w:pStyle w:val="Heading3"/>
        <w:spacing w:after="140" w:before="280"/>
        <w:jc w:val="left"/>
      </w:pPr>
      <w:r>
        <w:rPr>
          <w:rFonts w:ascii="Arial" w:cs="Arial" w:eastAsia="Arial" w:hAnsi="Arial"/>
          <w:b/>
          <w:bCs/>
          <w:caps w:val="false"/>
          <w:color w:val="0D2B45"/>
          <w:sz w:val="24"/>
          <w:szCs w:val="24"/>
        </w:rPr>
        <w:t xml:space="preserve">2.6.2  La Función de Valor Conjunta — HJB de Bundling</w:t>
      </w:r>
    </w:p>
    <w:p>
      <w:pPr>
        <w:spacing w:after="200" w:before="0" w:line="380" w:lineRule="auto"/>
        <w:jc w:val="both"/>
      </w:pPr>
      <w:r>
        <w:rPr>
          <w:rFonts w:ascii="Arial" w:cs="Arial" w:eastAsia="Arial" w:hAnsi="Arial"/>
          <w:b w:val="false"/>
          <w:bCs w:val="false"/>
          <w:caps w:val="false"/>
          <w:color w:val="000000"/>
          <w:sz w:val="24"/>
          <w:szCs w:val="24"/>
        </w:rPr>
        <w:t xml:space="preserve">Sea u = (u_AGC, u_RRS, u_RNR, u_RV)ᵀ el vector de control multi-servicio sujeto a Σⱼ |uⱼ| ≤ Ū. La función de valor conjunta V_bundle(x, t) satisface la HJB con restricción de capacidad compartida:</w:t>
      </w:r>
    </w:p>
    <w:p>
      <w:pPr>
        <w:spacing w:after="240" w:before="240"/>
        <w:jc w:val="center"/>
      </w:pPr>
      <w:r>
        <w:rPr>
          <w:rFonts w:ascii="Cambria Math" w:cs="Cambria Math" w:eastAsia="Cambria Math" w:hAnsi="Cambria Math"/>
          <w:color w:val="0D2B45"/>
          <w:sz w:val="22"/>
          <w:szCs w:val="22"/>
        </w:rPr>
        <w:t xml:space="preserve">−∂V_bundle/∂t  =  min_{u: Σ|uⱼ|≤Ū} { Σⱼ Lⱼ(x, uⱼ)  +  (∇V)ᵀ f(x,u)  +  ½ σ² V_xx }</w:t>
      </w:r>
    </w:p>
    <w:p>
      <w:pPr>
        <w:spacing w:after="200" w:before="0" w:line="380" w:lineRule="auto"/>
        <w:jc w:val="both"/>
      </w:pPr>
      <w:r>
        <w:rPr>
          <w:rFonts w:ascii="Arial" w:cs="Arial" w:eastAsia="Arial" w:hAnsi="Arial"/>
          <w:b w:val="false"/>
          <w:bCs w:val="false"/>
          <w:caps w:val="false"/>
          <w:color w:val="000000"/>
          <w:sz w:val="24"/>
          <w:szCs w:val="24"/>
        </w:rPr>
        <w:t xml:space="preserve">El costo Lⱼ(x, uⱼ) = qⱼ xⱼ² + rⱼ uⱼ² penaliza la desviación del estado relevante para cada servicio: xⱼ = Δf para AGC y RRS, xⱼ = ΔV (desviación de voltaje) para RV, y xⱼ = ΔP_reserva para RNR.</w:t>
      </w:r>
    </w:p>
    <w:p>
      <w:pPr>
        <w:spacing w:after="200" w:before="0" w:line="380" w:lineRule="auto"/>
        <w:jc w:val="both"/>
      </w:pPr>
      <w:r>
        <w:rPr>
          <w:rFonts w:ascii="Arial" w:cs="Arial" w:eastAsia="Arial" w:hAnsi="Arial"/>
          <w:b w:val="false"/>
          <w:bCs w:val="false"/>
          <w:caps w:val="false"/>
          <w:color w:val="000000"/>
          <w:sz w:val="24"/>
          <w:szCs w:val="24"/>
        </w:rPr>
        <w:t xml:space="preserve">La condición de optimalidad del control multi-servicio bajo la restricción de capacidad compartida es un problema de Lagrange con multiplicador λ* (precio sombra de la capacidad):</w:t>
      </w:r>
    </w:p>
    <w:p>
      <w:pPr>
        <w:spacing w:after="240" w:before="240"/>
        <w:jc w:val="center"/>
      </w:pPr>
      <w:r>
        <w:rPr>
          <w:rFonts w:ascii="Cambria Math" w:cs="Cambria Math" w:eastAsia="Cambria Math" w:hAnsi="Cambria Math"/>
          <w:color w:val="0D2B45"/>
          <w:sz w:val="22"/>
          <w:szCs w:val="22"/>
        </w:rPr>
        <w:t xml:space="preserve">uⱼ*(x,t)  =  max(0, −∂Lⱼ/∂uⱼ / (2rⱼ)  −  λ* / (2rⱼ))    ∀j</w:t>
      </w:r>
    </w:p>
    <w:p>
      <w:pPr>
        <w:spacing w:after="240" w:before="240"/>
        <w:jc w:val="center"/>
      </w:pPr>
      <w:r>
        <w:rPr>
          <w:rFonts w:ascii="Cambria Math" w:cs="Cambria Math" w:eastAsia="Cambria Math" w:hAnsi="Cambria Math"/>
          <w:color w:val="0D2B45"/>
          <w:sz w:val="22"/>
          <w:szCs w:val="22"/>
        </w:rPr>
        <w:t xml:space="preserve">λ*  :  Σⱼ uⱼ*(λ*)  =  Ū    (complementary slackness)</w:t>
      </w:r>
    </w:p>
    <w:p>
      <w:pPr>
        <w:spacing w:after="200" w:before="0" w:line="380" w:lineRule="auto"/>
        <w:jc w:val="both"/>
      </w:pPr>
      <w:r>
        <w:rPr>
          <w:rFonts w:ascii="Arial" w:cs="Arial" w:eastAsia="Arial" w:hAnsi="Arial"/>
          <w:b w:val="false"/>
          <w:bCs w:val="false"/>
          <w:caps w:val="false"/>
          <w:color w:val="000000"/>
          <w:sz w:val="24"/>
          <w:szCs w:val="24"/>
        </w:rPr>
        <w:t xml:space="preserve">El multiplicador λ* es el precio implícito de la capacidad comprometida — exactamente el concepto de precio de reserva que el Capítulo 4 introduce para el mecanismo de subasta. La novedad es que λ* ahora determina la asignación óptima de la misma capacidad entre cuatro servicios simultáneos, y su valor de mercado es la suma de los cuatro valores HJB individuales menos las externalidades negativas de la restricción compartida.</w:t>
      </w:r>
    </w:p>
    <w:p>
      <w:pPr>
        <w:pStyle w:val="Heading3"/>
        <w:spacing w:after="140" w:before="280"/>
        <w:jc w:val="left"/>
      </w:pPr>
      <w:r>
        <w:rPr>
          <w:rFonts w:ascii="Arial" w:cs="Arial" w:eastAsia="Arial" w:hAnsi="Arial"/>
          <w:b/>
          <w:bCs/>
          <w:caps w:val="false"/>
          <w:color w:val="0D2B45"/>
          <w:sz w:val="24"/>
          <w:szCs w:val="24"/>
        </w:rPr>
        <w:t xml:space="preserve">2.6.3  La Prima de Bundling y la Supermodularidad</w:t>
      </w:r>
    </w:p>
    <w:p>
      <w:pPr>
        <w:spacing w:after="200" w:before="0" w:line="380" w:lineRule="auto"/>
        <w:jc w:val="both"/>
      </w:pPr>
      <w:r>
        <w:rPr>
          <w:rFonts w:ascii="Arial" w:cs="Arial" w:eastAsia="Arial" w:hAnsi="Arial"/>
          <w:b w:val="false"/>
          <w:bCs w:val="false"/>
          <w:caps w:val="false"/>
          <w:color w:val="000000"/>
          <w:sz w:val="24"/>
          <w:szCs w:val="24"/>
        </w:rPr>
        <w:t xml:space="preserve">Definición 2.3. La Prima de Bundling (PB) es la diferencia entre el valor conjunto del bundle y la suma de los valores individuales de cada servicio:</w:t>
      </w:r>
    </w:p>
    <w:p>
      <w:pPr>
        <w:spacing w:after="240" w:before="240"/>
        <w:jc w:val="center"/>
      </w:pPr>
      <w:r>
        <w:rPr>
          <w:rFonts w:ascii="Cambria Math" w:cs="Cambria Math" w:eastAsia="Cambria Math" w:hAnsi="Cambria Math"/>
          <w:color w:val="0D2B45"/>
          <w:sz w:val="22"/>
          <w:szCs w:val="22"/>
        </w:rPr>
        <w:t xml:space="preserve">PB(x,t)  =  V_bundle(x,t)  −  Σⱼ V_j(x,t)</w:t>
      </w:r>
    </w:p>
    <w:p>
      <w:pPr>
        <w:spacing w:after="200" w:before="0" w:line="380" w:lineRule="auto"/>
        <w:jc w:val="both"/>
      </w:pPr>
      <w:r>
        <w:rPr>
          <w:rFonts w:ascii="Arial" w:cs="Arial" w:eastAsia="Arial" w:hAnsi="Arial"/>
          <w:b w:val="false"/>
          <w:bCs w:val="false"/>
          <w:caps w:val="false"/>
          <w:color w:val="000000"/>
          <w:sz w:val="24"/>
          <w:szCs w:val="24"/>
        </w:rPr>
        <w:t xml:space="preserve">Para verificar el signo de PB, se aplica el Teorema de Topkis (1998): si la función de valor V_bundle es supermodular en u —es decir, ∂²V_bundle/∂uᵢ∂uⱼ ≥ 0 para i ≠ j— entonces los servicios son complementos estratégicos y PB &gt; 0. La supermodularidad se verifica cuando la provisión de un servicio reduce el costo marginal de proveer otro: proveer regulación de frecuencia (AGC) mientras el activo está en línea como reserva rodante (RRS) es más barato que proveer AGC desde un activo apagado, porque el costo de arranque ya fue pagado por la RRS.</w:t>
      </w:r>
    </w:p>
    <w:p>
      <w:pPr>
        <w:spacing w:after="200" w:before="0" w:line="380" w:lineRule="auto"/>
        <w:jc w:val="both"/>
      </w:pPr>
      <w:r>
        <w:rPr>
          <w:rFonts w:ascii="Arial" w:cs="Arial" w:eastAsia="Arial" w:hAnsi="Arial"/>
          <w:b w:val="false"/>
          <w:bCs w:val="false"/>
          <w:caps w:val="false"/>
          <w:color w:val="000000"/>
          <w:sz w:val="24"/>
          <w:szCs w:val="24"/>
        </w:rPr>
        <w:t xml:space="preserve">Estimación numérica de la Prima de Bundling para el nodo VZA-400, usando los cuatro servicios simultáneamente con Ū = 100 MW:</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000"/>
        <w:gridCol w:w="2000"/>
        <w:gridCol w:w="1440"/>
        <w:gridCol w:w="3920"/>
      </w:tblGrid>
      <w:tr>
        <w:trPr>
          <w:tblHeader/>
        </w:trPr>
        <w:tc>
          <w:tcPr>
            <w:tcW w:type="dxa" w:w="30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Componente</w:t>
            </w:r>
          </w:p>
        </w:tc>
        <w:tc>
          <w:tcPr>
            <w:tcW w:type="dxa" w:w="20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MXN/MW-año</w:t>
            </w:r>
          </w:p>
        </w:tc>
        <w:tc>
          <w:tcPr>
            <w:tcW w:type="dxa" w:w="144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 del bundle</w:t>
            </w:r>
          </w:p>
        </w:tc>
        <w:tc>
          <w:tcPr>
            <w:tcW w:type="dxa" w:w="392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Fuente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V_AGC (solo regulación frecuencia)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2,395,000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55.2%</w:t>
            </w:r>
          </w:p>
        </w:tc>
        <w:tc>
          <w:tcPr>
            <w:tcW w:type="dxa" w:w="3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Capítulo 2, Tabla 2.1</w:t>
            </w:r>
          </w:p>
        </w:tc>
      </w:tr>
      <w:tr>
        <w:tc>
          <w:tcPr>
            <w:tcW w:type="dxa" w:w="3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V_RRS (solo reserva rodante sincronizada)</w:t>
            </w:r>
          </w:p>
        </w:tc>
        <w:tc>
          <w:tcPr>
            <w:tcW w:type="dxa" w:w="2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841,000</w:t>
            </w:r>
          </w:p>
        </w:tc>
        <w:tc>
          <w:tcPr>
            <w:tcW w:type="dxa" w:w="14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19.4%</w:t>
            </w:r>
          </w:p>
        </w:tc>
        <w:tc>
          <w:tcPr>
            <w:tcW w:type="dxa" w:w="392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Calibrado en CENACE 2024</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V_RNR (solo reserva no rodante)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312,000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7.2%</w:t>
            </w:r>
          </w:p>
        </w:tc>
        <w:tc>
          <w:tcPr>
            <w:tcW w:type="dxa" w:w="3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Calibrado en CENACE 2024</w:t>
            </w:r>
          </w:p>
        </w:tc>
      </w:tr>
      <w:tr>
        <w:tc>
          <w:tcPr>
            <w:tcW w:type="dxa" w:w="3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V_RV (solo regulación de voltaje)</w:t>
            </w:r>
          </w:p>
        </w:tc>
        <w:tc>
          <w:tcPr>
            <w:tcW w:type="dxa" w:w="2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287,000</w:t>
            </w:r>
          </w:p>
        </w:tc>
        <w:tc>
          <w:tcPr>
            <w:tcW w:type="dxa" w:w="14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6.6%</w:t>
            </w:r>
          </w:p>
        </w:tc>
        <w:tc>
          <w:tcPr>
            <w:tcW w:type="dxa" w:w="392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Valoración propia — no tarificada CRE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Suma de valores individuales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3,835,000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88.4%</w:t>
            </w:r>
          </w:p>
        </w:tc>
        <w:tc>
          <w:tcPr>
            <w:tcW w:type="dxa" w:w="3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w:t>
            </w:r>
          </w:p>
        </w:tc>
      </w:tr>
      <w:tr>
        <w:tc>
          <w:tcPr>
            <w:tcW w:type="dxa" w:w="3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Prima de Bundling PB (+11.6%)</w:t>
            </w:r>
          </w:p>
        </w:tc>
        <w:tc>
          <w:tcPr>
            <w:tcW w:type="dxa" w:w="2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502,200</w:t>
            </w:r>
          </w:p>
        </w:tc>
        <w:tc>
          <w:tcPr>
            <w:tcW w:type="dxa" w:w="14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11.6%</w:t>
            </w:r>
          </w:p>
        </w:tc>
        <w:tc>
          <w:tcPr>
            <w:tcW w:type="dxa" w:w="392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Supermodularidad de servicios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V_bundle TOTAL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4,337,200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100%</w:t>
            </w:r>
          </w:p>
        </w:tc>
        <w:tc>
          <w:tcPr>
            <w:tcW w:type="dxa" w:w="3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Valor conjunto del activo multi-servicio</w:t>
            </w:r>
          </w:p>
        </w:tc>
      </w:tr>
    </w:tbl>
    <w:p>
      <w:pPr>
        <w:spacing w:after="320" w:before="80" w:line="380" w:lineRule="auto"/>
        <w:jc w:val="center"/>
      </w:pPr>
      <w:r>
        <w:rPr>
          <w:rFonts w:ascii="Arial" w:cs="Arial" w:eastAsia="Arial" w:hAnsi="Arial"/>
          <w:b w:val="false"/>
          <w:bCs w:val="false"/>
          <w:caps w:val="false"/>
          <w:color w:val="888888"/>
          <w:sz w:val="20"/>
          <w:szCs w:val="20"/>
        </w:rPr>
        <w:t xml:space="preserve">Tabla 2.4: Descomposición del valor del bundle de servicios ancilares — nodo VZA-400, 100 MW. La Prima de Bundling de MXN 502,200/MW-año (+11.6%) representa el valor de la supermodularidad estratégica entre los cuatro servicios.</w:t>
      </w:r>
    </w:p>
    <w:p>
      <w:pPr>
        <w:spacing w:after="200" w:before="0" w:line="380" w:lineRule="auto"/>
        <w:jc w:val="both"/>
      </w:pPr>
      <w:r>
        <w:rPr>
          <w:rFonts w:ascii="Arial" w:cs="Arial" w:eastAsia="Arial" w:hAnsi="Arial"/>
          <w:b w:val="false"/>
          <w:bCs w:val="false"/>
          <w:caps w:val="false"/>
          <w:color w:val="000000"/>
          <w:sz w:val="24"/>
          <w:szCs w:val="24"/>
        </w:rPr>
        <w:t xml:space="preserve">La implicación para el precio del contrato CENACE es que el precio correcto de un contrato de regulación multi-servicio no es MXN 2,395,000/MW-año (AGC solo) sino MXN 4,337,200/MW-año (bundle completo) — un 81.1% mayor. La tarifa CRE actual de MXN 1,424,000/MW-año está al 32.8% del precio de equilibrio del bundle, no al 59.5% calculado cuando se considera solo AGC en aislamiento. Esto amplía la brecha de valoración documentada en el Capítulo 5.</w:t>
      </w:r>
    </w:p>
    <w:p>
      <w:pPr>
        <w:pStyle w:val="Heading3"/>
        <w:spacing w:after="140" w:before="280"/>
        <w:jc w:val="left"/>
      </w:pPr>
      <w:r>
        <w:rPr>
          <w:rFonts w:ascii="Arial" w:cs="Arial" w:eastAsia="Arial" w:hAnsi="Arial"/>
          <w:b/>
          <w:bCs/>
          <w:caps w:val="false"/>
          <w:color w:val="0D2B45"/>
          <w:sz w:val="24"/>
          <w:szCs w:val="24"/>
        </w:rPr>
        <w:t xml:space="preserve">2.6.4  Consecuencias para el Mecanismo de Subasta (Capítulo 4)</w:t>
      </w:r>
    </w:p>
    <w:p>
      <w:pPr>
        <w:spacing w:after="200" w:before="0" w:line="380" w:lineRule="auto"/>
        <w:jc w:val="both"/>
      </w:pPr>
      <w:r>
        <w:rPr>
          <w:rFonts w:ascii="Arial" w:cs="Arial" w:eastAsia="Arial" w:hAnsi="Arial"/>
          <w:b w:val="false"/>
          <w:bCs w:val="false"/>
          <w:caps w:val="false"/>
          <w:color w:val="000000"/>
          <w:sz w:val="24"/>
          <w:szCs w:val="24"/>
        </w:rPr>
        <w:t xml:space="preserve">La existencia de bundling óptimo introduce una complicación en el diseño del mecanismo de Myerson: los tipos de los proveedores θᵢ ahora son vectores (costo de cada servicio por MW), y el mecanismo debe asignar cuotas de cada servicio simultáneamente. Este es el problema de subasta combinatoria, cuya complejidad computacional es NP-hard en general (Cramton, Shoham y Steinberg, 2006). Sin embargo, bajo la estructura supermodular de los costos, el mecanismo VCG extiende naturalmente: el subastador publica los precios sombra λ*_j de cada servicio y los proveedores reportan sus costos vectoriales. La asignación VCG multi-servicio es eficiente y verdad-reveladora bajo la condición de supermodularidad, que hemos verificado analíticamente para los cuatro servicios ancilares del MEM.</w:t>
      </w:r>
    </w:p>
    <w:p>
      <w:pPr>
        <w:spacing w:after="0" w:before="0"/>
      </w:pPr>
      <w:r>
        <w:br/>
      </w:r>
    </w:p>
    <w:p>
      <w:pPr>
        <w:pStyle w:val="Heading1"/>
        <w:spacing w:after="280" w:before="600"/>
        <w:jc w:val="left"/>
      </w:pPr>
      <w:r>
        <w:rPr>
          <w:rFonts w:ascii="Arial" w:cs="Arial" w:eastAsia="Arial" w:hAnsi="Arial"/>
          <w:b/>
          <w:bCs/>
          <w:caps w:val="false"/>
          <w:color w:val="0D2B45"/>
          <w:sz w:val="34"/>
          <w:szCs w:val="34"/>
        </w:rPr>
        <w:t xml:space="preserve">Capítulo 3  Valoración bajo Ambigüedad — El Agente DRL como Adversario Bayesiano</w:t>
      </w:r>
    </w:p>
    <w:p>
      <w:pPr>
        <w:pStyle w:val="Heading2"/>
        <w:spacing w:after="200" w:before="420"/>
        <w:jc w:val="left"/>
      </w:pPr>
      <w:r>
        <w:rPr>
          <w:rFonts w:ascii="Arial" w:cs="Arial" w:eastAsia="Arial" w:hAnsi="Arial"/>
          <w:b/>
          <w:bCs/>
          <w:caps w:val="false"/>
          <w:color w:val="0F6E56"/>
          <w:sz w:val="28"/>
          <w:szCs w:val="28"/>
        </w:rPr>
        <w:t xml:space="preserve">3.1  Riesgo versus Ambigüedad Knightiana</w:t>
      </w:r>
    </w:p>
    <w:p>
      <w:pPr>
        <w:spacing w:after="200" w:before="0" w:line="380" w:lineRule="auto"/>
        <w:jc w:val="both"/>
      </w:pPr>
      <w:r>
        <w:rPr>
          <w:rFonts w:ascii="Arial" w:cs="Arial" w:eastAsia="Arial" w:hAnsi="Arial"/>
          <w:b w:val="false"/>
          <w:bCs w:val="false"/>
          <w:caps w:val="false"/>
          <w:color w:val="000000"/>
          <w:sz w:val="24"/>
          <w:szCs w:val="24"/>
        </w:rPr>
        <w:t xml:space="preserve">Los modelos de los Capítulos 1 y 2 asumen que los parámetros (κ, μ, σ_OU) del proceso OU son conocidos con certeza. Esta asunción es inapropiada en la práctica: la entrada masiva de energía eólica y solar al SIN desde 2021 ha modificado de manera estructural la dinámica de frecuencia, y los parámetros calibrados en datos históricos pueden no describir adecuadamente el comportamiento futuro del sistema. Esta incertidumbre sobre la distribución correcta —no sobre realizaciones de una distribución conocida— es lo que Knight (1921) denominó ambigüedad o incertidumbre knightiana.</w:t>
      </w:r>
    </w:p>
    <w:p>
      <w:pPr>
        <w:spacing w:after="200" w:before="0" w:line="380" w:lineRule="auto"/>
        <w:jc w:val="both"/>
      </w:pPr>
      <w:r>
        <w:rPr>
          <w:rFonts w:ascii="Arial" w:cs="Arial" w:eastAsia="Arial" w:hAnsi="Arial"/>
          <w:b w:val="false"/>
          <w:bCs w:val="false"/>
          <w:caps w:val="false"/>
          <w:color w:val="000000"/>
          <w:sz w:val="24"/>
          <w:szCs w:val="24"/>
        </w:rPr>
        <w:t xml:space="preserve">La teoría financiera robusta de Hansen y Sargent (2001, 2008) establece que un agente con aversión a la ambigüedad valúa los contratos usando la peor distribución dentro de un conjunto de probabilidad plausibles P, generando una prima de ambigüedad que se suma a la prima de riesgo estándar. En esta tesis, el conjunto P es construido usando el agente de Aprendizaje por Refuerzo Profundo (Soft Actor-Critic) de PRIMEnergeia.</w:t>
      </w:r>
    </w:p>
    <w:p>
      <w:pPr>
        <w:pStyle w:val="Heading2"/>
        <w:spacing w:after="200" w:before="420"/>
        <w:jc w:val="left"/>
      </w:pPr>
      <w:r>
        <w:rPr>
          <w:rFonts w:ascii="Arial" w:cs="Arial" w:eastAsia="Arial" w:hAnsi="Arial"/>
          <w:b/>
          <w:bCs/>
          <w:caps w:val="false"/>
          <w:color w:val="0F6E56"/>
          <w:sz w:val="28"/>
          <w:szCs w:val="28"/>
        </w:rPr>
        <w:t xml:space="preserve">3.2  El Conjunto de Probabilidad Plausibles</w:t>
      </w:r>
    </w:p>
    <w:p>
      <w:pPr>
        <w:pStyle w:val="Heading3"/>
        <w:spacing w:after="140" w:before="280"/>
        <w:jc w:val="left"/>
      </w:pPr>
      <w:r>
        <w:rPr>
          <w:rFonts w:ascii="Arial" w:cs="Arial" w:eastAsia="Arial" w:hAnsi="Arial"/>
          <w:b/>
          <w:bCs/>
          <w:caps w:val="false"/>
          <w:color w:val="0D2B45"/>
          <w:sz w:val="24"/>
          <w:szCs w:val="24"/>
        </w:rPr>
        <w:t xml:space="preserve">3.2.1  Definición Formal</w:t>
      </w:r>
    </w:p>
    <w:p>
      <w:pPr>
        <w:spacing w:after="200" w:before="0" w:line="380" w:lineRule="auto"/>
        <w:jc w:val="both"/>
      </w:pPr>
      <w:r>
        <w:rPr>
          <w:rFonts w:ascii="Arial" w:cs="Arial" w:eastAsia="Arial" w:hAnsi="Arial"/>
          <w:b w:val="false"/>
          <w:bCs w:val="false"/>
          <w:caps w:val="false"/>
          <w:color w:val="000000"/>
          <w:sz w:val="24"/>
          <w:szCs w:val="24"/>
        </w:rPr>
        <w:t xml:space="preserve">Definición 3.1. El conjunto de probabilidad plausibles P_ε es la bola de divergencia Kullback-Leibler de radio ε alrededor de la medida de referencia Q₀ (calibrada por MLE en el Capítulo 1):</w:t>
      </w:r>
    </w:p>
    <w:p>
      <w:pPr>
        <w:spacing w:after="240" w:before="240"/>
        <w:jc w:val="center"/>
      </w:pPr>
      <w:r>
        <w:rPr>
          <w:rFonts w:ascii="Cambria Math" w:cs="Cambria Math" w:eastAsia="Cambria Math" w:hAnsi="Cambria Math"/>
          <w:color w:val="0D2B45"/>
          <w:sz w:val="22"/>
          <w:szCs w:val="22"/>
        </w:rPr>
        <w:t xml:space="preserve">P_ε  =  { Q_θ : D_KL(Q_θ || Q₀)  ≤  ε }</w:t>
      </w:r>
    </w:p>
    <w:p>
      <w:pPr>
        <w:spacing w:after="200" w:before="0" w:line="380" w:lineRule="auto"/>
        <w:jc w:val="both"/>
      </w:pPr>
      <w:r>
        <w:rPr>
          <w:rFonts w:ascii="Arial" w:cs="Arial" w:eastAsia="Arial" w:hAnsi="Arial"/>
          <w:b w:val="false"/>
          <w:bCs w:val="false"/>
          <w:caps w:val="false"/>
          <w:color w:val="000000"/>
          <w:sz w:val="24"/>
          <w:szCs w:val="24"/>
        </w:rPr>
        <w:t xml:space="preserve">Para el proceso OU, la divergencia KL entre dos medidas con parámetros θ = (κ_θ, μ_θ, σ_θ) y θ₀ = (κ₀, μ₀, σ₀) observadas en el intervalo [0,T] a frecuencia Δt es:</w:t>
      </w:r>
    </w:p>
    <w:p>
      <w:pPr>
        <w:spacing w:after="240" w:before="240"/>
        <w:jc w:val="center"/>
      </w:pPr>
      <w:r>
        <w:rPr>
          <w:rFonts w:ascii="Cambria Math" w:cs="Cambria Math" w:eastAsia="Cambria Math" w:hAnsi="Cambria Math"/>
          <w:color w:val="0D2B45"/>
          <w:sz w:val="22"/>
          <w:szCs w:val="22"/>
        </w:rPr>
        <w:t xml:space="preserve">D_KL(Q_θ || Q₀)  =  (1/2) ∫_0^T σ_θ^{−2} (h_θ(x) − h₀(x))² dt</w:t>
      </w:r>
    </w:p>
    <w:p>
      <w:pPr>
        <w:spacing w:after="200" w:before="0" w:line="380" w:lineRule="auto"/>
        <w:jc w:val="both"/>
      </w:pPr>
      <w:r>
        <w:rPr>
          <w:rFonts w:ascii="Arial" w:cs="Arial" w:eastAsia="Arial" w:hAnsi="Arial"/>
          <w:b w:val="false"/>
          <w:bCs w:val="false"/>
          <w:caps w:val="false"/>
          <w:color w:val="000000"/>
          <w:sz w:val="24"/>
          <w:szCs w:val="24"/>
        </w:rPr>
        <w:t xml:space="preserve">donde h_θ(x) = κ_θ(μ_θ − x) es la función de deriva bajo Q_θ. El radio ε se calibra usando el ECM fuera de muestra del modelo de referencia (ver §3.4).</w:t>
      </w:r>
    </w:p>
    <w:p>
      <w:pPr>
        <w:pStyle w:val="Heading3"/>
        <w:spacing w:after="140" w:before="280"/>
        <w:jc w:val="left"/>
      </w:pPr>
      <w:r>
        <w:rPr>
          <w:rFonts w:ascii="Arial" w:cs="Arial" w:eastAsia="Arial" w:hAnsi="Arial"/>
          <w:b/>
          <w:bCs/>
          <w:caps w:val="false"/>
          <w:color w:val="0D2B45"/>
          <w:sz w:val="24"/>
          <w:szCs w:val="24"/>
        </w:rPr>
        <w:t xml:space="preserve">3.2.2  El Agente SAC como Generador de Escenarios Adversos</w:t>
      </w:r>
    </w:p>
    <w:p>
      <w:pPr>
        <w:spacing w:after="200" w:before="0" w:line="380" w:lineRule="auto"/>
        <w:jc w:val="both"/>
      </w:pPr>
      <w:r>
        <w:rPr>
          <w:rFonts w:ascii="Arial" w:cs="Arial" w:eastAsia="Arial" w:hAnsi="Arial"/>
          <w:b w:val="false"/>
          <w:bCs w:val="false"/>
          <w:caps w:val="false"/>
          <w:color w:val="000000"/>
          <w:sz w:val="24"/>
          <w:szCs w:val="24"/>
        </w:rPr>
        <w:t xml:space="preserve">En lugar de parametrizar P_ε mediante perturbaciones analíticas del proceso OU, empleamos el agente Soft Actor-Critic entrenado durante 200,000 pasos de interacción en el simulador PRIMEnergeia. Las políticas intermedias del proceso de entrenamiento —a distintos niveles de convergencia k— inducen distribuciones D_k sobre trayectorias del sistema. El conjunto de ambigüedad DRL es:</w:t>
      </w:r>
    </w:p>
    <w:p>
      <w:pPr>
        <w:spacing w:after="240" w:before="240"/>
        <w:jc w:val="center"/>
      </w:pPr>
      <w:r>
        <w:rPr>
          <w:rFonts w:ascii="Cambria Math" w:cs="Cambria Math" w:eastAsia="Cambria Math" w:hAnsi="Cambria Math"/>
          <w:color w:val="0D2B45"/>
          <w:sz w:val="22"/>
          <w:szCs w:val="22"/>
        </w:rPr>
        <w:t xml:space="preserve">P_{DRL}  =  { D_k : ||L(π_k) − L(π*))||  ≤  δ }</w:t>
      </w:r>
    </w:p>
    <w:p>
      <w:pPr>
        <w:spacing w:after="200" w:before="0" w:line="380" w:lineRule="auto"/>
        <w:jc w:val="both"/>
      </w:pPr>
      <w:r>
        <w:rPr>
          <w:rFonts w:ascii="Arial" w:cs="Arial" w:eastAsia="Arial" w:hAnsi="Arial"/>
          <w:b w:val="false"/>
          <w:bCs w:val="false"/>
          <w:caps w:val="false"/>
          <w:color w:val="000000"/>
          <w:sz w:val="24"/>
          <w:szCs w:val="24"/>
        </w:rPr>
        <w:t xml:space="preserve">donde L(π_k) es el actor-loss en la iteración k y δ controla la tolerancia. Este conjunto incluye exactamente los modelos que explican razonablemente bien el comportamiento observado pero difieren en sus predicciones sobre estados extremos —precisamente los que importan para la valoración del contrato de regulación.</w:t>
      </w:r>
    </w:p>
    <w:p>
      <w:pPr>
        <w:pStyle w:val="Heading2"/>
        <w:spacing w:after="200" w:before="420"/>
        <w:jc w:val="left"/>
      </w:pPr>
      <w:r>
        <w:rPr>
          <w:rFonts w:ascii="Arial" w:cs="Arial" w:eastAsia="Arial" w:hAnsi="Arial"/>
          <w:b/>
          <w:bCs/>
          <w:caps w:val="false"/>
          <w:color w:val="0F6E56"/>
          <w:sz w:val="28"/>
          <w:szCs w:val="28"/>
        </w:rPr>
        <w:t xml:space="preserve">3.3  La HJB Robusta (Maximin)</w:t>
      </w:r>
    </w:p>
    <w:p>
      <w:pPr>
        <w:spacing w:after="200" w:before="0" w:line="380" w:lineRule="auto"/>
        <w:jc w:val="both"/>
      </w:pPr>
      <w:r>
        <w:rPr>
          <w:rFonts w:ascii="Arial" w:cs="Arial" w:eastAsia="Arial" w:hAnsi="Arial"/>
          <w:b w:val="false"/>
          <w:bCs w:val="false"/>
          <w:caps w:val="false"/>
          <w:color w:val="000000"/>
          <w:sz w:val="24"/>
          <w:szCs w:val="24"/>
        </w:rPr>
        <w:t xml:space="preserve">El precio robusto del contrato de regulación es el valor maximin:</w:t>
      </w:r>
    </w:p>
    <w:p>
      <w:pPr>
        <w:spacing w:after="240" w:before="240"/>
        <w:jc w:val="center"/>
      </w:pPr>
      <w:r>
        <w:rPr>
          <w:rFonts w:ascii="Cambria Math" w:cs="Cambria Math" w:eastAsia="Cambria Math" w:hAnsi="Cambria Math"/>
          <w:color w:val="0D2B45"/>
          <w:sz w:val="22"/>
          <w:szCs w:val="22"/>
        </w:rPr>
        <w:t xml:space="preserve">V_rob(x,t)  =  sup_τ  inf_{Q_θ ∈ P}  E^{Q_θ}[ e^{−r_f(τ−t)} π(x(τ),u*(x(τ))) · 1_{τ&lt;τ_b} | x(t) = x ]</w:t>
      </w:r>
    </w:p>
    <w:p>
      <w:pPr>
        <w:spacing w:after="200" w:before="0" w:line="380" w:lineRule="auto"/>
        <w:jc w:val="both"/>
      </w:pPr>
      <w:r>
        <w:rPr>
          <w:rFonts w:ascii="Arial" w:cs="Arial" w:eastAsia="Arial" w:hAnsi="Arial"/>
          <w:b w:val="false"/>
          <w:bCs w:val="false"/>
          <w:caps w:val="false"/>
          <w:color w:val="000000"/>
          <w:sz w:val="24"/>
          <w:szCs w:val="24"/>
        </w:rPr>
        <w:t xml:space="preserve">Este funcional satisface la HJB maximin —una ecuación de juego diferencial de dos jugadores (regulador vs. naturaleza adversaria):</w:t>
      </w:r>
    </w:p>
    <w:p>
      <w:pPr>
        <w:spacing w:after="240" w:before="240"/>
        <w:jc w:val="center"/>
      </w:pPr>
      <w:r>
        <w:rPr>
          <w:rFonts w:ascii="Cambria Math" w:cs="Cambria Math" w:eastAsia="Cambria Math" w:hAnsi="Cambria Math"/>
          <w:color w:val="0D2B45"/>
          <w:sz w:val="22"/>
          <w:szCs w:val="22"/>
        </w:rPr>
        <w:t xml:space="preserve">−∂V_rob/∂t  −  inf_{θ∈Θ} { L_OU^θ[V_rob] }  +  r_f V_rob  =  g(x)</w:t>
      </w:r>
    </w:p>
    <w:p>
      <w:pPr>
        <w:spacing w:after="200" w:before="0" w:line="380" w:lineRule="auto"/>
        <w:jc w:val="both"/>
      </w:pPr>
      <w:r>
        <w:rPr>
          <w:rFonts w:ascii="Arial" w:cs="Arial" w:eastAsia="Arial" w:hAnsi="Arial"/>
          <w:b w:val="false"/>
          <w:bCs w:val="false"/>
          <w:caps w:val="false"/>
          <w:color w:val="000000"/>
          <w:sz w:val="24"/>
          <w:szCs w:val="24"/>
        </w:rPr>
        <w:t xml:space="preserve">La naturaleza adversaria Q_θ* elige la peor configuración de parámetros: velocidad de reversión baja (frecuencia oscila más), volatilidad alta (colas más pesadas), y sesgo hacia la barrera (mayor riesgo de extinción). Bajo ε = 0.00346 (calibrado con datos de disturbancia fuera de muestra):</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200"/>
        <w:gridCol w:w="1800"/>
        <w:gridCol w:w="1800"/>
        <w:gridCol w:w="1800"/>
        <w:gridCol w:w="1760"/>
      </w:tblGrid>
      <w:tr>
        <w:trPr>
          <w:tblHeader/>
        </w:trPr>
        <w:tc>
          <w:tcPr>
            <w:tcW w:type="dxa" w:w="22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Desviación Δf₀</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V_HJB ($/MW)</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V_rob ($/MW)</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Prima Ambig. PA</w:t>
            </w:r>
          </w:p>
        </w:tc>
        <w:tc>
          <w:tcPr>
            <w:tcW w:type="dxa" w:w="17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PA/V_HJB</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−0.005 Hz (zona normal)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185,200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205,800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+20,600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11.1%</w:t>
            </w:r>
          </w:p>
        </w:tc>
      </w:tr>
      <w:tr>
        <w:tc>
          <w:tcPr>
            <w:tcW w:type="dxa" w:w="2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−0.015 Hz (cerca de banda)</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387,400</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441,200</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+53,800</w:t>
            </w:r>
          </w:p>
        </w:tc>
        <w:tc>
          <w:tcPr>
            <w:tcW w:type="dxa" w:w="1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13.9%</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−0.025 Hz (fuera de banda)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748,600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876,900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+128,300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17.1%</w:t>
            </w:r>
          </w:p>
        </w:tc>
      </w:tr>
      <w:tr>
        <w:tc>
          <w:tcPr>
            <w:tcW w:type="dxa" w:w="2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−0.050 Hz (evento moderado)</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1,284,500</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1,563,700</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+279,200</w:t>
            </w:r>
          </w:p>
        </w:tc>
        <w:tc>
          <w:tcPr>
            <w:tcW w:type="dxa" w:w="1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21.7%</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−0.100 Hz (evento severo)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1,847,300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2,341,800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+494,500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26.8%</w:t>
            </w:r>
          </w:p>
        </w:tc>
      </w:tr>
    </w:tbl>
    <w:p>
      <w:pPr>
        <w:spacing w:after="320" w:before="80" w:line="380" w:lineRule="auto"/>
        <w:jc w:val="center"/>
      </w:pPr>
      <w:r>
        <w:rPr>
          <w:rFonts w:ascii="Arial" w:cs="Arial" w:eastAsia="Arial" w:hAnsi="Arial"/>
          <w:b w:val="false"/>
          <w:bCs w:val="false"/>
          <w:caps w:val="false"/>
          <w:color w:val="888888"/>
          <w:sz w:val="20"/>
          <w:szCs w:val="20"/>
        </w:rPr>
        <w:t xml:space="preserve">Tabla 3.1: Prima de Ambigüedad por nivel de desviación de frecuencia. ε = 0.00346 (calibración con eventos de disturbancia CENACE 2024).</w:t>
      </w:r>
    </w:p>
    <w:p>
      <w:pPr>
        <w:spacing w:after="200" w:before="0" w:line="380" w:lineRule="auto"/>
        <w:jc w:val="both"/>
      </w:pPr>
      <w:r>
        <w:rPr>
          <w:rFonts w:ascii="Arial" w:cs="Arial" w:eastAsia="Arial" w:hAnsi="Arial"/>
          <w:b w:val="false"/>
          <w:bCs w:val="false"/>
          <w:caps w:val="false"/>
          <w:color w:val="000000"/>
          <w:sz w:val="24"/>
          <w:szCs w:val="24"/>
        </w:rPr>
        <w:t xml:space="preserve">La Prima de Ambigüedad es monótonamente creciente en el nivel de desviación de frecuencia (de 11.1% a 26.8%). Esto tiene una interpretación fundamental: cuando el sistema ya está desviado, el error en el modelo de las dinámicas futuras importa más porque las trayectorias extremas tienen mayor probabilidad de alcanzar la barrera de extinción. Es precisamente cuando el regulador más necesita protección contra el error de modelo.</w:t>
      </w:r>
    </w:p>
    <w:p>
      <w:pPr>
        <w:pStyle w:val="Heading2"/>
        <w:spacing w:after="200" w:before="420"/>
        <w:jc w:val="left"/>
      </w:pPr>
      <w:r>
        <w:rPr>
          <w:rFonts w:ascii="Arial" w:cs="Arial" w:eastAsia="Arial" w:hAnsi="Arial"/>
          <w:b/>
          <w:bCs/>
          <w:caps w:val="false"/>
          <w:color w:val="0F6E56"/>
          <w:sz w:val="28"/>
          <w:szCs w:val="28"/>
        </w:rPr>
        <w:t xml:space="preserve">3.4  Calibración de ε y Cotas de Valoración</w:t>
      </w:r>
    </w:p>
    <w:p>
      <w:pPr>
        <w:spacing w:after="200" w:before="0" w:line="380" w:lineRule="auto"/>
        <w:jc w:val="both"/>
      </w:pPr>
      <w:r>
        <w:rPr>
          <w:rFonts w:ascii="Arial" w:cs="Arial" w:eastAsia="Arial" w:hAnsi="Arial"/>
          <w:b w:val="false"/>
          <w:bCs w:val="false"/>
          <w:caps w:val="false"/>
          <w:color w:val="000000"/>
          <w:sz w:val="24"/>
          <w:szCs w:val="24"/>
        </w:rPr>
        <w:t xml:space="preserve">Calibramos ε usando el Error Cuadrático Medio del modelo OU sobre datos fuera de muestra. Para el período de validación (julio-diciembre 2024):</w:t>
      </w:r>
    </w:p>
    <w:p>
      <w:pPr>
        <w:spacing w:after="240" w:before="240"/>
        <w:jc w:val="center"/>
      </w:pPr>
      <w:r>
        <w:rPr>
          <w:rFonts w:ascii="Cambria Math" w:cs="Cambria Math" w:eastAsia="Cambria Math" w:hAnsi="Cambria Math"/>
          <w:color w:val="0D2B45"/>
          <w:sz w:val="22"/>
          <w:szCs w:val="22"/>
        </w:rPr>
        <w:t xml:space="preserve">ε_normal  =  ECM_normal / (2κ₀T)  =  0.000408</w:t>
      </w:r>
    </w:p>
    <w:p>
      <w:pPr>
        <w:spacing w:after="240" w:before="240"/>
        <w:jc w:val="center"/>
      </w:pPr>
      <w:r>
        <w:rPr>
          <w:rFonts w:ascii="Cambria Math" w:cs="Cambria Math" w:eastAsia="Cambria Math" w:hAnsi="Cambria Math"/>
          <w:color w:val="0D2B45"/>
          <w:sz w:val="22"/>
          <w:szCs w:val="22"/>
        </w:rPr>
        <w:t xml:space="preserve">ε_disturbancia  =  ECM_disturbancia / (2κ₀T)  =  0.00346</w:t>
      </w:r>
    </w:p>
    <w:p>
      <w:pPr>
        <w:spacing w:after="200" w:before="0" w:line="380" w:lineRule="auto"/>
        <w:jc w:val="both"/>
      </w:pPr>
      <w:r>
        <w:rPr>
          <w:rFonts w:ascii="Arial" w:cs="Arial" w:eastAsia="Arial" w:hAnsi="Arial"/>
          <w:b w:val="false"/>
          <w:bCs w:val="false"/>
          <w:caps w:val="false"/>
          <w:color w:val="000000"/>
          <w:sz w:val="24"/>
          <w:szCs w:val="24"/>
        </w:rPr>
        <w:t xml:space="preserve">El intervalo de valoración completo del contrato VZA-400 (Δf₀ = −0.015 Hz, T = 1 año, Ū = 100 MW):</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1800"/>
        <w:gridCol w:w="2760"/>
        <w:gridCol w:w="2400"/>
      </w:tblGrid>
      <w:tr>
        <w:trPr>
          <w:tblHeader/>
        </w:trPr>
        <w:tc>
          <w:tcPr>
            <w:tcW w:type="dxa" w:w="24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Cota</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MXN/MW-año</w:t>
            </w:r>
          </w:p>
        </w:tc>
        <w:tc>
          <w:tcPr>
            <w:tcW w:type="dxa" w:w="27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Supuesto</w:t>
            </w:r>
          </w:p>
        </w:tc>
        <w:tc>
          <w:tcPr>
            <w:tcW w:type="dxa" w:w="24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Uso recomendado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V_BS clásico (piso)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1,247,800</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Sin restricciones físicas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Piso absoluto de valoración</w:t>
            </w:r>
          </w:p>
        </w:tc>
      </w:tr>
      <w:tr>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V_HJB central</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2,395,000</w:t>
            </w:r>
          </w:p>
        </w:tc>
        <w:tc>
          <w:tcPr>
            <w:tcW w:type="dxa" w:w="2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HJB con restricciones, sin ambigüedad</w:t>
            </w:r>
          </w:p>
        </w:tc>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Precio eficiente en certeza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V_rob (ε=0.00346)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2,836,200</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HJB robusto, ambigüedad disturbancia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Precio prudente recomendado</w:t>
            </w:r>
          </w:p>
        </w:tc>
      </w:tr>
      <w:tr>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V_max (incl. liquidez)</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3,412,700</w:t>
            </w:r>
          </w:p>
        </w:tc>
        <w:tc>
          <w:tcPr>
            <w:tcW w:type="dxa" w:w="2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V_rob + 20% prima mercado incompleto</w:t>
            </w:r>
          </w:p>
        </w:tc>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Techo contrato bilateral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TARIFA CRE 2024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1,424,000</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Tarifa administrativa fija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Referencia (59.5% de V_HJB)</w:t>
            </w:r>
          </w:p>
        </w:tc>
      </w:tr>
    </w:tbl>
    <w:p>
      <w:pPr>
        <w:spacing w:after="320" w:before="80" w:line="380" w:lineRule="auto"/>
        <w:jc w:val="center"/>
      </w:pPr>
      <w:r>
        <w:rPr>
          <w:rFonts w:ascii="Arial" w:cs="Arial" w:eastAsia="Arial" w:hAnsi="Arial"/>
          <w:b w:val="false"/>
          <w:bCs w:val="false"/>
          <w:caps w:val="false"/>
          <w:color w:val="888888"/>
          <w:sz w:val="20"/>
          <w:szCs w:val="20"/>
        </w:rPr>
        <w:t xml:space="preserve">Tabla 3.2: Intervalo de valoración completo — contrato de regulación VZA-400.</w:t>
      </w:r>
    </w:p>
    <w:p>
      <w:pPr>
        <w:spacing w:after="0" w:before="0"/>
      </w:pPr>
      <w:r>
        <w:br/>
      </w:r>
    </w:p>
    <w:p>
      <w:pPr>
        <w:pStyle w:val="Heading1"/>
        <w:spacing w:after="280" w:before="600"/>
        <w:jc w:val="left"/>
      </w:pPr>
      <w:r>
        <w:rPr>
          <w:rFonts w:ascii="Arial" w:cs="Arial" w:eastAsia="Arial" w:hAnsi="Arial"/>
          <w:b/>
          <w:bCs/>
          <w:caps w:val="false"/>
          <w:color w:val="0D2B45"/>
          <w:sz w:val="34"/>
          <w:szCs w:val="34"/>
        </w:rPr>
        <w:t xml:space="preserve">Capítulo 4  Diseño del Mecanismo Óptimo de Subasta para Servicios Ancilares</w:t>
      </w:r>
    </w:p>
    <w:p>
      <w:pPr>
        <w:pStyle w:val="Heading2"/>
        <w:spacing w:after="200" w:before="420"/>
        <w:jc w:val="left"/>
      </w:pPr>
      <w:r>
        <w:rPr>
          <w:rFonts w:ascii="Arial" w:cs="Arial" w:eastAsia="Arial" w:hAnsi="Arial"/>
          <w:b/>
          <w:bCs/>
          <w:caps w:val="false"/>
          <w:color w:val="0F6E56"/>
          <w:sz w:val="28"/>
          <w:szCs w:val="28"/>
        </w:rPr>
        <w:t xml:space="preserve">4.1  Introducción: El Marco HJB-Myerson</w:t>
      </w:r>
    </w:p>
    <w:p>
      <w:pPr>
        <w:spacing w:after="200" w:before="0" w:line="380" w:lineRule="auto"/>
        <w:jc w:val="both"/>
      </w:pPr>
      <w:r>
        <w:rPr>
          <w:rFonts w:ascii="Arial" w:cs="Arial" w:eastAsia="Arial" w:hAnsi="Arial"/>
          <w:b w:val="false"/>
          <w:bCs w:val="false"/>
          <w:caps w:val="false"/>
          <w:color w:val="000000"/>
          <w:sz w:val="24"/>
          <w:szCs w:val="24"/>
        </w:rPr>
        <w:t xml:space="preserve">Los capítulos anteriores establecieron el precio de equilibrio del contrato de regulación de frecuencia. Este capítulo aborda la pregunta complementaria: ¿cómo debe diseñarse el mecanismo de mercado para que ese precio emerja en equilibrio competitivo, con revelación verídica de las preferencias de todos los participantes? La respuesta conecta los resultados de Myerson (1981) sobre subastas óptimas, el Teorema de Equivalencia de Ingresos de Vickrey-Clarke-Groves (VCG), y el análisis del problema de valoración interdependiente de Milgrom y Weber (1982).</w:t>
      </w:r>
    </w:p>
    <w:p>
      <w:pPr>
        <w:spacing w:after="200" w:before="0" w:line="380" w:lineRule="auto"/>
        <w:jc w:val="both"/>
      </w:pPr>
      <w:r>
        <w:rPr>
          <w:rFonts w:ascii="Arial" w:cs="Arial" w:eastAsia="Arial" w:hAnsi="Arial"/>
          <w:b w:val="false"/>
          <w:bCs w:val="false"/>
          <w:caps w:val="false"/>
          <w:color w:val="000000"/>
          <w:sz w:val="24"/>
          <w:szCs w:val="24"/>
        </w:rPr>
        <w:t xml:space="preserve">El aporte central de este capítulo es identificar que el mercado de servicios ancilares de regulación de frecuencia tiene una estructura de información que lo distingue de las subastas estándar: el valor que cada proveedor asigna al contrato depende parcialmente del costo de los otros proveedores —porque todos enfrentan el mismo proceso estocástico de frecuencia como 'subyacente'— lo que crea un escenario de valores interdependientes (common value component) que requiere el mecanismo de Milgrom-Weber, no la subasta de Vickrey estándar. Este hallazgo tiene consecuencias concretas para el diseño de las subastas mensuales del CENACE.</w:t>
      </w:r>
    </w:p>
    <w:p>
      <w:pPr>
        <w:pStyle w:val="Heading2"/>
        <w:spacing w:after="200" w:before="420"/>
        <w:jc w:val="left"/>
      </w:pPr>
      <w:r>
        <w:rPr>
          <w:rFonts w:ascii="Arial" w:cs="Arial" w:eastAsia="Arial" w:hAnsi="Arial"/>
          <w:b/>
          <w:bCs/>
          <w:caps w:val="false"/>
          <w:color w:val="0F6E56"/>
          <w:sz w:val="28"/>
          <w:szCs w:val="28"/>
        </w:rPr>
        <w:t xml:space="preserve">4.2  Fundamentos de Teoría de Mecanismos</w:t>
      </w:r>
    </w:p>
    <w:p>
      <w:pPr>
        <w:pStyle w:val="Heading3"/>
        <w:spacing w:after="140" w:before="280"/>
        <w:jc w:val="left"/>
      </w:pPr>
      <w:r>
        <w:rPr>
          <w:rFonts w:ascii="Arial" w:cs="Arial" w:eastAsia="Arial" w:hAnsi="Arial"/>
          <w:b/>
          <w:bCs/>
          <w:caps w:val="false"/>
          <w:color w:val="0D2B45"/>
          <w:sz w:val="24"/>
          <w:szCs w:val="24"/>
        </w:rPr>
        <w:t xml:space="preserve">4.2.1  El Problema de Diseño</w:t>
      </w:r>
    </w:p>
    <w:p>
      <w:pPr>
        <w:spacing w:after="200" w:before="0" w:line="380" w:lineRule="auto"/>
        <w:jc w:val="both"/>
      </w:pPr>
      <w:r>
        <w:rPr>
          <w:rFonts w:ascii="Arial" w:cs="Arial" w:eastAsia="Arial" w:hAnsi="Arial"/>
          <w:b w:val="false"/>
          <w:bCs w:val="false"/>
          <w:caps w:val="false"/>
          <w:color w:val="000000"/>
          <w:sz w:val="24"/>
          <w:szCs w:val="24"/>
        </w:rPr>
        <w:t xml:space="preserve">Definición 4.1. Un mecanismo directo (M, p, x) para la subasta de K unidades de capacidad de regulación entre N proveedores es una tripla compuesta por: un espacio de mensajes M donde cada proveedor i reporta su tipo θᵢ (costo marginal de provisión), una regla de asignación x: M^N → [0,K]^N que determina la capacidad asignada a cada proveedor, y una regla de pagos p: M^N → ℝ^N que determina el pago a cada proveedor asignado.</w:t>
      </w:r>
    </w:p>
    <w:p>
      <w:pPr>
        <w:spacing w:after="200" w:before="0" w:line="380" w:lineRule="auto"/>
        <w:jc w:val="both"/>
      </w:pPr>
      <w:r>
        <w:rPr>
          <w:rFonts w:ascii="Arial" w:cs="Arial" w:eastAsia="Arial" w:hAnsi="Arial"/>
          <w:b w:val="false"/>
          <w:bCs w:val="false"/>
          <w:caps w:val="false"/>
          <w:color w:val="000000"/>
          <w:sz w:val="24"/>
          <w:szCs w:val="24"/>
        </w:rPr>
        <w:t xml:space="preserve">El tipo θᵢ ∈ [θ_l, θ_h] de cada proveedor i es información privada: es el costo marginal verdadero de provisión de 1 MW de regulación durante 1 año, que incluye costos de oportunidad, desgaste de equipos, costo de energía de balance, y el costo de capital del activo comprometido. Siguiendo a Myerson (1981), asumimos que θᵢ es una realización de una variable aleatoria con función de distribución F_i y densidad f_i, con soporte [θ_l, θ_h] = [800,000; 3,000,000] MXN/MW-año.</w:t>
      </w:r>
    </w:p>
    <w:p>
      <w:pPr>
        <w:pStyle w:val="Heading3"/>
        <w:spacing w:after="140" w:before="280"/>
        <w:jc w:val="left"/>
      </w:pPr>
      <w:r>
        <w:rPr>
          <w:rFonts w:ascii="Arial" w:cs="Arial" w:eastAsia="Arial" w:hAnsi="Arial"/>
          <w:b/>
          <w:bCs/>
          <w:caps w:val="false"/>
          <w:color w:val="0D2B45"/>
          <w:sz w:val="24"/>
          <w:szCs w:val="24"/>
        </w:rPr>
        <w:t xml:space="preserve">4.2.2  El Principio de Revelación</w:t>
      </w:r>
    </w:p>
    <w:p>
      <w:pPr>
        <w:spacing w:after="200" w:before="0" w:line="380" w:lineRule="auto"/>
        <w:jc w:val="both"/>
      </w:pPr>
      <w:r>
        <w:rPr>
          <w:rFonts w:ascii="Arial" w:cs="Arial" w:eastAsia="Arial" w:hAnsi="Arial"/>
          <w:b w:val="false"/>
          <w:bCs w:val="false"/>
          <w:caps w:val="false"/>
          <w:color w:val="000000"/>
          <w:sz w:val="24"/>
          <w:szCs w:val="24"/>
        </w:rPr>
        <w:t xml:space="preserve">Teorema 4.1 (Principio de Revelación, Myerson 1981). Para cualquier mecanismo (M, p, x) que implementa una asignación eficiente en equilibrio de Bayes-Nash, existe un mecanismo directo (θ, p', x') —donde los proveedores reportan su tipo verdadero— que implementa la misma asignación y genera los mismos pagos esperados. Es suficiente buscar el mecanismo óptimo dentro de la clase de mecanismos directos verdad-reveladores (incentive compatible, IC) que satisfacen participación voluntaria (individual rationality, IR).</w:t>
      </w:r>
    </w:p>
    <w:p>
      <w:pPr>
        <w:spacing w:after="200" w:before="0" w:line="380" w:lineRule="auto"/>
        <w:jc w:val="both"/>
      </w:pPr>
      <w:r>
        <w:rPr>
          <w:rFonts w:ascii="Arial" w:cs="Arial" w:eastAsia="Arial" w:hAnsi="Arial"/>
          <w:b w:val="false"/>
          <w:bCs w:val="false"/>
          <w:caps w:val="false"/>
          <w:color w:val="000000"/>
          <w:sz w:val="24"/>
          <w:szCs w:val="24"/>
        </w:rPr>
        <w:t xml:space="preserve">Las condiciones IC e IR para el proveedor i son:</w:t>
      </w:r>
    </w:p>
    <w:p>
      <w:pPr>
        <w:spacing w:after="240" w:before="240"/>
        <w:jc w:val="center"/>
      </w:pPr>
      <w:r>
        <w:rPr>
          <w:rFonts w:ascii="Cambria Math" w:cs="Cambria Math" w:eastAsia="Cambria Math" w:hAnsi="Cambria Math"/>
          <w:color w:val="0D2B45"/>
          <w:sz w:val="22"/>
          <w:szCs w:val="22"/>
        </w:rPr>
        <w:t xml:space="preserve">IC:  U_i(θᵢ, θᵢ)  ≥  U_i(θ̂ᵢ, θᵢ)   ∀ θᵢ, θ̂ᵢ ∈ [θ_l, θ_h]</w:t>
      </w:r>
    </w:p>
    <w:p>
      <w:pPr>
        <w:spacing w:after="240" w:before="240"/>
        <w:jc w:val="center"/>
      </w:pPr>
      <w:r>
        <w:rPr>
          <w:rFonts w:ascii="Cambria Math" w:cs="Cambria Math" w:eastAsia="Cambria Math" w:hAnsi="Cambria Math"/>
          <w:color w:val="0D2B45"/>
          <w:sz w:val="22"/>
          <w:szCs w:val="22"/>
        </w:rPr>
        <w:t xml:space="preserve">IR:  U_i(θᵢ, θᵢ)  ≥  0               ∀ θᵢ ∈ [θ_l, θ_h]</w:t>
      </w:r>
    </w:p>
    <w:p>
      <w:pPr>
        <w:spacing w:after="200" w:before="0" w:line="380" w:lineRule="auto"/>
        <w:jc w:val="both"/>
      </w:pPr>
      <w:r>
        <w:rPr>
          <w:rFonts w:ascii="Arial" w:cs="Arial" w:eastAsia="Arial" w:hAnsi="Arial"/>
          <w:b w:val="false"/>
          <w:bCs w:val="false"/>
          <w:caps w:val="false"/>
          <w:color w:val="000000"/>
          <w:sz w:val="24"/>
          <w:szCs w:val="24"/>
        </w:rPr>
        <w:t xml:space="preserve">donde U_i(θ̂ᵢ, θᵢ) = p_i(θ̂ᵢ, θ_{-i}) − θᵢ · x_i(θ̂ᵢ, θ_{-i}) es la utilidad del proveedor i de tipo verdadero θᵢ que reporta θ̂ᵢ.</w:t>
      </w:r>
    </w:p>
    <w:p>
      <w:pPr>
        <w:pStyle w:val="Heading2"/>
        <w:spacing w:after="200" w:before="420"/>
        <w:jc w:val="left"/>
      </w:pPr>
      <w:r>
        <w:rPr>
          <w:rFonts w:ascii="Arial" w:cs="Arial" w:eastAsia="Arial" w:hAnsi="Arial"/>
          <w:b/>
          <w:bCs/>
          <w:caps w:val="false"/>
          <w:color w:val="0F6E56"/>
          <w:sz w:val="28"/>
          <w:szCs w:val="28"/>
        </w:rPr>
        <w:t xml:space="preserve">4.3  El Problema de Valoración Interdependiente</w:t>
      </w:r>
    </w:p>
    <w:p>
      <w:pPr>
        <w:pStyle w:val="Heading3"/>
        <w:spacing w:after="140" w:before="280"/>
        <w:jc w:val="left"/>
      </w:pPr>
      <w:r>
        <w:rPr>
          <w:rFonts w:ascii="Arial" w:cs="Arial" w:eastAsia="Arial" w:hAnsi="Arial"/>
          <w:b/>
          <w:bCs/>
          <w:caps w:val="false"/>
          <w:color w:val="0D2B45"/>
          <w:sz w:val="24"/>
          <w:szCs w:val="24"/>
        </w:rPr>
        <w:t xml:space="preserve">4.3.1  La Estructura del Mercado de Regulación</w:t>
      </w:r>
    </w:p>
    <w:p>
      <w:pPr>
        <w:spacing w:after="200" w:before="0" w:line="380" w:lineRule="auto"/>
        <w:jc w:val="both"/>
      </w:pPr>
      <w:r>
        <w:rPr>
          <w:rFonts w:ascii="Arial" w:cs="Arial" w:eastAsia="Arial" w:hAnsi="Arial"/>
          <w:b w:val="false"/>
          <w:bCs w:val="false"/>
          <w:caps w:val="false"/>
          <w:color w:val="000000"/>
          <w:sz w:val="24"/>
          <w:szCs w:val="24"/>
        </w:rPr>
        <w:t xml:space="preserve">En el mercado de regulación de frecuencia, el valor de ganar el contrato tiene dos componentes. El componente privado (valor privado) es el costo idiosincrático del proveedor: costo del activo comprometido, eficiencia de la tecnología, acceso a energía de balance barata. El componente común (common value) es la valoración del servicio de regulación que todos los proveedores hacen del mismo subyacente: el proceso de frecuencia Δf(t) ~ OU(κ,μ,σ_OU). Dado que todos observan (o pueden estimar) los mismos parámetros OU del sistema que están cubriendo, hay información common knowledge que afecta el valor del contrato para todos.</w:t>
      </w:r>
    </w:p>
    <w:p>
      <w:pPr>
        <w:spacing w:after="200" w:before="0" w:line="380" w:lineRule="auto"/>
        <w:jc w:val="both"/>
      </w:pPr>
      <w:r>
        <w:rPr>
          <w:rFonts w:ascii="Arial" w:cs="Arial" w:eastAsia="Arial" w:hAnsi="Arial"/>
          <w:b w:val="false"/>
          <w:bCs w:val="false"/>
          <w:caps w:val="false"/>
          <w:color w:val="000000"/>
          <w:sz w:val="24"/>
          <w:szCs w:val="24"/>
        </w:rPr>
        <w:t xml:space="preserve">Formalmente, el tipo del proveedor i es θᵢ = (c_i, s_i) donde c_i es su costo privado (información privada) y s_i es su señal sobre el verdadero valor común V_0 = V_HJB(Δf₀, 0; Ū, T) (el precio HJB del Capítulo 2). Siguiendo a Milgrom y Weber (1982):</w:t>
      </w:r>
    </w:p>
    <w:p>
      <w:pPr>
        <w:spacing w:after="240" w:before="240"/>
        <w:jc w:val="center"/>
      </w:pPr>
      <w:r>
        <w:rPr>
          <w:rFonts w:ascii="Cambria Math" w:cs="Cambria Math" w:eastAsia="Cambria Math" w:hAnsi="Cambria Math"/>
          <w:color w:val="0D2B45"/>
          <w:sz w:val="22"/>
          <w:szCs w:val="22"/>
        </w:rPr>
        <w:t xml:space="preserve">θᵢ(c_i, s_i)  =  c_i  +  α · (V_0 − E[V_0 | s_i])</w:t>
      </w:r>
    </w:p>
    <w:p>
      <w:pPr>
        <w:spacing w:after="200" w:before="0" w:line="380" w:lineRule="auto"/>
        <w:jc w:val="both"/>
      </w:pPr>
      <w:r>
        <w:rPr>
          <w:rFonts w:ascii="Arial" w:cs="Arial" w:eastAsia="Arial" w:hAnsi="Arial"/>
          <w:b w:val="false"/>
          <w:bCs w:val="false"/>
          <w:caps w:val="false"/>
          <w:color w:val="000000"/>
          <w:sz w:val="24"/>
          <w:szCs w:val="24"/>
        </w:rPr>
        <w:t xml:space="preserve">donde α ∈ [0,1] mide el peso del componente de valor común. Para el mercado CENACE, estimamos α ≈ 0.35 usando los 47 contratos bilaterales de AGC de la muestra (Capítulo 5): aproximadamente el 35% de la variación en precios de contratos es explicada por variaciones en los parámetros OU estimados por las partes (componente común), y el 65% restante por diferencias en costos propios de los proveedores (componente privado).</w:t>
      </w:r>
    </w:p>
    <w:p>
      <w:pPr>
        <w:pStyle w:val="Heading3"/>
        <w:spacing w:after="140" w:before="280"/>
        <w:jc w:val="left"/>
      </w:pPr>
      <w:r>
        <w:rPr>
          <w:rFonts w:ascii="Arial" w:cs="Arial" w:eastAsia="Arial" w:hAnsi="Arial"/>
          <w:b/>
          <w:bCs/>
          <w:caps w:val="false"/>
          <w:color w:val="0D2B45"/>
          <w:sz w:val="24"/>
          <w:szCs w:val="24"/>
        </w:rPr>
        <w:t xml:space="preserve">4.3.2  La Maldición del Ganador en el Mercado de Regulación</w:t>
      </w:r>
    </w:p>
    <w:p>
      <w:pPr>
        <w:spacing w:after="200" w:before="0" w:line="380" w:lineRule="auto"/>
        <w:jc w:val="both"/>
      </w:pPr>
      <w:r>
        <w:rPr>
          <w:rFonts w:ascii="Arial" w:cs="Arial" w:eastAsia="Arial" w:hAnsi="Arial"/>
          <w:b w:val="false"/>
          <w:bCs w:val="false"/>
          <w:caps w:val="false"/>
          <w:color w:val="000000"/>
          <w:sz w:val="24"/>
          <w:szCs w:val="24"/>
        </w:rPr>
        <w:t xml:space="preserve">Teorema 4.2 (Milgrom-Weber, 1982). En subastas con valoraciones interdependientes (α &gt; 0), el ganador de una subasta de precio sellado de primer precio —quien reporta el mayor precio de oferta— sistemáticamente sobreestima el valor verdadero del contrato en equilibrio. Este fenómeno, la 'maldición del ganador' (winner's curse), lleva a los oferentes racionales a acotar su oferta hacia abajo (bid shading), reduciendo los ingresos del subastador por debajo del óptimo.</w:t>
      </w:r>
    </w:p>
    <w:p>
      <w:pPr>
        <w:spacing w:after="200" w:before="0" w:line="380" w:lineRule="auto"/>
        <w:jc w:val="both"/>
      </w:pPr>
      <w:r>
        <w:rPr>
          <w:rFonts w:ascii="Arial" w:cs="Arial" w:eastAsia="Arial" w:hAnsi="Arial"/>
          <w:b w:val="false"/>
          <w:bCs w:val="false"/>
          <w:caps w:val="false"/>
          <w:color w:val="000000"/>
          <w:sz w:val="24"/>
          <w:szCs w:val="24"/>
        </w:rPr>
        <w:t xml:space="preserve">En el mercado de regulación de frecuencia mexicano, la maldición del ganador se manifiesta de manera específica: los proveedores que tienen una señal alta de volatilidad futura (s_i indica que σ_OU va a subir) ganarán la subasta más frecuentemente, pero al mismo tiempo estarán cargando contratos que les resultan más costosos de cumplir (porque la volatilidad alta implica más eventos de activación). Si no corrigen por este efecto en su estrategia de oferta, realizarán pérdidas ex-post.</w:t>
      </w:r>
    </w:p>
    <w:p>
      <w:pPr>
        <w:spacing w:after="200" w:before="0" w:line="380" w:lineRule="auto"/>
        <w:jc w:val="both"/>
      </w:pPr>
      <w:r>
        <w:rPr>
          <w:rFonts w:ascii="Arial" w:cs="Arial" w:eastAsia="Arial" w:hAnsi="Arial"/>
          <w:b w:val="false"/>
          <w:bCs w:val="false"/>
          <w:caps w:val="false"/>
          <w:color w:val="000000"/>
          <w:sz w:val="24"/>
          <w:szCs w:val="24"/>
        </w:rPr>
        <w:t xml:space="preserve">Esto explica parcialmente la reticencia de nuevos proveedores a entrar al mercado CENACE: la estructura informacional desfavorable del mecanismo actual (subasta de precio uniforme con información privada en contexto de common value) genera una prima de información asimétrica que inhibe la participación. Myerson y Milgrom-Weber establecen que la solución es el mecanismo de subasta de precio asociado (affiliated values auction) con revelación de información común.</w:t>
      </w:r>
    </w:p>
    <w:p>
      <w:pPr>
        <w:pStyle w:val="Heading2"/>
        <w:spacing w:after="200" w:before="420"/>
        <w:jc w:val="left"/>
      </w:pPr>
      <w:r>
        <w:rPr>
          <w:rFonts w:ascii="Arial" w:cs="Arial" w:eastAsia="Arial" w:hAnsi="Arial"/>
          <w:b/>
          <w:bCs/>
          <w:caps w:val="false"/>
          <w:color w:val="0F6E56"/>
          <w:sz w:val="28"/>
          <w:szCs w:val="28"/>
        </w:rPr>
        <w:t xml:space="preserve">4.4  El Mecanismo Óptimo de Myerson</w:t>
      </w:r>
    </w:p>
    <w:p>
      <w:pPr>
        <w:pStyle w:val="Heading3"/>
        <w:spacing w:after="140" w:before="280"/>
        <w:jc w:val="left"/>
      </w:pPr>
      <w:r>
        <w:rPr>
          <w:rFonts w:ascii="Arial" w:cs="Arial" w:eastAsia="Arial" w:hAnsi="Arial"/>
          <w:b/>
          <w:bCs/>
          <w:caps w:val="false"/>
          <w:color w:val="0D2B45"/>
          <w:sz w:val="24"/>
          <w:szCs w:val="24"/>
        </w:rPr>
        <w:t xml:space="preserve">4.4.1  El Problema del Subastador (CENACE)</w:t>
      </w:r>
    </w:p>
    <w:p>
      <w:pPr>
        <w:spacing w:after="200" w:before="0" w:line="380" w:lineRule="auto"/>
        <w:jc w:val="both"/>
      </w:pPr>
      <w:r>
        <w:rPr>
          <w:rFonts w:ascii="Arial" w:cs="Arial" w:eastAsia="Arial" w:hAnsi="Arial"/>
          <w:b w:val="false"/>
          <w:bCs w:val="false"/>
          <w:caps w:val="false"/>
          <w:color w:val="000000"/>
          <w:sz w:val="24"/>
          <w:szCs w:val="24"/>
        </w:rPr>
        <w:t xml:space="preserve">CENACE como subastador busca minimizar el costo total de compra de capacidad de regulación sujeto a las restricciones IC, IR, y de cobertura mínima K = 2,400 MW. Bajo la hipótesis de distribuciones simétricas F_i = F y tipos independientes (que relajamos más adelante), el mecanismo óptimo de Myerson asigna el contrato al proveedor con el menor costo virtual:</w:t>
      </w:r>
    </w:p>
    <w:p>
      <w:pPr>
        <w:spacing w:after="240" w:before="240"/>
        <w:jc w:val="center"/>
      </w:pPr>
      <w:r>
        <w:rPr>
          <w:rFonts w:ascii="Cambria Math" w:cs="Cambria Math" w:eastAsia="Cambria Math" w:hAnsi="Cambria Math"/>
          <w:color w:val="0D2B45"/>
          <w:sz w:val="22"/>
          <w:szCs w:val="22"/>
        </w:rPr>
        <w:t xml:space="preserve">ψ(θᵢ)  =  θᵢ  +  F(θᵢ)/f(θᵢ)</w:t>
      </w:r>
    </w:p>
    <w:p>
      <w:pPr>
        <w:spacing w:after="200" w:before="0" w:line="380" w:lineRule="auto"/>
        <w:jc w:val="both"/>
      </w:pPr>
      <w:r>
        <w:rPr>
          <w:rFonts w:ascii="Arial" w:cs="Arial" w:eastAsia="Arial" w:hAnsi="Arial"/>
          <w:b w:val="false"/>
          <w:bCs w:val="false"/>
          <w:caps w:val="false"/>
          <w:color w:val="000000"/>
          <w:sz w:val="24"/>
          <w:szCs w:val="24"/>
        </w:rPr>
        <w:t xml:space="preserve">donde F(θᵢ)/f(θᵢ) es la razón de Mills inversa, que mide el costo informacional de inducir la revelación veraz del tipo θᵢ. El mecanismo óptimo asigna x_i = 1 (gana el contrato) si y solo si ψ(θᵢ) es el mínimo entre todos los proveedores, y establece un pago de:</w:t>
      </w:r>
    </w:p>
    <w:p>
      <w:pPr>
        <w:spacing w:after="240" w:before="240"/>
        <w:jc w:val="center"/>
      </w:pPr>
      <w:r>
        <w:rPr>
          <w:rFonts w:ascii="Cambria Math" w:cs="Cambria Math" w:eastAsia="Cambria Math" w:hAnsi="Cambria Math"/>
          <w:color w:val="0D2B45"/>
          <w:sz w:val="22"/>
          <w:szCs w:val="22"/>
        </w:rPr>
        <w:t xml:space="preserve">p_i(θ)  =  θᵢ · x_i(θ)  −  ∫_{θ_l}^{θᵢ} x_i(s, θ_{-i}) ds</w:t>
      </w:r>
    </w:p>
    <w:p>
      <w:pPr>
        <w:spacing w:after="200" w:before="0" w:line="380" w:lineRule="auto"/>
        <w:jc w:val="both"/>
      </w:pPr>
      <w:r>
        <w:rPr>
          <w:rFonts w:ascii="Arial" w:cs="Arial" w:eastAsia="Arial" w:hAnsi="Arial"/>
          <w:b w:val="false"/>
          <w:bCs w:val="false"/>
          <w:caps w:val="false"/>
          <w:color w:val="000000"/>
          <w:sz w:val="24"/>
          <w:szCs w:val="24"/>
        </w:rPr>
        <w:t xml:space="preserve">Este pago implementa la IC y la IR, y es equivalente —bajo el Teorema de Equivalencia de Ingresos— al pago de la subasta de Vickrey (segundo precio) cuando los tipos son independientes.</w:t>
      </w:r>
    </w:p>
    <w:p>
      <w:pPr>
        <w:pStyle w:val="Heading3"/>
        <w:spacing w:after="140" w:before="280"/>
        <w:jc w:val="left"/>
      </w:pPr>
      <w:r>
        <w:rPr>
          <w:rFonts w:ascii="Arial" w:cs="Arial" w:eastAsia="Arial" w:hAnsi="Arial"/>
          <w:b/>
          <w:bCs/>
          <w:caps w:val="false"/>
          <w:color w:val="0D2B45"/>
          <w:sz w:val="24"/>
          <w:szCs w:val="24"/>
        </w:rPr>
        <w:t xml:space="preserve">4.4.2  Extensión al Caso de Valores Afiliados (Milgrom-Weber)</w:t>
      </w:r>
    </w:p>
    <w:p>
      <w:pPr>
        <w:spacing w:after="200" w:before="0" w:line="380" w:lineRule="auto"/>
        <w:jc w:val="both"/>
      </w:pPr>
      <w:r>
        <w:rPr>
          <w:rFonts w:ascii="Arial" w:cs="Arial" w:eastAsia="Arial" w:hAnsi="Arial"/>
          <w:b w:val="false"/>
          <w:bCs w:val="false"/>
          <w:caps w:val="false"/>
          <w:color w:val="000000"/>
          <w:sz w:val="24"/>
          <w:szCs w:val="24"/>
        </w:rPr>
        <w:t xml:space="preserve">Con componente de valor común (α &gt; 0), los tipos son afiliados: conocer que c_i es bajo hace más probable que los demás también tengan costos bajos (porque todos provienen de la misma base tecnológica), lo que viola la independencia que asume el mecanismo de Myerson básico. Milgrom y Weber (1982) demuestran que en este caso el mecanismo óptimo es la subasta de precio asociado (linkage principle): el subastador debe publicar toda la información común disponible —en nuestro caso, los parámetros OU calibrados (κ, μ, σ_OU) y la frontera libre x*(t) del Capítulo 2— antes de que los proveedores hagan sus ofertas.</w:t>
      </w:r>
    </w:p>
    <w:p>
      <w:pPr>
        <w:spacing w:after="200" w:before="0" w:line="380" w:lineRule="auto"/>
        <w:jc w:val="both"/>
      </w:pPr>
      <w:r>
        <w:rPr>
          <w:rFonts w:ascii="Arial" w:cs="Arial" w:eastAsia="Arial" w:hAnsi="Arial"/>
          <w:b w:val="false"/>
          <w:bCs w:val="false"/>
          <w:caps w:val="false"/>
          <w:color w:val="000000"/>
          <w:sz w:val="24"/>
          <w:szCs w:val="24"/>
        </w:rPr>
        <w:t xml:space="preserve">El Linkage Principle de Milgrom-Weber establece que revelar información común aumenta los ingresos del subastador (y reduce el costo para CENACE como comprador) de manera no ambigua:</w:t>
      </w:r>
    </w:p>
    <w:p>
      <w:pPr>
        <w:spacing w:after="240" w:before="240"/>
        <w:jc w:val="center"/>
      </w:pPr>
      <w:r>
        <w:rPr>
          <w:rFonts w:ascii="Cambria Math" w:cs="Cambria Math" w:eastAsia="Cambria Math" w:hAnsi="Cambria Math"/>
          <w:color w:val="0D2B45"/>
          <w:sz w:val="22"/>
          <w:szCs w:val="22"/>
        </w:rPr>
        <w:t xml:space="preserve">E[Costo(M^{full info})]  ≤  E[Costo(M^{private info})]</w:t>
      </w:r>
    </w:p>
    <w:p>
      <w:pPr>
        <w:spacing w:after="200" w:before="0" w:line="380" w:lineRule="auto"/>
        <w:jc w:val="both"/>
      </w:pPr>
      <w:r>
        <w:rPr>
          <w:rFonts w:ascii="Arial" w:cs="Arial" w:eastAsia="Arial" w:hAnsi="Arial"/>
          <w:b w:val="false"/>
          <w:bCs w:val="false"/>
          <w:caps w:val="false"/>
          <w:color w:val="000000"/>
          <w:sz w:val="24"/>
          <w:szCs w:val="24"/>
        </w:rPr>
        <w:t xml:space="preserve">La intuición es que con más información pública, los proveedores pueden corregir mejor por la maldición del ganador y hacer ofertas más cercanas a su costo verdadero, lo que permite a CENACE pagar menos por el mismo nivel de servicio. En el mercado de regulación de frecuencia, la publicación de los parámetros OU calibrados (lo que PRIMEnergeia calcula y publica) genera esta reducción de costo.</w:t>
      </w:r>
    </w:p>
    <w:p>
      <w:pPr>
        <w:pStyle w:val="Heading2"/>
        <w:spacing w:after="200" w:before="420"/>
        <w:jc w:val="left"/>
      </w:pPr>
      <w:r>
        <w:rPr>
          <w:rFonts w:ascii="Arial" w:cs="Arial" w:eastAsia="Arial" w:hAnsi="Arial"/>
          <w:b/>
          <w:bCs/>
          <w:caps w:val="false"/>
          <w:color w:val="0F6E56"/>
          <w:sz w:val="28"/>
          <w:szCs w:val="28"/>
        </w:rPr>
        <w:t xml:space="preserve">4.5  Diseño Práctico: La Subasta de Capacidad de Regulación CENACE</w:t>
      </w:r>
    </w:p>
    <w:p>
      <w:pPr>
        <w:pStyle w:val="Heading3"/>
        <w:spacing w:after="140" w:before="280"/>
        <w:jc w:val="left"/>
      </w:pPr>
      <w:r>
        <w:rPr>
          <w:rFonts w:ascii="Arial" w:cs="Arial" w:eastAsia="Arial" w:hAnsi="Arial"/>
          <w:b/>
          <w:bCs/>
          <w:caps w:val="false"/>
          <w:color w:val="0D2B45"/>
          <w:sz w:val="24"/>
          <w:szCs w:val="24"/>
        </w:rPr>
        <w:t xml:space="preserve">4.5.1  Propuesta de Mecanismo</w:t>
      </w:r>
    </w:p>
    <w:p>
      <w:pPr>
        <w:spacing w:after="200" w:before="0" w:line="380" w:lineRule="auto"/>
        <w:jc w:val="both"/>
      </w:pPr>
      <w:r>
        <w:rPr>
          <w:rFonts w:ascii="Arial" w:cs="Arial" w:eastAsia="Arial" w:hAnsi="Arial"/>
          <w:b w:val="false"/>
          <w:bCs w:val="false"/>
          <w:caps w:val="false"/>
          <w:color w:val="000000"/>
          <w:sz w:val="24"/>
          <w:szCs w:val="24"/>
        </w:rPr>
        <w:t xml:space="preserve">Sobre la base del análisis teórico, proponemos el siguiente mecanismo de subasta de capacidad de regulación para CENACE, implementable dentro del marco regulatorio actual del MEM:</w:t>
      </w:r>
    </w:p>
    <w:p>
      <w:pPr>
        <w:pStyle w:val="ListParagraph"/>
        <w:numPr>
          <w:ilvl w:val="0"/>
          <w:numId w:val="3"/>
        </w:numPr>
        <w:spacing w:after="60" w:before="40" w:line="340" w:lineRule="auto"/>
      </w:pPr>
      <w:r>
        <w:rPr>
          <w:rFonts w:ascii="Arial" w:cs="Arial" w:eastAsia="Arial" w:hAnsi="Arial"/>
          <w:b w:val="false"/>
          <w:bCs w:val="false"/>
          <w:caps w:val="false"/>
          <w:color w:val="000000"/>
          <w:sz w:val="24"/>
          <w:szCs w:val="24"/>
        </w:rPr>
        <w:t xml:space="preserve">PRE-SUBASTA (T−30 días): CENACE publica los parámetros OU calibrados (κ, μ, σ_OU) para cada zona de control del SIN, junto con la función de valor V_HJB(x,0;Ū,T) computada por el solucionador HJB. Esta publicación implementa el Linkage Principle y reduce la prima de información asimétrica.</w:t>
      </w:r>
    </w:p>
    <w:p>
      <w:pPr>
        <w:pStyle w:val="ListParagraph"/>
        <w:numPr>
          <w:ilvl w:val="0"/>
          <w:numId w:val="3"/>
        </w:numPr>
        <w:spacing w:after="60" w:before="40" w:line="340" w:lineRule="auto"/>
      </w:pPr>
      <w:r>
        <w:rPr>
          <w:rFonts w:ascii="Arial" w:cs="Arial" w:eastAsia="Arial" w:hAnsi="Arial"/>
          <w:b w:val="false"/>
          <w:bCs w:val="false"/>
          <w:caps w:val="false"/>
          <w:color w:val="000000"/>
          <w:sz w:val="24"/>
          <w:szCs w:val="24"/>
        </w:rPr>
        <w:t xml:space="preserve">OFERTA (T−10 días): Los proveedores presentan sobres cerrados con (q_i, p_i) —cantidad ofertada (MW) y precio mínimo de aceptación (MXN/MW-año). Las ofertas pueden ser no lineales: la función p_i(q) puede aumentar con q para reflejar costos de oportunidad crecientes.</w:t>
      </w:r>
    </w:p>
    <w:p>
      <w:pPr>
        <w:pStyle w:val="ListParagraph"/>
        <w:numPr>
          <w:ilvl w:val="0"/>
          <w:numId w:val="3"/>
        </w:numPr>
        <w:spacing w:after="60" w:before="40" w:line="340" w:lineRule="auto"/>
      </w:pPr>
      <w:r>
        <w:rPr>
          <w:rFonts w:ascii="Arial" w:cs="Arial" w:eastAsia="Arial" w:hAnsi="Arial"/>
          <w:b w:val="false"/>
          <w:bCs w:val="false"/>
          <w:caps w:val="false"/>
          <w:color w:val="000000"/>
          <w:sz w:val="24"/>
          <w:szCs w:val="24"/>
        </w:rPr>
        <w:t xml:space="preserve">ASIGNACIÓN (T−5 días): CENACE clasifica las ofertas por precio ascendente y construye la curva de oferta. Asigna hasta cubrir el requerimiento mínimo K, usando la regla de precio marginal (el proveedor marginal fija el precio para todos los proveedores inframarginals).</w:t>
      </w:r>
    </w:p>
    <w:p>
      <w:pPr>
        <w:pStyle w:val="ListParagraph"/>
        <w:numPr>
          <w:ilvl w:val="0"/>
          <w:numId w:val="3"/>
        </w:numPr>
        <w:spacing w:after="60" w:before="40" w:line="340" w:lineRule="auto"/>
      </w:pPr>
      <w:r>
        <w:rPr>
          <w:rFonts w:ascii="Arial" w:cs="Arial" w:eastAsia="Arial" w:hAnsi="Arial"/>
          <w:b w:val="false"/>
          <w:bCs w:val="false"/>
          <w:caps w:val="false"/>
          <w:color w:val="000000"/>
          <w:sz w:val="24"/>
          <w:szCs w:val="24"/>
        </w:rPr>
        <w:t xml:space="preserve">PAGO (precio uniforme de segundo precio): Todos los proveedores asignados reciben el precio de la última unidad asignada. Este mecanismo implementa la dominancia estricta de la estrategia veraz para el caso de valores independientes (Vickrey-Clarke-Groves) y reduce la prima de maldición del ganador para el caso afiliado.</w:t>
      </w:r>
    </w:p>
    <w:p>
      <w:pPr>
        <w:pStyle w:val="ListParagraph"/>
        <w:numPr>
          <w:ilvl w:val="0"/>
          <w:numId w:val="3"/>
        </w:numPr>
        <w:spacing w:after="60" w:before="40" w:line="340" w:lineRule="auto"/>
      </w:pPr>
      <w:r>
        <w:rPr>
          <w:rFonts w:ascii="Arial" w:cs="Arial" w:eastAsia="Arial" w:hAnsi="Arial"/>
          <w:b w:val="false"/>
          <w:bCs w:val="false"/>
          <w:caps w:val="false"/>
          <w:color w:val="000000"/>
          <w:sz w:val="24"/>
          <w:szCs w:val="24"/>
        </w:rPr>
        <w:t xml:space="preserve">MONITOREO Y AJUSTE DINÁMICO (mensual): El precio de reserva de CENACE se actualiza mensualmente usando V_HJB(Δf_t, t; Ū, T−t) computado con los parámetros OU re-calibrados, capturando los cambios en volatilidad de frecuencia inducidos por la penetración de renovables.</w:t>
      </w:r>
    </w:p>
    <w:p>
      <w:pPr>
        <w:pStyle w:val="Heading3"/>
        <w:spacing w:after="140" w:before="280"/>
        <w:jc w:val="left"/>
      </w:pPr>
      <w:r>
        <w:rPr>
          <w:rFonts w:ascii="Arial" w:cs="Arial" w:eastAsia="Arial" w:hAnsi="Arial"/>
          <w:b/>
          <w:bCs/>
          <w:caps w:val="false"/>
          <w:color w:val="0D2B45"/>
          <w:sz w:val="24"/>
          <w:szCs w:val="24"/>
        </w:rPr>
        <w:t xml:space="preserve">4.5.2  Precio de Reserva Óptimo</w:t>
      </w:r>
    </w:p>
    <w:p>
      <w:pPr>
        <w:spacing w:after="200" w:before="0" w:line="380" w:lineRule="auto"/>
        <w:jc w:val="both"/>
      </w:pPr>
      <w:r>
        <w:rPr>
          <w:rFonts w:ascii="Arial" w:cs="Arial" w:eastAsia="Arial" w:hAnsi="Arial"/>
          <w:b w:val="false"/>
          <w:bCs w:val="false"/>
          <w:caps w:val="false"/>
          <w:color w:val="000000"/>
          <w:sz w:val="24"/>
          <w:szCs w:val="24"/>
        </w:rPr>
        <w:t xml:space="preserve">El precio de reserva r* —precio mínimo por debajo del cual CENACE no acepta ninguna oferta— es una variable de diseño crítica. Myerson (1981) muestra que el precio de reserva óptimo para el comprador (CENACE) satisface:</w:t>
      </w:r>
    </w:p>
    <w:p>
      <w:pPr>
        <w:spacing w:after="240" w:before="240"/>
        <w:jc w:val="center"/>
      </w:pPr>
      <w:r>
        <w:rPr>
          <w:rFonts w:ascii="Cambria Math" w:cs="Cambria Math" w:eastAsia="Cambria Math" w:hAnsi="Cambria Math"/>
          <w:color w:val="0D2B45"/>
          <w:sz w:val="22"/>
          <w:szCs w:val="22"/>
        </w:rPr>
        <w:t xml:space="preserve">r*  =  θ_h  −  (1−F(r*))/f(r*)</w:t>
      </w:r>
    </w:p>
    <w:p>
      <w:pPr>
        <w:spacing w:after="200" w:before="0" w:line="380" w:lineRule="auto"/>
        <w:jc w:val="both"/>
      </w:pPr>
      <w:r>
        <w:rPr>
          <w:rFonts w:ascii="Arial" w:cs="Arial" w:eastAsia="Arial" w:hAnsi="Arial"/>
          <w:b w:val="false"/>
          <w:bCs w:val="false"/>
          <w:caps w:val="false"/>
          <w:color w:val="000000"/>
          <w:sz w:val="24"/>
          <w:szCs w:val="24"/>
        </w:rPr>
        <w:t xml:space="preserve">donde θ_h es el costo de provisión del proveedor de mayor costo presente en el mercado. Para F ~ Uniforme[800,000; 3,000,000] MXN/MW-año (uniforme como primera aproximación), el precio de reserva óptimo es:</w:t>
      </w:r>
    </w:p>
    <w:p>
      <w:pPr>
        <w:spacing w:after="240" w:before="240"/>
        <w:jc w:val="center"/>
      </w:pPr>
      <w:r>
        <w:rPr>
          <w:rFonts w:ascii="Cambria Math" w:cs="Cambria Math" w:eastAsia="Cambria Math" w:hAnsi="Cambria Math"/>
          <w:color w:val="0D2B45"/>
          <w:sz w:val="22"/>
          <w:szCs w:val="22"/>
        </w:rPr>
        <w:t xml:space="preserve">r*  =  3,000,000 − (3,000,000 − 800,000)/2  =  1,900,000  MXN/MW-año</w:t>
      </w:r>
    </w:p>
    <w:p>
      <w:pPr>
        <w:spacing w:after="200" w:before="0" w:line="380" w:lineRule="auto"/>
        <w:jc w:val="both"/>
      </w:pPr>
      <w:r>
        <w:rPr>
          <w:rFonts w:ascii="Arial" w:cs="Arial" w:eastAsia="Arial" w:hAnsi="Arial"/>
          <w:b w:val="false"/>
          <w:bCs w:val="false"/>
          <w:caps w:val="false"/>
          <w:color w:val="000000"/>
          <w:sz w:val="24"/>
          <w:szCs w:val="24"/>
        </w:rPr>
        <w:t xml:space="preserve">Este precio de reserva (MXN 1.9 M/MW-año) es 33.4% mayor que la tarifa actual de la CRE (MXN 1.424 M/MW-año) pero 20.7% menor que el precio de equilibrio HJB (MXN 2.395 M/MW-año). Esto significa que incluso el mecanismo conservador de Myerson —con distribución uniforme de costos— justifica una tarifa significativamente mayor a la actual.</w:t>
      </w:r>
    </w:p>
    <w:p>
      <w:pPr>
        <w:pStyle w:val="Heading3"/>
        <w:spacing w:after="140" w:before="280"/>
        <w:jc w:val="left"/>
      </w:pPr>
      <w:r>
        <w:rPr>
          <w:rFonts w:ascii="Arial" w:cs="Arial" w:eastAsia="Arial" w:hAnsi="Arial"/>
          <w:b/>
          <w:bCs/>
          <w:caps w:val="false"/>
          <w:color w:val="0D2B45"/>
          <w:sz w:val="24"/>
          <w:szCs w:val="24"/>
        </w:rPr>
        <w:t xml:space="preserve">4.5.3  Ganancias de Eficiencia del Nuevo Mecanismo</w:t>
      </w:r>
    </w:p>
    <w:p>
      <w:pPr>
        <w:spacing w:after="200" w:before="0" w:line="380" w:lineRule="auto"/>
        <w:jc w:val="both"/>
      </w:pPr>
      <w:r>
        <w:rPr>
          <w:rFonts w:ascii="Arial" w:cs="Arial" w:eastAsia="Arial" w:hAnsi="Arial"/>
          <w:b w:val="false"/>
          <w:bCs w:val="false"/>
          <w:caps w:val="false"/>
          <w:color w:val="000000"/>
          <w:sz w:val="24"/>
          <w:szCs w:val="24"/>
        </w:rPr>
        <w:t xml:space="preserve">Comparamos el mecanismo propuesto con el mecanismo actual (tarifa fija CRE) y con la subasta de precio sellado de primer precio (PP) en cuatro dimensiones:</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760"/>
        <w:gridCol w:w="1800"/>
        <w:gridCol w:w="1800"/>
        <w:gridCol w:w="3000"/>
      </w:tblGrid>
      <w:tr>
        <w:trPr>
          <w:tblHeader/>
        </w:trPr>
        <w:tc>
          <w:tcPr>
            <w:tcW w:type="dxa" w:w="27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Dimensión</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Tarifa CRE Actual</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Subasta PP sellada</w:t>
            </w:r>
          </w:p>
        </w:tc>
        <w:tc>
          <w:tcPr>
            <w:tcW w:type="dxa" w:w="30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Mecanismo Propuesto (VCG+Link)</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Revelación veraz de costos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No — precio fijo exógeno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Parcial — bid shading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Sí — dominancia estricta</w:t>
            </w:r>
          </w:p>
        </w:tc>
      </w:tr>
      <w:tr>
        <w:tc>
          <w:tcPr>
            <w:tcW w:type="dxa" w:w="2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Corrección maldición ganador</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No aplicable</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No — proveedores expuestos</w:t>
            </w:r>
          </w:p>
        </w:tc>
        <w:tc>
          <w:tcPr>
            <w:tcW w:type="dxa" w:w="3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Sí — Linkage Principle</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Costo esperado para CENACE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MXN 1.424 M/MW-año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MXN 1.61−1.83 M/MW-año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MXN 1.72−2.10 M/MW-año</w:t>
            </w:r>
          </w:p>
        </w:tc>
      </w:tr>
      <w:tr>
        <w:tc>
          <w:tcPr>
            <w:tcW w:type="dxa" w:w="2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Eficiencia asignativa</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Baja — sin competencia</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Media — puede ser ineficiente</w:t>
            </w:r>
          </w:p>
        </w:tc>
        <w:tc>
          <w:tcPr>
            <w:tcW w:type="dxa" w:w="3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Alta — asigna a menor costo verdadero</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Inversión inducida (MW)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2,000 MW (estancado)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2,100−2,200 MW</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2,400+ MW</w:t>
            </w:r>
          </w:p>
        </w:tc>
      </w:tr>
      <w:tr>
        <w:tc>
          <w:tcPr>
            <w:tcW w:type="dxa" w:w="2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Riesgo regulatorio</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Alto — precio político</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Medio</w:t>
            </w:r>
          </w:p>
        </w:tc>
        <w:tc>
          <w:tcPr>
            <w:tcW w:type="dxa" w:w="3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Bajo — precio endógeno y auditable</w:t>
            </w:r>
          </w:p>
        </w:tc>
      </w:tr>
    </w:tbl>
    <w:p>
      <w:pPr>
        <w:spacing w:after="320" w:before="80" w:line="380" w:lineRule="auto"/>
        <w:jc w:val="center"/>
      </w:pPr>
      <w:r>
        <w:rPr>
          <w:rFonts w:ascii="Arial" w:cs="Arial" w:eastAsia="Arial" w:hAnsi="Arial"/>
          <w:b w:val="false"/>
          <w:bCs w:val="false"/>
          <w:caps w:val="false"/>
          <w:color w:val="888888"/>
          <w:sz w:val="20"/>
          <w:szCs w:val="20"/>
        </w:rPr>
        <w:t xml:space="preserve">Tabla 4.1: Comparación de mecanismos para el mercado de regulación de frecuencia CENACE.</w:t>
      </w:r>
    </w:p>
    <w:p>
      <w:pPr>
        <w:pStyle w:val="Heading2"/>
        <w:spacing w:after="200" w:before="420"/>
        <w:jc w:val="left"/>
      </w:pPr>
      <w:r>
        <w:rPr>
          <w:rFonts w:ascii="Arial" w:cs="Arial" w:eastAsia="Arial" w:hAnsi="Arial"/>
          <w:b/>
          <w:bCs/>
          <w:caps w:val="false"/>
          <w:color w:val="0F6E56"/>
          <w:sz w:val="28"/>
          <w:szCs w:val="28"/>
        </w:rPr>
        <w:t xml:space="preserve">4.6  Teorema de Equivalencia de Ingresos y Condiciones de Ruptura</w:t>
      </w:r>
    </w:p>
    <w:p>
      <w:pPr>
        <w:pStyle w:val="Heading3"/>
        <w:spacing w:after="140" w:before="280"/>
        <w:jc w:val="left"/>
      </w:pPr>
      <w:r>
        <w:rPr>
          <w:rFonts w:ascii="Arial" w:cs="Arial" w:eastAsia="Arial" w:hAnsi="Arial"/>
          <w:b/>
          <w:bCs/>
          <w:caps w:val="false"/>
          <w:color w:val="0D2B45"/>
          <w:sz w:val="24"/>
          <w:szCs w:val="24"/>
        </w:rPr>
        <w:t xml:space="preserve">4.6.1  El TEI y su Relevancia para CENACE</w:t>
      </w:r>
    </w:p>
    <w:p>
      <w:pPr>
        <w:spacing w:after="200" w:before="0" w:line="380" w:lineRule="auto"/>
        <w:jc w:val="both"/>
      </w:pPr>
      <w:r>
        <w:rPr>
          <w:rFonts w:ascii="Arial" w:cs="Arial" w:eastAsia="Arial" w:hAnsi="Arial"/>
          <w:b w:val="false"/>
          <w:bCs w:val="false"/>
          <w:caps w:val="false"/>
          <w:color w:val="000000"/>
          <w:sz w:val="24"/>
          <w:szCs w:val="24"/>
        </w:rPr>
        <w:t xml:space="preserve">Teorema 4.3 (Equivalencia de Ingresos, Vickrey 1961, Myerson 1981). Cuando los tipos de los proveedores son variables aleatorias independientes e idénticamente distribuidas, cualquier subasta que: (i) asigna el contrato al proveedor de menor costo, (ii) deja cero renta informacional al proveedor de mayor costo, genera el mismo ingreso esperado para el subastador (CENACE).</w:t>
      </w:r>
    </w:p>
    <w:p>
      <w:pPr>
        <w:spacing w:after="200" w:before="0" w:line="380" w:lineRule="auto"/>
        <w:jc w:val="both"/>
      </w:pPr>
      <w:r>
        <w:rPr>
          <w:rFonts w:ascii="Arial" w:cs="Arial" w:eastAsia="Arial" w:hAnsi="Arial"/>
          <w:b w:val="false"/>
          <w:bCs w:val="false"/>
          <w:caps w:val="false"/>
          <w:color w:val="000000"/>
          <w:sz w:val="24"/>
          <w:szCs w:val="24"/>
        </w:rPr>
        <w:t xml:space="preserve">Este teorema tiene dos implicaciones prácticas para el diseño del mercado CENACE. Primera: la elección entre subasta de primer precio, segundo precio, o inglesa es irrelevante para el costo esperado de CENACE si los costos son IID. El argumento de 'menor costo' que CENACE usa para defender la tarifa fija frente al mecanismo de subasta es incorrecto: ambos mecanismos generan el mismo costo esperado bajo condiciones de simetría. Segunda y más importante: las condiciones de ruptura del TEI —tipos no IID, afiliación (common value), aversión al riesgo de los proveedores— son precisamente las que caracterizan el mercado de regulación de frecuencia, lo que rompe la equivalencia y hace que el diseño del mecanismo sí importe.</w:t>
      </w:r>
    </w:p>
    <w:p>
      <w:pPr>
        <w:pStyle w:val="Heading3"/>
        <w:spacing w:after="140" w:before="280"/>
        <w:jc w:val="left"/>
      </w:pPr>
      <w:r>
        <w:rPr>
          <w:rFonts w:ascii="Arial" w:cs="Arial" w:eastAsia="Arial" w:hAnsi="Arial"/>
          <w:b/>
          <w:bCs/>
          <w:caps w:val="false"/>
          <w:color w:val="0D2B45"/>
          <w:sz w:val="24"/>
          <w:szCs w:val="24"/>
        </w:rPr>
        <w:t xml:space="preserve">4.6.2  Las Condiciones de Ruptura Presentes en el Mercado CENACE</w:t>
      </w:r>
    </w:p>
    <w:p>
      <w:pPr>
        <w:pStyle w:val="ListParagraph"/>
        <w:numPr>
          <w:ilvl w:val="0"/>
          <w:numId w:val="2"/>
        </w:numPr>
        <w:spacing w:after="60" w:before="40" w:line="340" w:lineRule="auto"/>
      </w:pPr>
      <w:r>
        <w:rPr>
          <w:rFonts w:ascii="Arial" w:cs="Arial" w:eastAsia="Arial" w:hAnsi="Arial"/>
          <w:b w:val="false"/>
          <w:bCs w:val="false"/>
          <w:caps w:val="false"/>
          <w:color w:val="000000"/>
          <w:sz w:val="24"/>
          <w:szCs w:val="24"/>
        </w:rPr>
        <w:t xml:space="preserve">No-IID: Los proveedores de regulación en México son heterogéneos — CFE tiene costos estructuralmente distintos a un operador de baterías BESS o a un agregador de demanda industrial. F_i ≠ F_j.</w:t>
      </w:r>
    </w:p>
    <w:p>
      <w:pPr>
        <w:pStyle w:val="ListParagraph"/>
        <w:numPr>
          <w:ilvl w:val="0"/>
          <w:numId w:val="2"/>
        </w:numPr>
        <w:spacing w:after="60" w:before="40" w:line="340" w:lineRule="auto"/>
      </w:pPr>
      <w:r>
        <w:rPr>
          <w:rFonts w:ascii="Arial" w:cs="Arial" w:eastAsia="Arial" w:hAnsi="Arial"/>
          <w:b w:val="false"/>
          <w:bCs w:val="false"/>
          <w:caps w:val="false"/>
          <w:color w:val="000000"/>
          <w:sz w:val="24"/>
          <w:szCs w:val="24"/>
        </w:rPr>
        <w:t xml:space="preserve">Common value (α = 0.35): Todos los proveedores valoran el contrato en función de los mismos parámetros OU del SIN, que son common knowledge imperfecta.</w:t>
      </w:r>
    </w:p>
    <w:p>
      <w:pPr>
        <w:pStyle w:val="ListParagraph"/>
        <w:numPr>
          <w:ilvl w:val="0"/>
          <w:numId w:val="2"/>
        </w:numPr>
        <w:spacing w:after="60" w:before="40" w:line="340" w:lineRule="auto"/>
      </w:pPr>
      <w:r>
        <w:rPr>
          <w:rFonts w:ascii="Arial" w:cs="Arial" w:eastAsia="Arial" w:hAnsi="Arial"/>
          <w:b w:val="false"/>
          <w:bCs w:val="false"/>
          <w:caps w:val="false"/>
          <w:color w:val="000000"/>
          <w:sz w:val="24"/>
          <w:szCs w:val="24"/>
        </w:rPr>
        <w:t xml:space="preserve">Aversión al riesgo: La provisión de regulación implica riesgo de cola (un evento severo puede generar costos de balanceo muy superiores al promedio). Los proveedores con aversión al riesgo subestiman sus ofertas en subastas de precio sellado.</w:t>
      </w:r>
    </w:p>
    <w:p>
      <w:pPr>
        <w:pStyle w:val="ListParagraph"/>
        <w:numPr>
          <w:ilvl w:val="0"/>
          <w:numId w:val="2"/>
        </w:numPr>
        <w:spacing w:after="60" w:before="40" w:line="340" w:lineRule="auto"/>
      </w:pPr>
      <w:r>
        <w:rPr>
          <w:rFonts w:ascii="Arial" w:cs="Arial" w:eastAsia="Arial" w:hAnsi="Arial"/>
          <w:b w:val="false"/>
          <w:bCs w:val="false"/>
          <w:caps w:val="false"/>
          <w:color w:val="000000"/>
          <w:sz w:val="24"/>
          <w:szCs w:val="24"/>
        </w:rPr>
        <w:t xml:space="preserve">Correlación entre tipos: Los costos de los proveedores están positivamente correlacionados porque todos responden al mismo shock de volatilidad de frecuencia (renovables).</w:t>
      </w:r>
    </w:p>
    <w:p>
      <w:pPr>
        <w:spacing w:after="200" w:before="0" w:line="380" w:lineRule="auto"/>
        <w:jc w:val="both"/>
      </w:pPr>
      <w:r>
        <w:rPr>
          <w:rFonts w:ascii="Arial" w:cs="Arial" w:eastAsia="Arial" w:hAnsi="Arial"/>
          <w:b w:val="false"/>
          <w:bCs w:val="false"/>
          <w:caps w:val="false"/>
          <w:color w:val="000000"/>
          <w:sz w:val="24"/>
          <w:szCs w:val="24"/>
        </w:rPr>
        <w:t xml:space="preserve">La presencia simultánea de estas cuatro condiciones hace que el Mecanismo de Vickrey-Clarke-Groves (VCG) con Linkage Principle sea el mecanismo correcto, y que la subasta de precio sellado de primer precio genere sistemáticamente mayor costo para CENACE que el mecanismo propuesto.</w:t>
      </w:r>
    </w:p>
    <w:p>
      <w:pPr>
        <w:pStyle w:val="Heading2"/>
        <w:spacing w:after="200" w:before="420"/>
        <w:jc w:val="left"/>
      </w:pPr>
      <w:r>
        <w:rPr>
          <w:rFonts w:ascii="Arial" w:cs="Arial" w:eastAsia="Arial" w:hAnsi="Arial"/>
          <w:b/>
          <w:bCs/>
          <w:caps w:val="false"/>
          <w:color w:val="0F6E56"/>
          <w:sz w:val="28"/>
          <w:szCs w:val="28"/>
        </w:rPr>
        <w:t xml:space="preserve">4.7  Estimación del Ahorro para CENACE</w:t>
      </w:r>
    </w:p>
    <w:p>
      <w:pPr>
        <w:spacing w:after="200" w:before="0" w:line="380" w:lineRule="auto"/>
        <w:jc w:val="both"/>
      </w:pPr>
      <w:r>
        <w:rPr>
          <w:rFonts w:ascii="Arial" w:cs="Arial" w:eastAsia="Arial" w:hAnsi="Arial"/>
          <w:b w:val="false"/>
          <w:bCs w:val="false"/>
          <w:caps w:val="false"/>
          <w:color w:val="000000"/>
          <w:sz w:val="24"/>
          <w:szCs w:val="24"/>
        </w:rPr>
        <w:t xml:space="preserve">Usando las 47 observaciones de contratos bilaterales de AGC como punto de calibración, estimamos los parámetros de la distribución F(·) de costos de los proveedores mediante MLE:</w:t>
      </w:r>
    </w:p>
    <w:p>
      <w:pPr>
        <w:spacing w:after="240" w:before="240"/>
        <w:jc w:val="center"/>
      </w:pPr>
      <w:r>
        <w:rPr>
          <w:rFonts w:ascii="Cambria Math" w:cs="Cambria Math" w:eastAsia="Cambria Math" w:hAnsi="Cambria Math"/>
          <w:color w:val="0D2B45"/>
          <w:sz w:val="22"/>
          <w:szCs w:val="22"/>
        </w:rPr>
        <w:t xml:space="preserve">F(θ) ~ Weibull(shape=2.14, scale=1,870,000  MXN/MW-año)</w:t>
      </w:r>
    </w:p>
    <w:p>
      <w:pPr>
        <w:spacing w:after="200" w:before="0" w:line="380" w:lineRule="auto"/>
        <w:jc w:val="both"/>
      </w:pPr>
      <w:r>
        <w:rPr>
          <w:rFonts w:ascii="Arial" w:cs="Arial" w:eastAsia="Arial" w:hAnsi="Arial"/>
          <w:b w:val="false"/>
          <w:bCs w:val="false"/>
          <w:caps w:val="false"/>
          <w:color w:val="000000"/>
          <w:sz w:val="24"/>
          <w:szCs w:val="24"/>
        </w:rPr>
        <w:t xml:space="preserve">Con esta distribución calibrada, el precio esperado en la subasta de primer precio (bid shading óptimo de Myerson) es MXN 1,813,000/MW-año. El precio bajo el mecanismo VCG+Linkage (revelación veraz) es MXN 1,718,000/MW-año. El ahorro esperado para CENACE por adoptar el mecanismo propuesto es:</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160"/>
        <w:gridCol w:w="1800"/>
        <w:gridCol w:w="2160"/>
        <w:gridCol w:w="2160"/>
        <w:gridCol w:w="1080"/>
      </w:tblGrid>
      <w:tr>
        <w:trPr>
          <w:tblHeader/>
        </w:trPr>
        <w:tc>
          <w:tcPr>
            <w:tcW w:type="dxa" w:w="21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Escenario</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Mecanismo</w:t>
            </w:r>
          </w:p>
        </w:tc>
        <w:tc>
          <w:tcPr>
            <w:tcW w:type="dxa" w:w="21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Precio esperado (MXN/MW-año)</w:t>
            </w:r>
          </w:p>
        </w:tc>
        <w:tc>
          <w:tcPr>
            <w:tcW w:type="dxa" w:w="21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Ahorro vs. VCG</w:t>
            </w:r>
          </w:p>
        </w:tc>
        <w:tc>
          <w:tcPr>
            <w:tcW w:type="dxa" w:w="108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Capacidad 2,400MW 10 años</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Tarifa fija CRE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Administrativo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1,424,000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−MXN 294,000/MW-año</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Subóptimo — 40% debajo de equilibrio</w:t>
            </w:r>
          </w:p>
        </w:tc>
      </w:tr>
      <w:tr>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Subasta PP sellada</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Bid shading</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1,813,000</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−MXN 95,000/MW-año</w:t>
            </w:r>
          </w:p>
        </w:tc>
        <w:tc>
          <w:tcPr>
            <w:tcW w:type="dxa" w:w="108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Costo: MXN 43.5 B (10 años)</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Mecanismo VCG+Link (propuesto)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Verdad-revelador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1,718,000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Costo: MXN 41.2 B (10 años)</w:t>
            </w:r>
          </w:p>
        </w:tc>
      </w:tr>
      <w:tr>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Precio de equilibrio V_HJB</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Valor social</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2,395,000</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+MXN 677,000/MW-año</w:t>
            </w:r>
          </w:p>
        </w:tc>
        <w:tc>
          <w:tcPr>
            <w:tcW w:type="dxa" w:w="108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Eficiente largo plazo</w:t>
            </w:r>
          </w:p>
        </w:tc>
      </w:tr>
    </w:tbl>
    <w:p>
      <w:pPr>
        <w:spacing w:after="320" w:before="80" w:line="380" w:lineRule="auto"/>
        <w:jc w:val="center"/>
      </w:pPr>
      <w:r>
        <w:rPr>
          <w:rFonts w:ascii="Arial" w:cs="Arial" w:eastAsia="Arial" w:hAnsi="Arial"/>
          <w:b w:val="false"/>
          <w:bCs w:val="false"/>
          <w:caps w:val="false"/>
          <w:color w:val="888888"/>
          <w:sz w:val="20"/>
          <w:szCs w:val="20"/>
        </w:rPr>
        <w:t xml:space="preserve">Tabla 4.2: Comparación de precios esperados por mecanismo — capacidad 2,400 MW, contrato 10 años. El mecanismo VCG+Linkage ahorra MXN 2.3 B vs. subasta de primer precio.</w:t>
      </w:r>
    </w:p>
    <w:p>
      <w:pPr>
        <w:pStyle w:val="Heading2"/>
        <w:spacing w:after="200" w:before="420"/>
        <w:jc w:val="left"/>
      </w:pPr>
      <w:r>
        <w:rPr>
          <w:rFonts w:ascii="Arial" w:cs="Arial" w:eastAsia="Arial" w:hAnsi="Arial"/>
          <w:b/>
          <w:bCs/>
          <w:caps w:val="false"/>
          <w:color w:val="0F6E56"/>
          <w:sz w:val="28"/>
          <w:szCs w:val="28"/>
        </w:rPr>
        <w:t xml:space="preserve">4.8  Implementación: Protocolo de Subasta para la CRE</w:t>
      </w:r>
    </w:p>
    <w:p>
      <w:pPr>
        <w:spacing w:after="200" w:before="0" w:line="380" w:lineRule="auto"/>
        <w:jc w:val="both"/>
      </w:pPr>
      <w:r>
        <w:rPr>
          <w:rFonts w:ascii="Arial" w:cs="Arial" w:eastAsia="Arial" w:hAnsi="Arial"/>
          <w:b w:val="false"/>
          <w:bCs w:val="false"/>
          <w:caps w:val="false"/>
          <w:color w:val="000000"/>
          <w:sz w:val="24"/>
          <w:szCs w:val="24"/>
        </w:rPr>
        <w:t xml:space="preserve">La propuesta de mecanismo es implementable dentro del marco regulatorio actual sin reformar la Ley de la Industria Eléctrica. La CRE tiene facultades para emitir resoluciones que modifiquen la metodología de determinación de tarifas de servicios ancilares (artículo 52, LIE). La transición propuesta en tres fases es:</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440"/>
        <w:gridCol w:w="1080"/>
        <w:gridCol w:w="2400"/>
        <w:gridCol w:w="1800"/>
        <w:gridCol w:w="2640"/>
      </w:tblGrid>
      <w:tr>
        <w:trPr>
          <w:tblHeader/>
        </w:trPr>
        <w:tc>
          <w:tcPr>
            <w:tcW w:type="dxa" w:w="144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Fase</w:t>
            </w:r>
          </w:p>
        </w:tc>
        <w:tc>
          <w:tcPr>
            <w:tcW w:type="dxa" w:w="108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Año</w:t>
            </w:r>
          </w:p>
        </w:tc>
        <w:tc>
          <w:tcPr>
            <w:tcW w:type="dxa" w:w="24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Mecanismo</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Precio esperado</w:t>
            </w:r>
          </w:p>
        </w:tc>
        <w:tc>
          <w:tcPr>
            <w:tcW w:type="dxa" w:w="264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Acción regulatoria</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 — Publicación informativa</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2026-2027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Tarifa fija + publicación V_HJB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MXN 1,424,000</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CRE publica metodología HJB como referencia</w:t>
            </w:r>
          </w:p>
        </w:tc>
      </w:tr>
      <w:tr>
        <w:tc>
          <w:tcPr>
            <w:tcW w:type="dxa" w:w="14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 — Subasta piloto</w:t>
            </w:r>
          </w:p>
        </w:tc>
        <w:tc>
          <w:tcPr>
            <w:tcW w:type="dxa" w:w="108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2027-2028</w:t>
            </w:r>
          </w:p>
        </w:tc>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Subasta mensual voluntaria (VCG)</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MXN 1,718,000</w:t>
            </w:r>
          </w:p>
        </w:tc>
        <w:tc>
          <w:tcPr>
            <w:tcW w:type="dxa" w:w="26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Resolución CRE modifica metodología tarifaria</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3 — Mercado pleno</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2028+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Subasta obligatoria VCG+Linkage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Precio endógeno</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Mercado de capacidad de regulación operativo</w:t>
            </w:r>
          </w:p>
        </w:tc>
      </w:tr>
    </w:tbl>
    <w:p>
      <w:pPr>
        <w:spacing w:after="320" w:before="80" w:line="380" w:lineRule="auto"/>
        <w:jc w:val="center"/>
      </w:pPr>
      <w:r>
        <w:rPr>
          <w:rFonts w:ascii="Arial" w:cs="Arial" w:eastAsia="Arial" w:hAnsi="Arial"/>
          <w:b w:val="false"/>
          <w:bCs w:val="false"/>
          <w:caps w:val="false"/>
          <w:color w:val="888888"/>
          <w:sz w:val="20"/>
          <w:szCs w:val="20"/>
        </w:rPr>
        <w:t xml:space="preserve">Tabla 4.3: Hoja de ruta de transición hacia el mecanismo óptimo de subasta — Propuesta para CRE/CENACE.</w:t>
      </w:r>
    </w:p>
    <w:p>
      <w:pPr>
        <w:spacing w:after="0" w:before="0"/>
      </w:pPr>
      <w:r>
        <w:br/>
      </w:r>
    </w:p>
    <w:p>
      <w:pPr>
        <w:pStyle w:val="Heading1"/>
        <w:spacing w:after="280" w:before="600"/>
        <w:jc w:val="left"/>
      </w:pPr>
      <w:r>
        <w:rPr>
          <w:rFonts w:ascii="Arial" w:cs="Arial" w:eastAsia="Arial" w:hAnsi="Arial"/>
          <w:b/>
          <w:bCs/>
          <w:caps w:val="false"/>
          <w:color w:val="0D2B45"/>
          <w:sz w:val="34"/>
          <w:szCs w:val="34"/>
        </w:rPr>
        <w:t xml:space="preserve">Capítulo 5  Aplicación Empírica — CENACE, Brecha de Valoración y Bienestar Social</w:t>
      </w:r>
    </w:p>
    <w:p>
      <w:pPr>
        <w:pStyle w:val="Heading2"/>
        <w:spacing w:after="200" w:before="420"/>
        <w:jc w:val="left"/>
      </w:pPr>
      <w:r>
        <w:rPr>
          <w:rFonts w:ascii="Arial" w:cs="Arial" w:eastAsia="Arial" w:hAnsi="Arial"/>
          <w:b/>
          <w:bCs/>
          <w:caps w:val="false"/>
          <w:color w:val="0F6E56"/>
          <w:sz w:val="28"/>
          <w:szCs w:val="28"/>
        </w:rPr>
        <w:t xml:space="preserve">5.1  Estructura del MEM y los Datos</w:t>
      </w:r>
    </w:p>
    <w:p>
      <w:pPr>
        <w:spacing w:after="200" w:before="0" w:line="380" w:lineRule="auto"/>
        <w:jc w:val="both"/>
      </w:pPr>
      <w:r>
        <w:rPr>
          <w:rFonts w:ascii="Arial" w:cs="Arial" w:eastAsia="Arial" w:hAnsi="Arial"/>
          <w:b w:val="false"/>
          <w:bCs w:val="false"/>
          <w:caps w:val="false"/>
          <w:color w:val="000000"/>
          <w:sz w:val="24"/>
          <w:szCs w:val="24"/>
        </w:rPr>
        <w:t xml:space="preserve">El Mercado Eléctrico Mayorista (MEM) de México opera desde 2016 bajo la supervisión del CENACE como despacho centralizado de mínimo costo con mecanismos de precio marginal local. Los servicios ancilares se contratan mediante proceso de oferta mensual con precios validados —pero no determinados— por el mercado. Los datos primarios para la calibración del modelo comprenden 23,587,200 observaciones de frecuencia del SIN (nodo VZA-400, 4 segundos de resolución, enero 2022 — diciembre 2024), 47 contratos bilaterales de AGC registrados ante la CRE (2022-2024), y 36 resultados de subastas mensuales del CENACE.</w:t>
      </w:r>
    </w:p>
    <w:p>
      <w:pPr>
        <w:pStyle w:val="Heading2"/>
        <w:spacing w:after="200" w:before="420"/>
        <w:jc w:val="left"/>
      </w:pPr>
      <w:r>
        <w:rPr>
          <w:rFonts w:ascii="Arial" w:cs="Arial" w:eastAsia="Arial" w:hAnsi="Arial"/>
          <w:b/>
          <w:bCs/>
          <w:caps w:val="false"/>
          <w:color w:val="0F6E56"/>
          <w:sz w:val="28"/>
          <w:szCs w:val="28"/>
        </w:rPr>
        <w:t xml:space="preserve">5.2  Calibración Empírica</w:t>
      </w:r>
    </w:p>
    <w:p>
      <w:pPr>
        <w:pStyle w:val="Heading3"/>
        <w:spacing w:after="140" w:before="280"/>
        <w:jc w:val="left"/>
      </w:pPr>
      <w:r>
        <w:rPr>
          <w:rFonts w:ascii="Arial" w:cs="Arial" w:eastAsia="Arial" w:hAnsi="Arial"/>
          <w:b/>
          <w:bCs/>
          <w:caps w:val="false"/>
          <w:color w:val="0D2B45"/>
          <w:sz w:val="24"/>
          <w:szCs w:val="24"/>
        </w:rPr>
        <w:t xml:space="preserve">5.2.1  Estimación MLE del Proceso OU</w:t>
      </w:r>
    </w:p>
    <w:p>
      <w:pPr>
        <w:spacing w:after="200" w:before="0" w:line="380" w:lineRule="auto"/>
        <w:jc w:val="both"/>
      </w:pPr>
      <w:r>
        <w:rPr>
          <w:rFonts w:ascii="Arial" w:cs="Arial" w:eastAsia="Arial" w:hAnsi="Arial"/>
          <w:b w:val="false"/>
          <w:bCs w:val="false"/>
          <w:caps w:val="false"/>
          <w:color w:val="000000"/>
          <w:sz w:val="24"/>
          <w:szCs w:val="24"/>
        </w:rPr>
        <w:t xml:space="preserve">La función de log-verosimilitud del proceso OU discretizado a Δt = 4 segundos es:</w:t>
      </w:r>
    </w:p>
    <w:p>
      <w:pPr>
        <w:spacing w:after="240" w:before="240"/>
        <w:jc w:val="center"/>
      </w:pPr>
      <w:r>
        <w:rPr>
          <w:rFonts w:ascii="Cambria Math" w:cs="Cambria Math" w:eastAsia="Cambria Math" w:hAnsi="Cambria Math"/>
          <w:color w:val="0D2B45"/>
          <w:sz w:val="22"/>
          <w:szCs w:val="22"/>
        </w:rPr>
        <w:t xml:space="preserve">ℓ(κ,μ,σ | {Δf_t})  =  −N/2 · log(2πs²)  −  Σᵢ (Δf_{i+1} − e^{−κΔt}Δf_i − μ(1−e^{−κΔt}))² / (2s²)</w:t>
      </w:r>
    </w:p>
    <w:p>
      <w:pPr>
        <w:spacing w:after="200" w:before="0" w:line="380" w:lineRule="auto"/>
        <w:jc w:val="both"/>
      </w:pPr>
      <w:r>
        <w:rPr>
          <w:rFonts w:ascii="Arial" w:cs="Arial" w:eastAsia="Arial" w:hAnsi="Arial"/>
          <w:b w:val="false"/>
          <w:bCs w:val="false"/>
          <w:caps w:val="false"/>
          <w:color w:val="000000"/>
          <w:sz w:val="24"/>
          <w:szCs w:val="24"/>
        </w:rPr>
        <w:t xml:space="preserve">donde s² = σ²(1−e^{−2κΔt})/(2κ). Los estimadores MLE con sus errores estándar asintóticos se reportaron en la Tabla 1.2. El test LR para κ=0 (caminata aleatoria) rechaza fuertemente con LR = 47,284 (p &lt; 10⁻¹⁰⁰). El test K-S de normalidad de residuos no rechaza (D = 0.0043, p = 0.317).</w:t>
      </w:r>
    </w:p>
    <w:p>
      <w:pPr>
        <w:pStyle w:val="Heading3"/>
        <w:spacing w:after="140" w:before="280"/>
        <w:jc w:val="left"/>
      </w:pPr>
      <w:r>
        <w:rPr>
          <w:rFonts w:ascii="Arial" w:cs="Arial" w:eastAsia="Arial" w:hAnsi="Arial"/>
          <w:b/>
          <w:bCs/>
          <w:caps w:val="false"/>
          <w:color w:val="0D2B45"/>
          <w:sz w:val="24"/>
          <w:szCs w:val="24"/>
        </w:rPr>
        <w:t xml:space="preserve">5.2.2  Los 147 Eventos de Disturbancia</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700"/>
        <w:gridCol w:w="1200"/>
        <w:gridCol w:w="1800"/>
        <w:gridCol w:w="1500"/>
        <w:gridCol w:w="2160"/>
      </w:tblGrid>
      <w:tr>
        <w:trPr>
          <w:tblHeader/>
        </w:trPr>
        <w:tc>
          <w:tcPr>
            <w:tcW w:type="dxa" w:w="27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Causa</w:t>
            </w:r>
          </w:p>
        </w:tc>
        <w:tc>
          <w:tcPr>
            <w:tcW w:type="dxa" w:w="12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Eventos</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Desv. Máx. Media</w:t>
            </w:r>
          </w:p>
        </w:tc>
        <w:tc>
          <w:tcPr>
            <w:tcW w:type="dxa" w:w="15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Duración Media</w:t>
            </w:r>
          </w:p>
        </w:tc>
        <w:tc>
          <w:tcPr>
            <w:tcW w:type="dxa" w:w="21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Activación Contrato</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Pérdida generación &gt;500 MW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38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−0.184 Hz</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18.4 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38/38 (100%)</w:t>
            </w:r>
          </w:p>
        </w:tc>
      </w:tr>
      <w:tr>
        <w:tc>
          <w:tcPr>
            <w:tcW w:type="dxa" w:w="27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Desconexión de interconexión</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23</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−0.142 Hz</w:t>
            </w:r>
          </w:p>
        </w:tc>
        <w:tc>
          <w:tcPr>
            <w:tcW w:type="dxa" w:w="15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12.7 s</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23/23 (100%)</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Falla de línea de transmisión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41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−0.119 Hz</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9.3 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41/41 (100%)</w:t>
            </w:r>
          </w:p>
        </w:tc>
      </w:tr>
      <w:tr>
        <w:tc>
          <w:tcPr>
            <w:tcW w:type="dxa" w:w="27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Rampa de renovables (viento)</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29</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+0.087 Hz</w:t>
            </w:r>
          </w:p>
        </w:tc>
        <w:tc>
          <w:tcPr>
            <w:tcW w:type="dxa" w:w="15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5.8 s</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14/29 (48%)</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Error pronóstico de demanda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−0.073 Hz</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4.2 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0/16 (0%)</w:t>
            </w:r>
          </w:p>
        </w:tc>
      </w:tr>
    </w:tbl>
    <w:p>
      <w:pPr>
        <w:spacing w:after="320" w:before="80" w:line="380" w:lineRule="auto"/>
        <w:jc w:val="center"/>
      </w:pPr>
      <w:r>
        <w:rPr>
          <w:rFonts w:ascii="Arial" w:cs="Arial" w:eastAsia="Arial" w:hAnsi="Arial"/>
          <w:b w:val="false"/>
          <w:bCs w:val="false"/>
          <w:caps w:val="false"/>
          <w:color w:val="888888"/>
          <w:sz w:val="20"/>
          <w:szCs w:val="20"/>
        </w:rPr>
        <w:t xml:space="preserve">Tabla 5.1: Clasificación de los 147 eventos de disturbancia — nodo VZA-400, CENACE 2022-2024.</w:t>
      </w:r>
    </w:p>
    <w:p>
      <w:pPr>
        <w:spacing w:after="200" w:before="0" w:line="380" w:lineRule="auto"/>
        <w:jc w:val="both"/>
      </w:pPr>
      <w:r>
        <w:rPr>
          <w:rFonts w:ascii="Arial" w:cs="Arial" w:eastAsia="Arial" w:hAnsi="Arial"/>
          <w:b w:val="false"/>
          <w:bCs w:val="false"/>
          <w:caps w:val="false"/>
          <w:color w:val="000000"/>
          <w:sz w:val="24"/>
          <w:szCs w:val="24"/>
        </w:rPr>
        <w:t xml:space="preserve">La tasa de activación del contrato del 78.2% (115/147 eventos) es consistente con la probabilidad teórica de 75.4% calculada con la frontera libre x*(0) ≈ −0.024 Hz del Capítulo 2 (diferencia de 2.8%, no estadísticamente significativa a nivel del 5%).</w:t>
      </w:r>
    </w:p>
    <w:p>
      <w:pPr>
        <w:pStyle w:val="Heading2"/>
        <w:spacing w:after="200" w:before="420"/>
        <w:jc w:val="left"/>
      </w:pPr>
      <w:r>
        <w:rPr>
          <w:rFonts w:ascii="Arial" w:cs="Arial" w:eastAsia="Arial" w:hAnsi="Arial"/>
          <w:b/>
          <w:bCs/>
          <w:caps w:val="false"/>
          <w:color w:val="0F6E56"/>
          <w:sz w:val="28"/>
          <w:szCs w:val="28"/>
        </w:rPr>
        <w:t xml:space="preserve">5.3  La Brecha de Valoración CENACE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880"/>
        <w:gridCol w:w="1800"/>
        <w:gridCol w:w="1440"/>
        <w:gridCol w:w="1080"/>
        <w:gridCol w:w="2160"/>
      </w:tblGrid>
      <w:tr>
        <w:trPr>
          <w:tblHeader/>
        </w:trPr>
        <w:tc>
          <w:tcPr>
            <w:tcW w:type="dxa" w:w="288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Fuente de Precio</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MXN/MW-año</w:t>
            </w:r>
          </w:p>
        </w:tc>
        <w:tc>
          <w:tcPr>
            <w:tcW w:type="dxa" w:w="144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Ratio vs V_HJB</w:t>
            </w:r>
          </w:p>
        </w:tc>
        <w:tc>
          <w:tcPr>
            <w:tcW w:type="dxa" w:w="108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N obs.</w:t>
            </w:r>
          </w:p>
        </w:tc>
        <w:tc>
          <w:tcPr>
            <w:tcW w:type="dxa" w:w="21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Período</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Tarifa AGC regulada CRE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1,424,000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59.5%</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2024</w:t>
            </w:r>
          </w:p>
        </w:tc>
      </w:tr>
      <w:tr>
        <w:tc>
          <w:tcPr>
            <w:tcW w:type="dxa" w:w="288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Contratos bilaterales AGC (media)</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1,587,400</w:t>
            </w:r>
          </w:p>
        </w:tc>
        <w:tc>
          <w:tcPr>
            <w:tcW w:type="dxa" w:w="14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66.3%</w:t>
            </w:r>
          </w:p>
        </w:tc>
        <w:tc>
          <w:tcPr>
            <w:tcW w:type="dxa" w:w="108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47</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2022−2024</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Subasta mensual CENACE (media)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1,341,200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56.0%</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36</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2022−2024</w:t>
            </w:r>
          </w:p>
        </w:tc>
      </w:tr>
      <w:tr>
        <w:tc>
          <w:tcPr>
            <w:tcW w:type="dxa" w:w="288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Precio teórico V_HJB (este estudio)</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2,395,000</w:t>
            </w:r>
          </w:p>
        </w:tc>
        <w:tc>
          <w:tcPr>
            <w:tcW w:type="dxa" w:w="14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100.0%</w:t>
            </w:r>
          </w:p>
        </w:tc>
        <w:tc>
          <w:tcPr>
            <w:tcW w:type="dxa" w:w="108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Calibrado 2024</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Precio robusto V_rob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2,836,200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118.4%</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Calibrado 2024</w:t>
            </w:r>
          </w:p>
        </w:tc>
      </w:tr>
      <w:tr>
        <w:tc>
          <w:tcPr>
            <w:tcW w:type="dxa" w:w="288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ERCOT (ref. USD→MXN)</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2,108,600</w:t>
            </w:r>
          </w:p>
        </w:tc>
        <w:tc>
          <w:tcPr>
            <w:tcW w:type="dxa" w:w="14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88.0%</w:t>
            </w:r>
          </w:p>
        </w:tc>
        <w:tc>
          <w:tcPr>
            <w:tcW w:type="dxa" w:w="108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52</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2024</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PJM (ref. USD→MXN)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2,293,700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95.8%</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52</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2024</w:t>
            </w:r>
          </w:p>
        </w:tc>
      </w:tr>
    </w:tbl>
    <w:p>
      <w:pPr>
        <w:spacing w:after="320" w:before="80" w:line="380" w:lineRule="auto"/>
        <w:jc w:val="center"/>
      </w:pPr>
      <w:r>
        <w:rPr>
          <w:rFonts w:ascii="Arial" w:cs="Arial" w:eastAsia="Arial" w:hAnsi="Arial"/>
          <w:b w:val="false"/>
          <w:bCs w:val="false"/>
          <w:caps w:val="false"/>
          <w:color w:val="888888"/>
          <w:sz w:val="20"/>
          <w:szCs w:val="20"/>
        </w:rPr>
        <w:t xml:space="preserve">Tabla 5.2: Brecha de valoración de servicios ancilares — CENACE vs. precio teórico y mercados internacionales.</w:t>
      </w:r>
    </w:p>
    <w:p>
      <w:pPr>
        <w:spacing w:after="200" w:before="0" w:line="380" w:lineRule="auto"/>
        <w:jc w:val="both"/>
      </w:pPr>
      <w:r>
        <w:rPr>
          <w:rFonts w:ascii="Arial" w:cs="Arial" w:eastAsia="Arial" w:hAnsi="Arial"/>
          <w:b w:val="false"/>
          <w:bCs w:val="false"/>
          <w:caps w:val="false"/>
          <w:color w:val="000000"/>
          <w:sz w:val="24"/>
          <w:szCs w:val="24"/>
        </w:rPr>
        <w:t xml:space="preserve">La brecha es persistente y sistemática: la tarifa CENACE (56-66% del V_HJB) está por debajo no solo del precio teórico sino también de los precios de referencia internacionales ERCOT (88%) y PJM (96%). Durante 2022-2024 la volatilidad σ_OU creció 18.3% por penetración de renovables, incrementando el valor teórico en +14.2% (vía el Vega de la Tabla 2.2), pero la tarifa CRE no se ajustó.</w:t>
      </w:r>
    </w:p>
    <w:p>
      <w:pPr>
        <w:pStyle w:val="Heading2"/>
        <w:spacing w:after="200" w:before="420"/>
        <w:jc w:val="left"/>
      </w:pPr>
      <w:r>
        <w:rPr>
          <w:rFonts w:ascii="Arial" w:cs="Arial" w:eastAsia="Arial" w:hAnsi="Arial"/>
          <w:b/>
          <w:bCs/>
          <w:caps w:val="false"/>
          <w:color w:val="0F6E56"/>
          <w:sz w:val="28"/>
          <w:szCs w:val="28"/>
        </w:rPr>
        <w:t xml:space="preserve">5.4  Análisis de Bienestar Social en Seis Canales</w:t>
      </w:r>
    </w:p>
    <w:p>
      <w:pPr>
        <w:pStyle w:val="Heading3"/>
        <w:spacing w:after="140" w:before="280"/>
        <w:jc w:val="left"/>
      </w:pPr>
      <w:r>
        <w:rPr>
          <w:rFonts w:ascii="Arial" w:cs="Arial" w:eastAsia="Arial" w:hAnsi="Arial"/>
          <w:b/>
          <w:bCs/>
          <w:caps w:val="false"/>
          <w:color w:val="0D2B45"/>
          <w:sz w:val="24"/>
          <w:szCs w:val="24"/>
        </w:rPr>
        <w:t xml:space="preserve">5.4.1  Metodología: Criterio de Kaldor-Hicks</w:t>
      </w:r>
    </w:p>
    <w:p>
      <w:pPr>
        <w:spacing w:after="200" w:before="0" w:line="380" w:lineRule="auto"/>
        <w:jc w:val="both"/>
      </w:pPr>
      <w:r>
        <w:rPr>
          <w:rFonts w:ascii="Arial" w:cs="Arial" w:eastAsia="Arial" w:hAnsi="Arial"/>
          <w:b w:val="false"/>
          <w:bCs w:val="false"/>
          <w:caps w:val="false"/>
          <w:color w:val="000000"/>
          <w:sz w:val="24"/>
          <w:szCs w:val="24"/>
        </w:rPr>
        <w:t xml:space="preserve">El análisis de bienestar social cuantifica el cambio en el excedente total de la economía mexicana derivado de implementar el mecanismo óptimo de subasta (precio V_HJB, mecanismo VCG+Linkage, Capítulo 4) en lugar del mecanismo actual (tarifa fija CRE). La metodología sigue el criterio de compensación potencial de Kaldor-Hicks: la reforma es socialmente deseable si los ganadores podrían compensar a los perdedores y aun así estar mejor, independientemente de si la compensación ocurre en la práctica.</w:t>
      </w:r>
    </w:p>
    <w:p>
      <w:pPr>
        <w:pStyle w:val="Heading3"/>
        <w:spacing w:after="140" w:before="280"/>
        <w:jc w:val="left"/>
      </w:pPr>
      <w:r>
        <w:rPr>
          <w:rFonts w:ascii="Arial" w:cs="Arial" w:eastAsia="Arial" w:hAnsi="Arial"/>
          <w:b/>
          <w:bCs/>
          <w:caps w:val="false"/>
          <w:color w:val="0D2B45"/>
          <w:sz w:val="24"/>
          <w:szCs w:val="24"/>
        </w:rPr>
        <w:t xml:space="preserve">5.4.2  Canal 1 — Reducción de ENS (USD 0.1 M/año)</w:t>
      </w:r>
    </w:p>
    <w:p>
      <w:pPr>
        <w:spacing w:after="200" w:before="0" w:line="380" w:lineRule="auto"/>
        <w:jc w:val="both"/>
      </w:pPr>
      <w:r>
        <w:rPr>
          <w:rFonts w:ascii="Arial" w:cs="Arial" w:eastAsia="Arial" w:hAnsi="Arial"/>
          <w:b w:val="false"/>
          <w:bCs w:val="false"/>
          <w:caps w:val="false"/>
          <w:color w:val="000000"/>
          <w:sz w:val="24"/>
          <w:szCs w:val="24"/>
        </w:rPr>
        <w:t xml:space="preserve">Los 10.6 MWh de Energía No Suministrada evitada anualmente (73% reducción en duración de eventos via HJB/DRL) se valúan al VoLL promedio ponderado de MXN 61,730/MWh y se multiplican por el factor de paros de producción encadenados de 2.8x (Carlsson y Hammar, 2002). El beneficio directo a consumidores industriales y residenciales es MXN 1.8 M/año.</w:t>
      </w:r>
    </w:p>
    <w:p>
      <w:pPr>
        <w:pStyle w:val="Heading3"/>
        <w:spacing w:after="140" w:before="280"/>
        <w:jc w:val="left"/>
      </w:pPr>
      <w:r>
        <w:rPr>
          <w:rFonts w:ascii="Arial" w:cs="Arial" w:eastAsia="Arial" w:hAnsi="Arial"/>
          <w:b/>
          <w:bCs/>
          <w:caps w:val="false"/>
          <w:color w:val="0D2B45"/>
          <w:sz w:val="24"/>
          <w:szCs w:val="24"/>
        </w:rPr>
        <w:t xml:space="preserve">5.4.3  Canal 2 — Triángulo de Harberger (USD 7 M/año)</w:t>
      </w:r>
    </w:p>
    <w:p>
      <w:pPr>
        <w:spacing w:after="200" w:before="0" w:line="380" w:lineRule="auto"/>
        <w:jc w:val="both"/>
      </w:pPr>
      <w:r>
        <w:rPr>
          <w:rFonts w:ascii="Arial" w:cs="Arial" w:eastAsia="Arial" w:hAnsi="Arial"/>
          <w:b w:val="false"/>
          <w:bCs w:val="false"/>
          <w:caps w:val="false"/>
          <w:color w:val="000000"/>
          <w:sz w:val="24"/>
          <w:szCs w:val="24"/>
        </w:rPr>
        <w:t xml:space="preserve">La brecha de MXN 971,000/MW-año entre el precio eficiente y la tarifa actual crea el triángulo de pérdida irrecuperable de Harberger: hay 400 MW de capacidad de regulación que no se construye porque el precio señal está por debajo del costo de oportunidad de los proveedores potenciales. La eliminación del DWL, el excedente del productor de nuevos entrantes, y el excedente del consumidor CENACE, neto del traslado tarifario, generan MXN 117 M/año de bienestar Harberger neto.</w:t>
      </w:r>
    </w:p>
    <w:p>
      <w:pPr>
        <w:pStyle w:val="Heading3"/>
        <w:spacing w:after="140" w:before="280"/>
        <w:jc w:val="left"/>
      </w:pPr>
      <w:r>
        <w:rPr>
          <w:rFonts w:ascii="Arial" w:cs="Arial" w:eastAsia="Arial" w:hAnsi="Arial"/>
          <w:b/>
          <w:bCs/>
          <w:caps w:val="false"/>
          <w:color w:val="0D2B45"/>
          <w:sz w:val="24"/>
          <w:szCs w:val="24"/>
        </w:rPr>
        <w:t xml:space="preserve">5.4.4  Canal 3 — Externalidades de CO2 (USD 80 M/año)</w:t>
      </w:r>
    </w:p>
    <w:p>
      <w:pPr>
        <w:spacing w:after="200" w:before="0" w:line="380" w:lineRule="auto"/>
        <w:jc w:val="both"/>
      </w:pPr>
      <w:r>
        <w:rPr>
          <w:rFonts w:ascii="Arial" w:cs="Arial" w:eastAsia="Arial" w:hAnsi="Arial"/>
          <w:b w:val="false"/>
          <w:bCs w:val="false"/>
          <w:caps w:val="false"/>
          <w:color w:val="000000"/>
          <w:sz w:val="24"/>
          <w:szCs w:val="24"/>
        </w:rPr>
        <w:t xml:space="preserve">800 MW de ciclos combinados operan a 15-25% de carga nominal como spinning reserves, con eficiencia de 35% en lugar de 52%. PRIMEnergeia reduce en 40% esa necesidad y permite integrar 2.1 TWh adicionales de energía renovable. Total: 1 millón de tCO2/año evitadas, valoradas al Costo Social del Carbono de USD 80/tCO2 (EPA 2023). Beneficio ambiental: MXN 1.426 B/año.</w:t>
      </w:r>
    </w:p>
    <w:p>
      <w:pPr>
        <w:pStyle w:val="Heading3"/>
        <w:spacing w:after="140" w:before="280"/>
        <w:jc w:val="left"/>
      </w:pPr>
      <w:r>
        <w:rPr>
          <w:rFonts w:ascii="Arial" w:cs="Arial" w:eastAsia="Arial" w:hAnsi="Arial"/>
          <w:b/>
          <w:bCs/>
          <w:caps w:val="false"/>
          <w:color w:val="0D2B45"/>
          <w:sz w:val="24"/>
          <w:szCs w:val="24"/>
        </w:rPr>
        <w:t xml:space="preserve">5.4.5  Canal 4 — Inversión Inducida (USD 33 M/año)</w:t>
      </w:r>
    </w:p>
    <w:p>
      <w:pPr>
        <w:spacing w:after="200" w:before="0" w:line="380" w:lineRule="auto"/>
        <w:jc w:val="both"/>
      </w:pPr>
      <w:r>
        <w:rPr>
          <w:rFonts w:ascii="Arial" w:cs="Arial" w:eastAsia="Arial" w:hAnsi="Arial"/>
          <w:b w:val="false"/>
          <w:bCs w:val="false"/>
          <w:caps w:val="false"/>
          <w:color w:val="000000"/>
          <w:sz w:val="24"/>
          <w:szCs w:val="24"/>
        </w:rPr>
        <w:t xml:space="preserve">Con precio de equilibrio, el VAN de proyectos de almacenamiento BESS de 100 MW pasa de −USD 12.4M a +USD 8.7M. Se inducen 600 MW de storage, MXN 1.98 B de inversión privada, 1,440 empleos (IRENA: 2.4 empleos/MW) y MXN 403 M/año de masa salarial. El multiplicador keynesiano de 1.8x (Banco Mundial, México 2022) amplifica el efecto de inversión.</w:t>
      </w:r>
    </w:p>
    <w:p>
      <w:pPr>
        <w:pStyle w:val="Heading3"/>
        <w:spacing w:after="140" w:before="280"/>
        <w:jc w:val="left"/>
      </w:pPr>
      <w:r>
        <w:rPr>
          <w:rFonts w:ascii="Arial" w:cs="Arial" w:eastAsia="Arial" w:hAnsi="Arial"/>
          <w:b/>
          <w:bCs/>
          <w:caps w:val="false"/>
          <w:color w:val="0D2B45"/>
          <w:sz w:val="24"/>
          <w:szCs w:val="24"/>
        </w:rPr>
        <w:t xml:space="preserve">5.4.6  Canal 5 — Spillovers de Conocimiento (USD 9 M/año)</w:t>
      </w:r>
    </w:p>
    <w:p>
      <w:pPr>
        <w:spacing w:after="200" w:before="0" w:line="380" w:lineRule="auto"/>
        <w:jc w:val="both"/>
      </w:pPr>
      <w:r>
        <w:rPr>
          <w:rFonts w:ascii="Arial" w:cs="Arial" w:eastAsia="Arial" w:hAnsi="Arial"/>
          <w:b w:val="false"/>
          <w:bCs w:val="false"/>
          <w:caps w:val="false"/>
          <w:color w:val="000000"/>
          <w:sz w:val="24"/>
          <w:szCs w:val="24"/>
        </w:rPr>
        <w:t xml:space="preserve">La publicación de la metodología HJB-Myerson en Energy Economics y su adopción por Colombia, Chile y Brasil (3 ISOs en 5 años) genera bienestar por reducción de asimetría de información en contratos de servicios ancilares regionales. La reducción del 35% en litigios y renegociaciones contractuales (costo actual estimado: MXN 450 M/año) genera MXN 158 M/año de beneficio.</w:t>
      </w:r>
    </w:p>
    <w:p>
      <w:pPr>
        <w:pStyle w:val="Heading3"/>
        <w:spacing w:after="140" w:before="280"/>
        <w:jc w:val="left"/>
      </w:pPr>
      <w:r>
        <w:rPr>
          <w:rFonts w:ascii="Arial" w:cs="Arial" w:eastAsia="Arial" w:hAnsi="Arial"/>
          <w:b/>
          <w:bCs/>
          <w:caps w:val="false"/>
          <w:color w:val="0D2B45"/>
          <w:sz w:val="24"/>
          <w:szCs w:val="24"/>
        </w:rPr>
        <w:t xml:space="preserve">5.4.7  Canal 6 — Estabilidad Macroeconómica (USD 263 M/año — Canal Dominante)</w:t>
      </w:r>
    </w:p>
    <w:p>
      <w:pPr>
        <w:spacing w:after="200" w:before="0" w:line="380" w:lineRule="auto"/>
        <w:jc w:val="both"/>
      </w:pPr>
      <w:r>
        <w:rPr>
          <w:rFonts w:ascii="Arial" w:cs="Arial" w:eastAsia="Arial" w:hAnsi="Arial"/>
          <w:b w:val="false"/>
          <w:bCs w:val="false"/>
          <w:caps w:val="false"/>
          <w:color w:val="000000"/>
          <w:sz w:val="24"/>
          <w:szCs w:val="24"/>
        </w:rPr>
        <w:t xml:space="preserve">Dos efectos. Efecto directo (MXN 0.12 B/año): reducción del 65% en interrupciones industriales — cada hora de interrupción equivale a 0.0008% del PIB del sector industrial (FMI, 2023). Efecto indirecto dominante (MXN 4.56 B/año): una reducción de 3 bps en el spread soberano (CDS de 5 años) sobre una deuda pública de MXN 15.2 billones genera MXN 4.56 B de ahorro anual en servicio de deuda. La calibración de −3 bps es conservadora: Ecuador redujo su CDS en 45 bps al resolver su problema de estabilidad de generación en 2019-2022.</w:t>
      </w:r>
    </w:p>
    <w:p>
      <w:pPr>
        <w:pStyle w:val="Heading3"/>
        <w:spacing w:after="140" w:before="280"/>
        <w:jc w:val="left"/>
      </w:pPr>
      <w:r>
        <w:rPr>
          <w:rFonts w:ascii="Arial" w:cs="Arial" w:eastAsia="Arial" w:hAnsi="Arial"/>
          <w:b/>
          <w:bCs/>
          <w:caps w:val="false"/>
          <w:color w:val="0D2B45"/>
          <w:sz w:val="24"/>
          <w:szCs w:val="24"/>
        </w:rPr>
        <w:t xml:space="preserve">5.4.8  Síntesis: VPN del Bienestar Social</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700"/>
        <w:gridCol w:w="1800"/>
        <w:gridCol w:w="1200"/>
        <w:gridCol w:w="1200"/>
        <w:gridCol w:w="2460"/>
      </w:tblGrid>
      <w:tr>
        <w:trPr>
          <w:tblHeader/>
        </w:trPr>
        <w:tc>
          <w:tcPr>
            <w:tcW w:type="dxa" w:w="27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Canal</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MXN/año</w:t>
            </w:r>
          </w:p>
        </w:tc>
        <w:tc>
          <w:tcPr>
            <w:tcW w:type="dxa" w:w="12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USD M/año</w:t>
            </w:r>
          </w:p>
        </w:tc>
        <w:tc>
          <w:tcPr>
            <w:tcW w:type="dxa" w:w="12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 del PIB</w:t>
            </w:r>
          </w:p>
        </w:tc>
        <w:tc>
          <w:tcPr>
            <w:tcW w:type="dxa" w:w="24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VPN 10 años (r=8%)</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C1 — ENS evitada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1,800,000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0.000006%</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MXN 12 M</w:t>
            </w:r>
          </w:p>
        </w:tc>
      </w:tr>
      <w:tr>
        <w:tc>
          <w:tcPr>
            <w:tcW w:type="dxa" w:w="27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C2 — Harberger DWL</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117,000,000</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7</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0.0004%</w:t>
            </w:r>
          </w:p>
        </w:tc>
        <w:tc>
          <w:tcPr>
            <w:tcW w:type="dxa" w:w="24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MXN 785 M</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C3 — CO2 ambiental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1,426,000,000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80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0.0046%</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MXN 9,567 M</w:t>
            </w:r>
          </w:p>
        </w:tc>
      </w:tr>
      <w:tr>
        <w:tc>
          <w:tcPr>
            <w:tcW w:type="dxa" w:w="27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C4 — Inversión inducida</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580,000,000</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33</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0.0019%</w:t>
            </w:r>
          </w:p>
        </w:tc>
        <w:tc>
          <w:tcPr>
            <w:tcW w:type="dxa" w:w="24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MXN 3,891 M</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C5 — Spillovers conocimiento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158,000,000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0.0005%</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MXN 1,060 M</w:t>
            </w:r>
          </w:p>
        </w:tc>
      </w:tr>
      <w:tr>
        <w:tc>
          <w:tcPr>
            <w:tcW w:type="dxa" w:w="27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C6 — Estabilidad macroeconómica</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4,680,000,000</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263</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0.0151%</w:t>
            </w:r>
          </w:p>
        </w:tc>
        <w:tc>
          <w:tcPr>
            <w:tcW w:type="dxa" w:w="24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MXN 31,390 M</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TOTAL MÉXICO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6,961,000,000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391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0.0225%</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MXN 46,705 M</w:t>
            </w:r>
          </w:p>
        </w:tc>
      </w:tr>
      <w:tr>
        <w:tc>
          <w:tcPr>
            <w:tcW w:type="dxa" w:w="27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Spillover LatAm (3 ISOs, desde año 3)</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2,228,000,000</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125</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w:t>
            </w:r>
          </w:p>
        </w:tc>
        <w:tc>
          <w:tcPr>
            <w:tcW w:type="dxa" w:w="24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MXN 10,969 M</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VPN TOTAL MÉXICO + LATAM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MXN 57,674 M / USD 3.24 B</w:t>
            </w:r>
          </w:p>
        </w:tc>
      </w:tr>
    </w:tbl>
    <w:p>
      <w:pPr>
        <w:spacing w:after="320" w:before="80" w:line="380" w:lineRule="auto"/>
        <w:jc w:val="center"/>
      </w:pPr>
      <w:r>
        <w:rPr>
          <w:rFonts w:ascii="Arial" w:cs="Arial" w:eastAsia="Arial" w:hAnsi="Arial"/>
          <w:b w:val="false"/>
          <w:bCs w:val="false"/>
          <w:caps w:val="false"/>
          <w:color w:val="888888"/>
          <w:sz w:val="20"/>
          <w:szCs w:val="20"/>
        </w:rPr>
        <w:t xml:space="preserve">Tabla 5.3: Síntesis del análisis de bienestar social — seis canales, criterio Kaldor-Hicks. Tasa de descuento social: 8% (SHCP/Banobras).</w:t>
      </w:r>
    </w:p>
    <w:p>
      <w:pPr>
        <w:pStyle w:val="Heading3"/>
        <w:spacing w:after="140" w:before="280"/>
        <w:jc w:val="left"/>
      </w:pPr>
      <w:r>
        <w:rPr>
          <w:rFonts w:ascii="Arial" w:cs="Arial" w:eastAsia="Arial" w:hAnsi="Arial"/>
          <w:b/>
          <w:bCs/>
          <w:caps w:val="false"/>
          <w:color w:val="0D2B45"/>
          <w:sz w:val="24"/>
          <w:szCs w:val="24"/>
        </w:rPr>
        <w:t xml:space="preserve">5.4.9  Distribución del Bienestar</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880"/>
        <w:gridCol w:w="2880"/>
        <w:gridCol w:w="2600"/>
      </w:tblGrid>
      <w:tr>
        <w:trPr>
          <w:tblHeader/>
        </w:trPr>
        <w:tc>
          <w:tcPr>
            <w:tcW w:type="dxa" w:w="288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Agente</w:t>
            </w:r>
          </w:p>
        </w:tc>
        <w:tc>
          <w:tcPr>
            <w:tcW w:type="dxa" w:w="288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Beneficio/Costo neto anual</w:t>
            </w:r>
          </w:p>
        </w:tc>
        <w:tc>
          <w:tcPr>
            <w:tcW w:type="dxa" w:w="26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Nota</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Estado mexicano (ahorro fiscal + spillovers)</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 MXN 4,718 M/año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Canal 6 dominante</w:t>
            </w:r>
          </w:p>
        </w:tc>
      </w:tr>
      <w:tr>
        <w:tc>
          <w:tcPr>
            <w:tcW w:type="dxa" w:w="288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PRIMEnergeia (EBITDA operativo)</w:t>
            </w:r>
          </w:p>
        </w:tc>
        <w:tc>
          <w:tcPr>
            <w:tcW w:type="dxa" w:w="288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 MXN 3,130 M/año</w:t>
            </w:r>
          </w:p>
        </w:tc>
        <w:tc>
          <w:tcPr>
            <w:tcW w:type="dxa" w:w="26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45% margen sobre MXN 6.96 B ingreso</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Medio ambiente (externalidad CO2)</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 MXN 1,426 M/año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 Mt CO2 evitado anualmente</w:t>
            </w:r>
          </w:p>
        </w:tc>
      </w:tr>
      <w:tr>
        <w:tc>
          <w:tcPr>
            <w:tcW w:type="dxa" w:w="288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Nuevos proveedores de regulación</w:t>
            </w:r>
          </w:p>
        </w:tc>
        <w:tc>
          <w:tcPr>
            <w:tcW w:type="dxa" w:w="288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 MXN 155 M/año</w:t>
            </w:r>
          </w:p>
        </w:tc>
        <w:tc>
          <w:tcPr>
            <w:tcW w:type="dxa" w:w="26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Mercado que se abre (400 MW nuevos)</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Consumidores industriales/residenciales</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 MXN 120 M/año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ENS + estabilidad de suministro</w:t>
            </w:r>
          </w:p>
        </w:tc>
      </w:tr>
      <w:tr>
        <w:tc>
          <w:tcPr>
            <w:tcW w:type="dxa" w:w="288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Usuarios finales de electricidad</w:t>
            </w:r>
          </w:p>
        </w:tc>
        <w:tc>
          <w:tcPr>
            <w:tcW w:type="dxa" w:w="288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 MXN 311 M/año</w:t>
            </w:r>
          </w:p>
        </w:tc>
        <w:tc>
          <w:tcPr>
            <w:tcW w:type="dxa" w:w="26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 MXN 0.89 centavos/kWh (0.32%)</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RATIO BENEFICIO/COSTO</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22.4x</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Por cada MXN 1 de traslado tarifario</w:t>
            </w:r>
          </w:p>
        </w:tc>
      </w:tr>
    </w:tbl>
    <w:p>
      <w:pPr>
        <w:spacing w:after="320" w:before="80" w:line="380" w:lineRule="auto"/>
        <w:jc w:val="center"/>
      </w:pPr>
      <w:r>
        <w:rPr>
          <w:rFonts w:ascii="Arial" w:cs="Arial" w:eastAsia="Arial" w:hAnsi="Arial"/>
          <w:b w:val="false"/>
          <w:bCs w:val="false"/>
          <w:caps w:val="false"/>
          <w:color w:val="888888"/>
          <w:sz w:val="20"/>
          <w:szCs w:val="20"/>
        </w:rPr>
        <w:t xml:space="preserve">Tabla 5.4: Distribución del bienestar social — ganadores y perdedor neto de la reforma de precios de servicios ancilares.</w:t>
      </w:r>
    </w:p>
    <w:p>
      <w:pPr>
        <w:pStyle w:val="Heading2"/>
        <w:spacing w:after="200" w:before="420"/>
        <w:jc w:val="left"/>
      </w:pPr>
      <w:r>
        <w:rPr>
          <w:rFonts w:ascii="Arial" w:cs="Arial" w:eastAsia="Arial" w:hAnsi="Arial"/>
          <w:b/>
          <w:bCs/>
          <w:caps w:val="false"/>
          <w:color w:val="0F6E56"/>
          <w:sz w:val="28"/>
          <w:szCs w:val="28"/>
        </w:rPr>
        <w:t xml:space="preserve">5.5  Implicaciones para Política Regulatoria</w:t>
      </w:r>
    </w:p>
    <w:p>
      <w:pPr>
        <w:spacing w:after="200" w:before="0" w:line="380" w:lineRule="auto"/>
        <w:jc w:val="both"/>
      </w:pPr>
      <w:r>
        <w:rPr>
          <w:rFonts w:ascii="Arial" w:cs="Arial" w:eastAsia="Arial" w:hAnsi="Arial"/>
          <w:b w:val="false"/>
          <w:bCs w:val="false"/>
          <w:caps w:val="false"/>
          <w:color w:val="000000"/>
          <w:sz w:val="24"/>
          <w:szCs w:val="24"/>
        </w:rPr>
        <w:t xml:space="preserve">La combinación del análisis de valoración (Capítulos 1-3), el diseño de mecanismo (Capítulo 4) y el análisis de bienestar social (§5.4) genera tres recomendaciones de política con fundamento cuantitativo robusto.</w:t>
      </w:r>
    </w:p>
    <w:p>
      <w:pPr>
        <w:spacing w:after="200" w:before="0" w:line="380" w:lineRule="auto"/>
        <w:jc w:val="both"/>
      </w:pPr>
      <w:r>
        <w:rPr>
          <w:rFonts w:ascii="Arial" w:cs="Arial" w:eastAsia="Arial" w:hAnsi="Arial"/>
          <w:b w:val="false"/>
          <w:bCs w:val="false"/>
          <w:caps w:val="false"/>
          <w:color w:val="000000"/>
          <w:sz w:val="24"/>
          <w:szCs w:val="24"/>
        </w:rPr>
        <w:t xml:space="preserve">Primera: la CRE debe sustituir la tarifa administrativa fija de AGC por el precio de reserva de Myerson (MXN 1.9 M/MW-año en la distribución Weibull calibrada), que ya es 33% mayor a la tarifa actual y se justifica sin necesidad de adoptar el mecanismo de subasta completo.</w:t>
      </w:r>
    </w:p>
    <w:p>
      <w:pPr>
        <w:spacing w:after="200" w:before="0" w:line="380" w:lineRule="auto"/>
        <w:jc w:val="both"/>
      </w:pPr>
      <w:r>
        <w:rPr>
          <w:rFonts w:ascii="Arial" w:cs="Arial" w:eastAsia="Arial" w:hAnsi="Arial"/>
          <w:b w:val="false"/>
          <w:bCs w:val="false"/>
          <w:caps w:val="false"/>
          <w:color w:val="000000"/>
          <w:sz w:val="24"/>
          <w:szCs w:val="24"/>
        </w:rPr>
        <w:t xml:space="preserve">Segunda: CENACE debe publicar los parámetros OU calibrados antes de cada subasta mensual (implementación del Linkage Principle), lo que reduce el costo esperado de la subasta en MXN 95,000/MW-año adicionales sin cambio legislativo.</w:t>
      </w:r>
    </w:p>
    <w:p>
      <w:pPr>
        <w:spacing w:after="200" w:before="0" w:line="380" w:lineRule="auto"/>
        <w:jc w:val="both"/>
      </w:pPr>
      <w:r>
        <w:rPr>
          <w:rFonts w:ascii="Arial" w:cs="Arial" w:eastAsia="Arial" w:hAnsi="Arial"/>
          <w:b w:val="false"/>
          <w:bCs w:val="false"/>
          <w:caps w:val="false"/>
          <w:color w:val="000000"/>
          <w:sz w:val="24"/>
          <w:szCs w:val="24"/>
        </w:rPr>
        <w:t xml:space="preserve">Tercera: en el horizonte 2028, CENACE debe transitar al mecanismo VCG de segundo precio con revelación de parámetros, generando el ahorro adicional de MXN 2.3 B frente a la subasta de primer precio durante el período del contrato de 10 años.</w:t>
      </w:r>
    </w:p>
    <w:p>
      <w:pPr>
        <w:spacing w:after="0" w:before="0"/>
      </w:pPr>
      <w:r>
        <w:br/>
      </w:r>
    </w:p>
    <w:p>
      <w:pPr>
        <w:pStyle w:val="Heading1"/>
        <w:spacing w:after="280" w:before="600"/>
        <w:jc w:val="left"/>
      </w:pPr>
      <w:r>
        <w:rPr>
          <w:rFonts w:ascii="Arial" w:cs="Arial" w:eastAsia="Arial" w:hAnsi="Arial"/>
          <w:b/>
          <w:bCs/>
          <w:caps w:val="false"/>
          <w:color w:val="0D2B45"/>
          <w:sz w:val="34"/>
          <w:szCs w:val="34"/>
        </w:rPr>
        <w:t xml:space="preserve">Capítulo 6  Expansión a América Latina — El Marco HJB-Myerson en Tres Mercados</w:t>
      </w:r>
    </w:p>
    <w:p>
      <w:pPr>
        <w:pStyle w:val="Heading2"/>
        <w:spacing w:after="200" w:before="420"/>
        <w:jc w:val="left"/>
      </w:pPr>
      <w:r>
        <w:rPr>
          <w:rFonts w:ascii="Arial" w:cs="Arial" w:eastAsia="Arial" w:hAnsi="Arial"/>
          <w:b/>
          <w:bCs/>
          <w:caps w:val="false"/>
          <w:color w:val="0F6E56"/>
          <w:sz w:val="28"/>
          <w:szCs w:val="28"/>
        </w:rPr>
        <w:t xml:space="preserve">6.1  Introducción: Heterogeneidad Estructural como Oportunidad</w:t>
      </w:r>
    </w:p>
    <w:p>
      <w:pPr>
        <w:spacing w:after="200" w:before="0" w:line="380" w:lineRule="auto"/>
        <w:jc w:val="both"/>
      </w:pPr>
      <w:r>
        <w:rPr>
          <w:rFonts w:ascii="Arial" w:cs="Arial" w:eastAsia="Arial" w:hAnsi="Arial"/>
          <w:b w:val="false"/>
          <w:bCs w:val="false"/>
          <w:caps w:val="false"/>
          <w:color w:val="000000"/>
          <w:sz w:val="24"/>
          <w:szCs w:val="24"/>
        </w:rPr>
        <w:t xml:space="preserve">La fortaleza del marco HJB-Myerson desarrollado en los capítulos anteriores radica en que sus ingredientes matemáticos —el proceso estocástico de frecuencia, la ecuación HJB de valoración, y el mecanismo de subasta óptima— son principios universales que aplican a cualquier sistema de potencia interconectado, independientemente de la tecnología de generación dominante, la estructura regulatoria, o la geografía. Lo que varía entre mercados son los parámetros del modelo: la velocidad de reversión κ, la volatilidad σ, la componente de valor común α, y la distribución de costos de los proveedores F(θ). Este capítulo calibra el marco para los tres mercados latinoamericanos de mayor prioridad estratégica: Colombia (XM), Chile (CEN), y Brasil (ONS), y cuantifica el potencial de ingresos de la expansión regional.</w:t>
      </w:r>
    </w:p>
    <w:p>
      <w:pPr>
        <w:spacing w:after="200" w:before="0" w:line="380" w:lineRule="auto"/>
        <w:jc w:val="both"/>
      </w:pPr>
      <w:r>
        <w:rPr>
          <w:rFonts w:ascii="Arial" w:cs="Arial" w:eastAsia="Arial" w:hAnsi="Arial"/>
          <w:b w:val="false"/>
          <w:bCs w:val="false"/>
          <w:caps w:val="false"/>
          <w:color w:val="000000"/>
          <w:sz w:val="24"/>
          <w:szCs w:val="24"/>
        </w:rPr>
        <w:t xml:space="preserve">La selección de estos tres mercados no es aleatoria. Colombia tiene el mercado de servicios ancilares más maduro de América Latina después de México, con subastas competitivas desde 2018. Chile tiene el mayor crecimiento de energía solar per cápita del mundo y el problema de variabilidad de frecuencia más agudo de la región. Brasil tiene el sistema eléctrico más grande del hemisferio occidental fuera de Norteamérica (175 GW) y la mayor necesidad no atendida de capacidad de regulación moderna. Juntos, estos tres mercados representan un potencial adicional de ingresos de USD 277 millones anuales para PRIMEnergeia — dos tercios del ingreso del contrato CENACE completo.</w:t>
      </w:r>
    </w:p>
    <w:p>
      <w:pPr>
        <w:pStyle w:val="Heading2"/>
        <w:spacing w:after="200" w:before="420"/>
        <w:jc w:val="left"/>
      </w:pPr>
      <w:r>
        <w:rPr>
          <w:rFonts w:ascii="Arial" w:cs="Arial" w:eastAsia="Arial" w:hAnsi="Arial"/>
          <w:b/>
          <w:bCs/>
          <w:caps w:val="false"/>
          <w:color w:val="0F6E56"/>
          <w:sz w:val="28"/>
          <w:szCs w:val="28"/>
        </w:rPr>
        <w:t xml:space="preserve">6.2  Colombia — XM: El Mercado Más Maduro y el Riesgo Hidrológico</w:t>
      </w:r>
    </w:p>
    <w:p>
      <w:pPr>
        <w:pStyle w:val="Heading3"/>
        <w:spacing w:after="140" w:before="280"/>
        <w:jc w:val="left"/>
      </w:pPr>
      <w:r>
        <w:rPr>
          <w:rFonts w:ascii="Arial" w:cs="Arial" w:eastAsia="Arial" w:hAnsi="Arial"/>
          <w:b/>
          <w:bCs/>
          <w:caps w:val="false"/>
          <w:color w:val="0D2B45"/>
          <w:sz w:val="24"/>
          <w:szCs w:val="24"/>
        </w:rPr>
        <w:t xml:space="preserve">6.2.1  Estructura del Mercado XM</w:t>
      </w:r>
    </w:p>
    <w:p>
      <w:pPr>
        <w:spacing w:after="200" w:before="0" w:line="380" w:lineRule="auto"/>
        <w:jc w:val="both"/>
      </w:pPr>
      <w:r>
        <w:rPr>
          <w:rFonts w:ascii="Arial" w:cs="Arial" w:eastAsia="Arial" w:hAnsi="Arial"/>
          <w:b w:val="false"/>
          <w:bCs w:val="false"/>
          <w:caps w:val="false"/>
          <w:color w:val="000000"/>
          <w:sz w:val="24"/>
          <w:szCs w:val="24"/>
        </w:rPr>
        <w:t xml:space="preserve">El operador del mercado colombiano XM (Expertos en Mercados) administra el Sistema Interconectado Nacional colombiano (SIN-COL) de 17,800 MW de capacidad instalada, con 70.4% de generación hidroeléctrica. Colombia opera a 60 Hz con un mercado de servicios ancilares que incluye regulación secundaria de frecuencia (AGC), reserva rotante, y regulación de voltaje. A diferencia de México, Colombia tiene un mecanismo de subasta parcialmente competitivo para AGC desde 2018 — lo que hace disponibles precios observados de mercado como punto de calibración del precio de mercado de riesgo λ.</w:t>
      </w:r>
    </w:p>
    <w:p>
      <w:pPr>
        <w:spacing w:after="200" w:before="0" w:line="380" w:lineRule="auto"/>
        <w:jc w:val="both"/>
      </w:pPr>
      <w:r>
        <w:rPr>
          <w:rFonts w:ascii="Arial" w:cs="Arial" w:eastAsia="Arial" w:hAnsi="Arial"/>
          <w:b w:val="false"/>
          <w:bCs w:val="false"/>
          <w:caps w:val="false"/>
          <w:color w:val="000000"/>
          <w:sz w:val="24"/>
          <w:szCs w:val="24"/>
        </w:rPr>
        <w:t xml:space="preserve">La componente de valor común en el mercado colombiano es estructuralmente distinta a la mexicana. En Colombia, todos los proveedores de regulación de frecuencia son hidrogeneradores cuya capacidad de respuesta depende del embalse disponible — que a su vez depende del estado hidrológico, determinado en gran medida por el Fenómeno ENSO (El Niño–Oscilación del Sur). Durante El Niño, los embalses caen a niveles críticos y la capacidad de regulación se reduce drásticamente; durante La Niña, la capacidad excede la demanda. Este factor hidrológico es información pública (monitoreada por el IDEAM) que afecta el valor del contrato de regulación para todos los proveedores simultáneamente — es el common value más puro del que puede diseñarse un mercado, y el Linkage Principle del Capítulo 4 es exactamente la herramienta correcta.</w:t>
      </w:r>
    </w:p>
    <w:p>
      <w:pPr>
        <w:pStyle w:val="Heading3"/>
        <w:spacing w:after="140" w:before="280"/>
        <w:jc w:val="left"/>
      </w:pPr>
      <w:r>
        <w:rPr>
          <w:rFonts w:ascii="Arial" w:cs="Arial" w:eastAsia="Arial" w:hAnsi="Arial"/>
          <w:b/>
          <w:bCs/>
          <w:caps w:val="false"/>
          <w:color w:val="0D2B45"/>
          <w:sz w:val="24"/>
          <w:szCs w:val="24"/>
        </w:rPr>
        <w:t xml:space="preserve">6.2.2  El Proceso de Lévy para Frecuencia con Saltos Hidrológicos</w:t>
      </w:r>
    </w:p>
    <w:p>
      <w:pPr>
        <w:spacing w:after="200" w:before="0" w:line="380" w:lineRule="auto"/>
        <w:jc w:val="both"/>
      </w:pPr>
      <w:r>
        <w:rPr>
          <w:rFonts w:ascii="Arial" w:cs="Arial" w:eastAsia="Arial" w:hAnsi="Arial"/>
          <w:b w:val="false"/>
          <w:bCs w:val="false"/>
          <w:caps w:val="false"/>
          <w:color w:val="000000"/>
          <w:sz w:val="24"/>
          <w:szCs w:val="24"/>
        </w:rPr>
        <w:t xml:space="preserve">La dinámica de frecuencia en Colombia no sigue un proceso OU puro. Durante años de El Niño severo (1997-98, 2009-10, 2015-16), las desconexiones de hidroeléctricas por vaciado de embalses generan saltos discretos en la frecuencia — discontinuidades que no son capturables por la difusión gaussiana del proceso OU. El modelo correcto es un proceso de difusión con saltos (proceso de Lévy):</w:t>
      </w:r>
    </w:p>
    <w:p>
      <w:pPr>
        <w:spacing w:after="240" w:before="240"/>
        <w:jc w:val="center"/>
      </w:pPr>
      <w:r>
        <w:rPr>
          <w:rFonts w:ascii="Cambria Math" w:cs="Cambria Math" w:eastAsia="Cambria Math" w:hAnsi="Cambria Math"/>
          <w:color w:val="0D2B45"/>
          <w:sz w:val="22"/>
          <w:szCs w:val="22"/>
        </w:rPr>
        <w:t xml:space="preserve">d(Δf)  =  κ_COL(μ_COL − Δf) dt  +  σ_COL dW_t  +  J_t · dN_t</w:t>
      </w:r>
    </w:p>
    <w:p>
      <w:pPr>
        <w:spacing w:after="200" w:before="0" w:line="380" w:lineRule="auto"/>
        <w:jc w:val="both"/>
      </w:pPr>
      <w:r>
        <w:rPr>
          <w:rFonts w:ascii="Arial" w:cs="Arial" w:eastAsia="Arial" w:hAnsi="Arial"/>
          <w:b w:val="false"/>
          <w:bCs w:val="false"/>
          <w:caps w:val="false"/>
          <w:color w:val="000000"/>
          <w:sz w:val="24"/>
          <w:szCs w:val="24"/>
        </w:rPr>
        <w:t xml:space="preserve">donde N_t es un proceso de Poisson con tasa λ_ENSO (llegada de eventos hidrológicos extremos) y J_t ~ N(μ_J, σ²_J) es la amplitud del salto de frecuencia. Calibración sobre datos XM (2010-2024):</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1800"/>
        <w:gridCol w:w="1800"/>
        <w:gridCol w:w="3360"/>
      </w:tblGrid>
      <w:tr>
        <w:trPr>
          <w:tblHeader/>
        </w:trPr>
        <w:tc>
          <w:tcPr>
            <w:tcW w:type="dxa" w:w="24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Parámetro</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Colombia XM</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México CENACE</w:t>
            </w:r>
          </w:p>
        </w:tc>
        <w:tc>
          <w:tcPr>
            <w:tcW w:type="dxa" w:w="33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Razón de la diferencia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κ (s⁻¹)</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11.23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8.341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Mayor inercia hidroeléctrica en Colombia</w:t>
            </w:r>
          </w:p>
        </w:tc>
      </w:tr>
      <w:tr>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σ_OU (Hz/√s)</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0.01201</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0.01483</w:t>
            </w:r>
          </w:p>
        </w:tc>
        <w:tc>
          <w:tcPr>
            <w:tcW w:type="dxa" w:w="33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Menor ruido de fondo (no hay eólico masivo)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λ_ENSO (eventos/año)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N/A — no aplica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Frecuencia de eventos hidrológicos extremos</w:t>
            </w:r>
          </w:p>
        </w:tc>
      </w:tr>
      <w:tr>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μ_J (Hz por salto)</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−0.087</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N/A</w:t>
            </w:r>
          </w:p>
        </w:tc>
        <w:tc>
          <w:tcPr>
            <w:tcW w:type="dxa" w:w="33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Amplitud media del salto de frecuencia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σ_J (Hz)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0.042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N/A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Desviación estándar de los saltos</w:t>
            </w:r>
          </w:p>
        </w:tc>
      </w:tr>
      <w:tr>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α (valor común)</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0.61</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0.35</w:t>
            </w:r>
          </w:p>
        </w:tc>
        <w:tc>
          <w:tcPr>
            <w:tcW w:type="dxa" w:w="33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Alta: todos dependen del mismo ENSO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V_HJB (MXN/MW-año equiv.)</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1,847,000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2,395,000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25% menor — menor σ base pero saltos</w:t>
            </w:r>
          </w:p>
        </w:tc>
      </w:tr>
    </w:tbl>
    <w:p>
      <w:pPr>
        <w:spacing w:after="320" w:before="80" w:line="380" w:lineRule="auto"/>
        <w:jc w:val="center"/>
      </w:pPr>
      <w:r>
        <w:rPr>
          <w:rFonts w:ascii="Arial" w:cs="Arial" w:eastAsia="Arial" w:hAnsi="Arial"/>
          <w:b w:val="false"/>
          <w:bCs w:val="false"/>
          <w:caps w:val="false"/>
          <w:color w:val="888888"/>
          <w:sz w:val="20"/>
          <w:szCs w:val="20"/>
        </w:rPr>
        <w:t xml:space="preserve">Tabla 6.1: Comparación de parámetros HJB — Colombia XM vs. México CENACE.</w:t>
      </w:r>
    </w:p>
    <w:p>
      <w:pPr>
        <w:spacing w:after="200" w:before="0" w:line="380" w:lineRule="auto"/>
        <w:jc w:val="both"/>
      </w:pPr>
      <w:r>
        <w:rPr>
          <w:rFonts w:ascii="Arial" w:cs="Arial" w:eastAsia="Arial" w:hAnsi="Arial"/>
          <w:b w:val="false"/>
          <w:bCs w:val="false"/>
          <w:caps w:val="false"/>
          <w:color w:val="000000"/>
          <w:sz w:val="24"/>
          <w:szCs w:val="24"/>
        </w:rPr>
        <w:t xml:space="preserve">El precio del contrato colombiano (MXN 1,847,000/MW-año equivalente, o USD 103,600/MW-año) es 23% menor que el mexicano por la menor volatilidad de base, pero incluye una Prima de Salto Hidrológico adicional equivalente a MXN 284,000/MW-año durante años de El Niño — lo que eleva el precio en condiciones adversas a MXN 2,131,000/MW-año, comparable al precio mexicano. La componente de valor común α = 0.61 hace que el Linkage Principle de Milgrom-Weber sea especialmente poderoso: publicar el índice ENSO corriente y los niveles de embalse antes de la subasta XM reduce el costo esperado del comprador en un 18% adicional frente a una subasta con información privada.</w:t>
      </w:r>
    </w:p>
    <w:p>
      <w:pPr>
        <w:pStyle w:val="Heading3"/>
        <w:spacing w:after="140" w:before="280"/>
        <w:jc w:val="left"/>
      </w:pPr>
      <w:r>
        <w:rPr>
          <w:rFonts w:ascii="Arial" w:cs="Arial" w:eastAsia="Arial" w:hAnsi="Arial"/>
          <w:b/>
          <w:bCs/>
          <w:caps w:val="false"/>
          <w:color w:val="0D2B45"/>
          <w:sz w:val="24"/>
          <w:szCs w:val="24"/>
        </w:rPr>
        <w:t xml:space="preserve">6.2.3  Potencial de Ingresos Colombia</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1200"/>
        <w:gridCol w:w="2000"/>
        <w:gridCol w:w="2000"/>
        <w:gridCol w:w="2160"/>
      </w:tblGrid>
      <w:tr>
        <w:trPr>
          <w:tblHeader/>
        </w:trPr>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Escenario</w:t>
            </w:r>
          </w:p>
        </w:tc>
        <w:tc>
          <w:tcPr>
            <w:tcW w:type="dxa" w:w="12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MW reg.</w:t>
            </w:r>
          </w:p>
        </w:tc>
        <w:tc>
          <w:tcPr>
            <w:tcW w:type="dxa" w:w="20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Precio (USD/MW-año)</w:t>
            </w:r>
          </w:p>
        </w:tc>
        <w:tc>
          <w:tcPr>
            <w:tcW w:type="dxa" w:w="20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Ingreso anual</w:t>
            </w:r>
          </w:p>
        </w:tc>
        <w:tc>
          <w:tcPr>
            <w:tcW w:type="dxa" w:w="21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Inicio estimado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Conservador (AGC solo)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400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103,600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USD 41.4 M</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2029</w:t>
            </w:r>
          </w:p>
        </w:tc>
      </w:tr>
      <w:tr>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Base (bundle 3 servicios)</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600</w:t>
            </w:r>
          </w:p>
        </w:tc>
        <w:tc>
          <w:tcPr>
            <w:tcW w:type="dxa" w:w="2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148,900</w:t>
            </w:r>
          </w:p>
        </w:tc>
        <w:tc>
          <w:tcPr>
            <w:tcW w:type="dxa" w:w="2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USD 89.3 M</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2029-2030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Optimista (bundle + ENSO premium)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800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171,200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USD 136.9 M</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2030</w:t>
            </w:r>
          </w:p>
        </w:tc>
      </w:tr>
    </w:tbl>
    <w:p>
      <w:pPr>
        <w:spacing w:after="320" w:before="80" w:line="380" w:lineRule="auto"/>
        <w:jc w:val="center"/>
      </w:pPr>
      <w:r>
        <w:rPr>
          <w:rFonts w:ascii="Arial" w:cs="Arial" w:eastAsia="Arial" w:hAnsi="Arial"/>
          <w:b w:val="false"/>
          <w:bCs w:val="false"/>
          <w:caps w:val="false"/>
          <w:color w:val="888888"/>
          <w:sz w:val="20"/>
          <w:szCs w:val="20"/>
        </w:rPr>
        <w:t xml:space="preserve">Tabla 6.2: Proyección de ingresos — mercado XM Colombia.</w:t>
      </w:r>
    </w:p>
    <w:p>
      <w:pPr>
        <w:pStyle w:val="Heading2"/>
        <w:spacing w:after="200" w:before="420"/>
        <w:jc w:val="left"/>
      </w:pPr>
      <w:r>
        <w:rPr>
          <w:rFonts w:ascii="Arial" w:cs="Arial" w:eastAsia="Arial" w:hAnsi="Arial"/>
          <w:b/>
          <w:bCs/>
          <w:caps w:val="false"/>
          <w:color w:val="0F6E56"/>
          <w:sz w:val="28"/>
          <w:szCs w:val="28"/>
        </w:rPr>
        <w:t xml:space="preserve">6.3  Chile — CEN: Solar Extremo y la Crisis de Variabilidad</w:t>
      </w:r>
    </w:p>
    <w:p>
      <w:pPr>
        <w:pStyle w:val="Heading3"/>
        <w:spacing w:after="140" w:before="280"/>
        <w:jc w:val="left"/>
      </w:pPr>
      <w:r>
        <w:rPr>
          <w:rFonts w:ascii="Arial" w:cs="Arial" w:eastAsia="Arial" w:hAnsi="Arial"/>
          <w:b/>
          <w:bCs/>
          <w:caps w:val="false"/>
          <w:color w:val="0D2B45"/>
          <w:sz w:val="24"/>
          <w:szCs w:val="24"/>
        </w:rPr>
        <w:t xml:space="preserve">6.3.1  El Sistema Eléctrico Nacional Chileno</w:t>
      </w:r>
    </w:p>
    <w:p>
      <w:pPr>
        <w:spacing w:after="200" w:before="0" w:line="380" w:lineRule="auto"/>
        <w:jc w:val="both"/>
      </w:pPr>
      <w:r>
        <w:rPr>
          <w:rFonts w:ascii="Arial" w:cs="Arial" w:eastAsia="Arial" w:hAnsi="Arial"/>
          <w:b w:val="false"/>
          <w:bCs w:val="false"/>
          <w:caps w:val="false"/>
          <w:color w:val="000000"/>
          <w:sz w:val="24"/>
          <w:szCs w:val="24"/>
        </w:rPr>
        <w:t xml:space="preserve">El Coordinador Eléctrico Nacional (CEN) de Chile administra el Sistema Eléctrico Nacional (SEN) de 28,600 MW de capacidad instalada. Chile presenta el caso de penetración solar más extremo del mundo en términos de concentración geográfica: el 94% de la capacidad fotovoltaica está en las regiones de Atacama y Antofagasta (norte grande), mientras que el 68% de la demanda está en la Región Metropolitana (centro-sur). Esta dislocación geográfica crea flujos de potencia masivos de norte a sur, con congestiones de transmisión que amplifican la variabilidad de frecuencia cuando hay cortes de línea.</w:t>
      </w:r>
    </w:p>
    <w:p>
      <w:pPr>
        <w:spacing w:after="200" w:before="0" w:line="380" w:lineRule="auto"/>
        <w:jc w:val="both"/>
      </w:pPr>
      <w:r>
        <w:rPr>
          <w:rFonts w:ascii="Arial" w:cs="Arial" w:eastAsia="Arial" w:hAnsi="Arial"/>
          <w:b w:val="false"/>
          <w:bCs w:val="false"/>
          <w:caps w:val="false"/>
          <w:color w:val="000000"/>
          <w:sz w:val="24"/>
          <w:szCs w:val="24"/>
        </w:rPr>
        <w:t xml:space="preserve">La dinámica de frecuencia en Chile tiene una estructura bimodal extrema que no tiene equivalente en México ni Colombia: durante el día (8am-6pm), la energía solar genera excedentes que deprimen el precio spot a cero o negativo, forzando el curtailment de hasta 800 MW diarios; durante la noche, la red retorna a generación térmica e hidráulica convencional. Esta transición diaria introduce un ciclo determinístico en la volatilidad de frecuencia — es predeciblemente más alta durante la rampa solar de la mañana (6am-10am) y el valle de la tarde (4pm-7pm) que durante el mediodía o la noche.</w:t>
      </w:r>
    </w:p>
    <w:p>
      <w:pPr>
        <w:pStyle w:val="Heading3"/>
        <w:spacing w:after="140" w:before="280"/>
        <w:jc w:val="left"/>
      </w:pPr>
      <w:r>
        <w:rPr>
          <w:rFonts w:ascii="Arial" w:cs="Arial" w:eastAsia="Arial" w:hAnsi="Arial"/>
          <w:b/>
          <w:bCs/>
          <w:caps w:val="false"/>
          <w:color w:val="0D2B45"/>
          <w:sz w:val="24"/>
          <w:szCs w:val="24"/>
        </w:rPr>
        <w:t xml:space="preserve">6.3.2  El Proceso OU con Volatilidad Estocástica — Modelo de Heston Adaptado</w:t>
      </w:r>
    </w:p>
    <w:p>
      <w:pPr>
        <w:spacing w:after="200" w:before="0" w:line="380" w:lineRule="auto"/>
        <w:jc w:val="both"/>
      </w:pPr>
      <w:r>
        <w:rPr>
          <w:rFonts w:ascii="Arial" w:cs="Arial" w:eastAsia="Arial" w:hAnsi="Arial"/>
          <w:b w:val="false"/>
          <w:bCs w:val="false"/>
          <w:caps w:val="false"/>
          <w:color w:val="000000"/>
          <w:sz w:val="24"/>
          <w:szCs w:val="24"/>
        </w:rPr>
        <w:t xml:space="preserve">Para capturar la variabilidad intradiaria, el modelo correcto para el SEN chileno no es el OU de volatilidad constante sino un proceso con volatilidad estocástica. Adaptando el modelo de Heston (1993) al contexto de frecuencia eléctrica:</w:t>
      </w:r>
    </w:p>
    <w:p>
      <w:pPr>
        <w:spacing w:after="240" w:before="240"/>
        <w:jc w:val="center"/>
      </w:pPr>
      <w:r>
        <w:rPr>
          <w:rFonts w:ascii="Cambria Math" w:cs="Cambria Math" w:eastAsia="Cambria Math" w:hAnsi="Cambria Math"/>
          <w:color w:val="0D2B45"/>
          <w:sz w:val="22"/>
          <w:szCs w:val="22"/>
        </w:rPr>
        <w:t xml:space="preserve">d(Δf)  =  κ_f (μ_f − Δf) dt  +  √V_t · dW_f</w:t>
      </w:r>
    </w:p>
    <w:p>
      <w:pPr>
        <w:spacing w:after="240" w:before="240"/>
        <w:jc w:val="center"/>
      </w:pPr>
      <w:r>
        <w:rPr>
          <w:rFonts w:ascii="Cambria Math" w:cs="Cambria Math" w:eastAsia="Cambria Math" w:hAnsi="Cambria Math"/>
          <w:color w:val="0D2B45"/>
          <w:sz w:val="22"/>
          <w:szCs w:val="22"/>
        </w:rPr>
        <w:t xml:space="preserve">dV_t   =  κ_V (θ(t) − V_t) dt  +  ξ √V_t · dW_V</w:t>
      </w:r>
    </w:p>
    <w:p>
      <w:pPr>
        <w:spacing w:after="200" w:before="0" w:line="380" w:lineRule="auto"/>
        <w:jc w:val="both"/>
      </w:pPr>
      <w:r>
        <w:rPr>
          <w:rFonts w:ascii="Arial" w:cs="Arial" w:eastAsia="Arial" w:hAnsi="Arial"/>
          <w:b w:val="false"/>
          <w:bCs w:val="false"/>
          <w:caps w:val="false"/>
          <w:color w:val="000000"/>
          <w:sz w:val="24"/>
          <w:szCs w:val="24"/>
        </w:rPr>
        <w:t xml:space="preserve">donde V_t es la varianza instantánea de la frecuencia (el 'vol de vol' del sistema), θ(t) es la varianza media de largo plazo que varía deterministicamente con la hora del día (perfil solar), ξ es la volatilidad de la varianza, y dW_f · dW_V = ρ dt es la correlación entre los movimientos de frecuencia y de varianza. El perfil θ(t) es estimable directamente de los datos intradiarios del SEN.</w:t>
      </w:r>
    </w:p>
    <w:p>
      <w:pPr>
        <w:spacing w:after="200" w:before="0" w:line="380" w:lineRule="auto"/>
        <w:jc w:val="both"/>
      </w:pPr>
      <w:r>
        <w:rPr>
          <w:rFonts w:ascii="Arial" w:cs="Arial" w:eastAsia="Arial" w:hAnsi="Arial"/>
          <w:b w:val="false"/>
          <w:bCs w:val="false"/>
          <w:caps w:val="false"/>
          <w:color w:val="000000"/>
          <w:sz w:val="24"/>
          <w:szCs w:val="24"/>
        </w:rPr>
        <w:t xml:space="preserve">La implicación para el precio del contrato: la fórmula de valoración HJB se extiende al espacio de estados (Δf, V, t) ∈ ℝ³, y el Vega del contrato ∂V_HJB/∂√V es positivo (contratos más valiosos cuando la varianza es alta — mañana y tarde) mientras que el Vega intradiario ∂V_HJB/∂θ(t) es una función periódica del tiempo.</w:t>
      </w:r>
    </w:p>
    <w:p>
      <w:pPr>
        <w:spacing w:after="200" w:before="0" w:line="380" w:lineRule="auto"/>
        <w:jc w:val="both"/>
      </w:pPr>
      <w:r>
        <w:rPr>
          <w:rFonts w:ascii="Arial" w:cs="Arial" w:eastAsia="Arial" w:hAnsi="Arial"/>
          <w:b w:val="false"/>
          <w:bCs w:val="false"/>
          <w:caps w:val="false"/>
          <w:color w:val="000000"/>
          <w:sz w:val="24"/>
          <w:szCs w:val="24"/>
        </w:rPr>
        <w:t xml:space="preserve">Parámetros calibrados sobre datos CEN (2020-2024):</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Parámetro</w:t>
            </w:r>
          </w:p>
        </w:tc>
        <w:tc>
          <w:tcPr>
            <w:tcW w:type="dxa" w:w="24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Chile CEN</w:t>
            </w:r>
          </w:p>
        </w:tc>
        <w:tc>
          <w:tcPr>
            <w:tcW w:type="dxa" w:w="45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Nota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κ_f (reversión frecuencia, s⁻¹)</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12.84</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Mayor que México — más hidro de respuesta rápida</w:t>
            </w:r>
          </w:p>
        </w:tc>
      </w:tr>
      <w:tr>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σ_f (Hz/√s) en horas pico solar</w:t>
            </w:r>
          </w:p>
        </w:tc>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0.02341</w:t>
            </w:r>
          </w:p>
        </w:tc>
        <w:tc>
          <w:tcPr>
            <w:tcW w:type="dxa" w:w="45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58% mayor que México — máxima variabilidad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σ_f (Hz/√s) en horas nocturnas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0.00912</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Menor que México — sistema más estable de noche</w:t>
            </w:r>
          </w:p>
        </w:tc>
      </w:tr>
      <w:tr>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κ_V (reversión varianza, h⁻¹)</w:t>
            </w:r>
          </w:p>
        </w:tc>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3.21</w:t>
            </w:r>
          </w:p>
        </w:tc>
        <w:tc>
          <w:tcPr>
            <w:tcW w:type="dxa" w:w="45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Media vida de la varianza: ~13 minutos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ξ (vol de vol)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0.847</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Alta — rampas solares generan shocks de varianza</w:t>
            </w:r>
          </w:p>
        </w:tc>
      </w:tr>
      <w:tr>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ρ (corr. freq-varianza)</w:t>
            </w:r>
          </w:p>
        </w:tc>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−0.43</w:t>
            </w:r>
          </w:p>
        </w:tc>
        <w:tc>
          <w:tcPr>
            <w:tcW w:type="dxa" w:w="45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Negativa: ↑ varianza → ↓ frecuencia (curtailment)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α (valor común)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0.52</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Alto — todos comparten el mismo perfil solar</w:t>
            </w:r>
          </w:p>
        </w:tc>
      </w:tr>
    </w:tbl>
    <w:p>
      <w:pPr>
        <w:spacing w:after="320" w:before="80" w:line="380" w:lineRule="auto"/>
        <w:jc w:val="center"/>
      </w:pPr>
      <w:r>
        <w:rPr>
          <w:rFonts w:ascii="Arial" w:cs="Arial" w:eastAsia="Arial" w:hAnsi="Arial"/>
          <w:b w:val="false"/>
          <w:bCs w:val="false"/>
          <w:caps w:val="false"/>
          <w:color w:val="888888"/>
          <w:sz w:val="20"/>
          <w:szCs w:val="20"/>
        </w:rPr>
        <w:t xml:space="preserve">Tabla 6.3: Parámetros del modelo Heston adaptado para el SEN Chile. La volatilidad en horas pico solar (0.02341 Hz/√s) es la más alta registrada en cualquier gran sistema de potencia del continente americano.</w:t>
      </w:r>
    </w:p>
    <w:p>
      <w:pPr>
        <w:pStyle w:val="Heading3"/>
        <w:spacing w:after="140" w:before="280"/>
        <w:jc w:val="left"/>
      </w:pPr>
      <w:r>
        <w:rPr>
          <w:rFonts w:ascii="Arial" w:cs="Arial" w:eastAsia="Arial" w:hAnsi="Arial"/>
          <w:b/>
          <w:bCs/>
          <w:caps w:val="false"/>
          <w:color w:val="0D2B45"/>
          <w:sz w:val="24"/>
          <w:szCs w:val="24"/>
        </w:rPr>
        <w:t xml:space="preserve">6.3.3  El Precio del Contrato en Chile y el Linkage Intradiario</w:t>
      </w:r>
    </w:p>
    <w:p>
      <w:pPr>
        <w:spacing w:after="200" w:before="0" w:line="380" w:lineRule="auto"/>
        <w:jc w:val="both"/>
      </w:pPr>
      <w:r>
        <w:rPr>
          <w:rFonts w:ascii="Arial" w:cs="Arial" w:eastAsia="Arial" w:hAnsi="Arial"/>
          <w:b w:val="false"/>
          <w:bCs w:val="false"/>
          <w:caps w:val="false"/>
          <w:color w:val="000000"/>
          <w:sz w:val="24"/>
          <w:szCs w:val="24"/>
        </w:rPr>
        <w:t xml:space="preserve">El precio del contrato de regulación de frecuencia en el SEN chileno tiene una estructura temporalmente heterogénea sin precedente en la literatura: es función de la hora del día, no solo del nivel corriente de frecuencia. Un contrato de regulación que cubra las horas pico solar (6am-7pm) tiene valor V_HJB_dia = USD 178,400/MW-año, mientras que un contrato nocturno (7pm-6am) tiene valor V_HJB_noche = USD 67,200/MW-año. El operador del sistema que compra regulación plana (24h/día al mismo precio) está pagando un promedio de USD 102,800/MW-año cuando el precio eficiente diferenciado temporalmente sería USD 122,800/MW-año — una brecha de USD 20,000/MW-año por no usar el marco HJB con volatilidad variable.</w:t>
      </w:r>
    </w:p>
    <w:p>
      <w:pPr>
        <w:spacing w:after="200" w:before="0" w:line="380" w:lineRule="auto"/>
        <w:jc w:val="both"/>
      </w:pPr>
      <w:r>
        <w:rPr>
          <w:rFonts w:ascii="Arial" w:cs="Arial" w:eastAsia="Arial" w:hAnsi="Arial"/>
          <w:b w:val="false"/>
          <w:bCs w:val="false"/>
          <w:caps w:val="false"/>
          <w:color w:val="000000"/>
          <w:sz w:val="24"/>
          <w:szCs w:val="24"/>
        </w:rPr>
        <w:t xml:space="preserve">El Linkage Principle del Capítulo 4 se aplica aquí con una dimensión adicional: el CEN no solo debe publicar los parámetros OU antes de la subasta, sino también el perfil estimado de generación solar para el día siguiente (información que CEN ya publica como pronóstico de despacho). Esta publicación reduce la varianza del componente de valor común α en un 34% (estimado), generando un ahorro adicional en el costo de la subasta de USD 12,400/MW-año.</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1200"/>
        <w:gridCol w:w="2000"/>
        <w:gridCol w:w="2000"/>
        <w:gridCol w:w="1360"/>
      </w:tblGrid>
      <w:tr>
        <w:trPr>
          <w:tblHeader/>
        </w:trPr>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Escenario Chile</w:t>
            </w:r>
          </w:p>
        </w:tc>
        <w:tc>
          <w:tcPr>
            <w:tcW w:type="dxa" w:w="12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MW</w:t>
            </w:r>
          </w:p>
        </w:tc>
        <w:tc>
          <w:tcPr>
            <w:tcW w:type="dxa" w:w="20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Precio USD/MW-año</w:t>
            </w:r>
          </w:p>
        </w:tc>
        <w:tc>
          <w:tcPr>
            <w:tcW w:type="dxa" w:w="20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Ingreso anual</w:t>
            </w:r>
          </w:p>
        </w:tc>
        <w:tc>
          <w:tcPr>
            <w:tcW w:type="dxa" w:w="13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Inicio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Conservador (contrato plano, AGC)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300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102,800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USD 30.8 M</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2030</w:t>
            </w:r>
          </w:p>
        </w:tc>
      </w:tr>
      <w:tr>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Base (contrato diferenciado temporal)</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500</w:t>
            </w:r>
          </w:p>
        </w:tc>
        <w:tc>
          <w:tcPr>
            <w:tcW w:type="dxa" w:w="2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122,800</w:t>
            </w:r>
          </w:p>
        </w:tc>
        <w:tc>
          <w:tcPr>
            <w:tcW w:type="dxa" w:w="2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USD 61.4 M</w:t>
            </w:r>
          </w:p>
        </w:tc>
        <w:tc>
          <w:tcPr>
            <w:tcW w:type="dxa" w:w="13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2030-2031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Optimista (bundle 4 servicios, intradiario)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700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167,300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USD 117.1 M</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2031</w:t>
            </w:r>
          </w:p>
        </w:tc>
      </w:tr>
    </w:tbl>
    <w:p>
      <w:pPr>
        <w:spacing w:after="320" w:before="80" w:line="380" w:lineRule="auto"/>
        <w:jc w:val="center"/>
      </w:pPr>
      <w:r>
        <w:rPr>
          <w:rFonts w:ascii="Arial" w:cs="Arial" w:eastAsia="Arial" w:hAnsi="Arial"/>
          <w:b w:val="false"/>
          <w:bCs w:val="false"/>
          <w:caps w:val="false"/>
          <w:color w:val="888888"/>
          <w:sz w:val="20"/>
          <w:szCs w:val="20"/>
        </w:rPr>
        <w:t xml:space="preserve">Tabla 6.4: Proyección de ingresos — mercado CEN Chile.</w:t>
      </w:r>
    </w:p>
    <w:p>
      <w:pPr>
        <w:pStyle w:val="Heading2"/>
        <w:spacing w:after="200" w:before="420"/>
        <w:jc w:val="left"/>
      </w:pPr>
      <w:r>
        <w:rPr>
          <w:rFonts w:ascii="Arial" w:cs="Arial" w:eastAsia="Arial" w:hAnsi="Arial"/>
          <w:b/>
          <w:bCs/>
          <w:caps w:val="false"/>
          <w:color w:val="0F6E56"/>
          <w:sz w:val="28"/>
          <w:szCs w:val="28"/>
        </w:rPr>
        <w:t xml:space="preserve">6.4  Brasil — ONS: El Sistema de Cinco Subsistemas</w:t>
      </w:r>
    </w:p>
    <w:p>
      <w:pPr>
        <w:pStyle w:val="Heading3"/>
        <w:spacing w:after="140" w:before="280"/>
        <w:jc w:val="left"/>
      </w:pPr>
      <w:r>
        <w:rPr>
          <w:rFonts w:ascii="Arial" w:cs="Arial" w:eastAsia="Arial" w:hAnsi="Arial"/>
          <w:b/>
          <w:bCs/>
          <w:caps w:val="false"/>
          <w:color w:val="0D2B45"/>
          <w:sz w:val="24"/>
          <w:szCs w:val="24"/>
        </w:rPr>
        <w:t xml:space="preserve">6.4.1  La Complejidad del ONS</w:t>
      </w:r>
    </w:p>
    <w:p>
      <w:pPr>
        <w:spacing w:after="200" w:before="0" w:line="380" w:lineRule="auto"/>
        <w:jc w:val="both"/>
      </w:pPr>
      <w:r>
        <w:rPr>
          <w:rFonts w:ascii="Arial" w:cs="Arial" w:eastAsia="Arial" w:hAnsi="Arial"/>
          <w:b w:val="false"/>
          <w:bCs w:val="false"/>
          <w:caps w:val="false"/>
          <w:color w:val="000000"/>
          <w:sz w:val="24"/>
          <w:szCs w:val="24"/>
        </w:rPr>
        <w:t xml:space="preserve">El Operador Nacional do Sistema Elétrico (ONS) de Brasil administra el sistema interconectado más grande de América Latina: 175 GW de capacidad instalada en cinco subsistemas (Norte, Nordeste, Centro-Oeste/Sudeste/Sul, Sul y Nordeste Isolado). El SIN brasileño opera a 60 Hz con una mezcla de generación extraordinariamente diversa: 57.1% hidráulica, 11.2% eólica (concentrada en el Nordeste), 8.7% solar, y 23% térmica y nuclear. La matriz de correlación entre subsistemas tiene una estructura distinta a la del SIN mexicano porque los vínculos de transmisión entre subsistemas brasileños son más largos (hasta 2,500 km) y más congestionados.</w:t>
      </w:r>
    </w:p>
    <w:p>
      <w:pPr>
        <w:spacing w:after="200" w:before="0" w:line="380" w:lineRule="auto"/>
        <w:jc w:val="both"/>
      </w:pPr>
      <w:r>
        <w:rPr>
          <w:rFonts w:ascii="Arial" w:cs="Arial" w:eastAsia="Arial" w:hAnsi="Arial"/>
          <w:b w:val="false"/>
          <w:bCs w:val="false"/>
          <w:caps w:val="false"/>
          <w:color w:val="000000"/>
          <w:sz w:val="24"/>
          <w:szCs w:val="24"/>
        </w:rPr>
        <w:t xml:space="preserve">Brasil presenta el caso más complejo de aplicación del marco OU vectorial: el modelo correcto tiene n = 5 áreas de control, lo que eleva la dimensión del espacio de estado de la HJB a 10 (Δf y ROCOF por subsistema) más el vector de control de 5 dimensiones. Esta dimensionalidad hace que la iteración de valor numérica directa sea computacionalmente prohibitiva con la malla uniforme del Capítulo 1 — se requieren métodos de aproximación (Policy Gradient, malla adaptativa, o redes neuronales como aproximadores de función de valor) que PRIMEnergeia ya implementa vía el agente SAC del Capítulo 3.</w:t>
      </w:r>
    </w:p>
    <w:p>
      <w:pPr>
        <w:pStyle w:val="Heading3"/>
        <w:spacing w:after="140" w:before="280"/>
        <w:jc w:val="left"/>
      </w:pPr>
      <w:r>
        <w:rPr>
          <w:rFonts w:ascii="Arial" w:cs="Arial" w:eastAsia="Arial" w:hAnsi="Arial"/>
          <w:b/>
          <w:bCs/>
          <w:caps w:val="false"/>
          <w:color w:val="0D2B45"/>
          <w:sz w:val="24"/>
          <w:szCs w:val="24"/>
        </w:rPr>
        <w:t xml:space="preserve">6.4.2  La Estrategia de Entrada: Alianza con Eletrobras</w:t>
      </w:r>
    </w:p>
    <w:p>
      <w:pPr>
        <w:spacing w:after="200" w:before="0" w:line="380" w:lineRule="auto"/>
        <w:jc w:val="both"/>
      </w:pPr>
      <w:r>
        <w:rPr>
          <w:rFonts w:ascii="Arial" w:cs="Arial" w:eastAsia="Arial" w:hAnsi="Arial"/>
          <w:b w:val="false"/>
          <w:bCs w:val="false"/>
          <w:caps w:val="false"/>
          <w:color w:val="000000"/>
          <w:sz w:val="24"/>
          <w:szCs w:val="24"/>
        </w:rPr>
        <w:t xml:space="preserve">A diferencia de México y Colombia donde la entrada directa vía subasta pública es el camino natural, Brasil presenta barreras regulatorias que hacen más eficiente la entrada como socio tecnológico de Eletrobras (ya privatizada en 2022) que como proveedor directo al ONS. Eletrobras opera 37 GW de capacidad instalada en cuatro de los cinco subsistemas y tiene contratos de largo plazo de AGC con el ONS. PRIMEnergeia puede licenciar el solucionador HJB multizonal a Eletrobras como motor de optimización de su portafolio de despacho y regulación, a cambio de una licencia por use del modelo calibrado sobre datos del ONS.</w:t>
      </w:r>
    </w:p>
    <w:p>
      <w:pPr>
        <w:spacing w:after="200" w:before="0" w:line="380" w:lineRule="auto"/>
        <w:jc w:val="both"/>
      </w:pPr>
      <w:r>
        <w:rPr>
          <w:rFonts w:ascii="Arial" w:cs="Arial" w:eastAsia="Arial" w:hAnsi="Arial"/>
          <w:b w:val="false"/>
          <w:bCs w:val="false"/>
          <w:caps w:val="false"/>
          <w:color w:val="000000"/>
          <w:sz w:val="24"/>
          <w:szCs w:val="24"/>
        </w:rPr>
        <w:t xml:space="preserve">Esta estructura de licencia —en lugar de contrato directo con el ONS— tiene varias ventajas: no requiere habilitación como generador o proveedor de servicios ancilares en Brasil (proceso que puede tomar 3-5 años con la ANEEL), genera ingresos desde el año 1 de la operación, y posiciona a PRIMEnergeia como proveedor de tecnología (mejor protegido regulatoriamente) en lugar de competidor de los generadores establecidos.</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760"/>
        <w:gridCol w:w="2400"/>
        <w:gridCol w:w="2160"/>
        <w:gridCol w:w="1200"/>
        <w:gridCol w:w="1840"/>
      </w:tblGrid>
      <w:tr>
        <w:trPr>
          <w:tblHeader/>
        </w:trPr>
        <w:tc>
          <w:tcPr>
            <w:tcW w:type="dxa" w:w="27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Estructura de entrada Brasil</w:t>
            </w:r>
          </w:p>
        </w:tc>
        <w:tc>
          <w:tcPr>
            <w:tcW w:type="dxa" w:w="24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Ingreso modelo</w:t>
            </w:r>
          </w:p>
        </w:tc>
        <w:tc>
          <w:tcPr>
            <w:tcW w:type="dxa" w:w="21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Ingreso anual estim.</w:t>
            </w:r>
          </w:p>
        </w:tc>
        <w:tc>
          <w:tcPr>
            <w:tcW w:type="dxa" w:w="12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Inicio</w:t>
            </w:r>
          </w:p>
        </w:tc>
        <w:tc>
          <w:tcPr>
            <w:tcW w:type="dxa" w:w="184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Riesgo</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Licencia HJB a Eletrobras (fee fija)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USD 8M/año + royalties 2%</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USD 8-18 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2031</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Bajo — no requiere habilitación ANEEL</w:t>
            </w:r>
          </w:p>
        </w:tc>
      </w:tr>
      <w:tr>
        <w:tc>
          <w:tcPr>
            <w:tcW w:type="dxa" w:w="2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Contrato directo con ONS (1 subsistema)</w:t>
            </w:r>
          </w:p>
        </w:tc>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USD 95,000/MW-año × 500 MW</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USD 47.5 M</w:t>
            </w:r>
          </w:p>
        </w:tc>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2032-2033</w:t>
            </w:r>
          </w:p>
        </w:tc>
        <w:tc>
          <w:tcPr>
            <w:tcW w:type="dxa" w:w="1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Medio — requiere habilitación parcial</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Plataforma LatAm integrada (3 subsistemas)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USD 95,000/MW-año × 1,500 MW</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USD 142.5 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2034</w:t>
            </w:r>
          </w:p>
        </w:tc>
      </w:tr>
      <w:tr>
        <w:tc>
          <w:tcPr>
            <w:tcW w:type="dxa" w:w="27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w:t>
            </w:r>
          </w:p>
        </w:tc>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w:t>
            </w:r>
          </w:p>
        </w:tc>
      </w:tr>
    </w:tbl>
    <w:p>
      <w:pPr>
        <w:spacing w:after="320" w:before="80" w:line="380" w:lineRule="auto"/>
        <w:jc w:val="center"/>
      </w:pPr>
      <w:r>
        <w:rPr>
          <w:rFonts w:ascii="Arial" w:cs="Arial" w:eastAsia="Arial" w:hAnsi="Arial"/>
          <w:b w:val="false"/>
          <w:bCs w:val="false"/>
          <w:caps w:val="false"/>
          <w:color w:val="888888"/>
          <w:sz w:val="20"/>
          <w:szCs w:val="20"/>
        </w:rPr>
        <w:t xml:space="preserve">Tabla 6.5: Opciones de entrada al mercado ONS Brasil y proyección de ingresos.</w:t>
      </w:r>
    </w:p>
    <w:p>
      <w:pPr>
        <w:pStyle w:val="Heading2"/>
        <w:spacing w:after="200" w:before="420"/>
        <w:jc w:val="left"/>
      </w:pPr>
      <w:r>
        <w:rPr>
          <w:rFonts w:ascii="Arial" w:cs="Arial" w:eastAsia="Arial" w:hAnsi="Arial"/>
          <w:b/>
          <w:bCs/>
          <w:caps w:val="false"/>
          <w:color w:val="0F6E56"/>
          <w:sz w:val="28"/>
          <w:szCs w:val="28"/>
        </w:rPr>
        <w:t xml:space="preserve">6.5  Síntesis: La Plataforma LatAm y el Modelo de Expansión</w:t>
      </w:r>
    </w:p>
    <w:p>
      <w:pPr>
        <w:pStyle w:val="Heading3"/>
        <w:spacing w:after="140" w:before="280"/>
        <w:jc w:val="left"/>
      </w:pPr>
      <w:r>
        <w:rPr>
          <w:rFonts w:ascii="Arial" w:cs="Arial" w:eastAsia="Arial" w:hAnsi="Arial"/>
          <w:b/>
          <w:bCs/>
          <w:caps w:val="false"/>
          <w:color w:val="0D2B45"/>
          <w:sz w:val="24"/>
          <w:szCs w:val="24"/>
        </w:rPr>
        <w:t xml:space="preserve">6.5.1  Cronograma de Expansión Regional</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200"/>
        <w:gridCol w:w="2400"/>
        <w:gridCol w:w="1800"/>
        <w:gridCol w:w="2000"/>
        <w:gridCol w:w="2560"/>
      </w:tblGrid>
      <w:tr>
        <w:trPr>
          <w:tblHeader/>
        </w:trPr>
        <w:tc>
          <w:tcPr>
            <w:tcW w:type="dxa" w:w="12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Año</w:t>
            </w:r>
          </w:p>
        </w:tc>
        <w:tc>
          <w:tcPr>
            <w:tcW w:type="dxa" w:w="24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Mercado activo</w:t>
            </w:r>
          </w:p>
        </w:tc>
        <w:tc>
          <w:tcPr>
            <w:tcW w:type="dxa" w:w="18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MW regulados total</w:t>
            </w:r>
          </w:p>
        </w:tc>
        <w:tc>
          <w:tcPr>
            <w:tcW w:type="dxa" w:w="200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Ingreso anual (USD)</w:t>
            </w:r>
          </w:p>
        </w:tc>
        <w:tc>
          <w:tcPr>
            <w:tcW w:type="dxa" w:w="25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Acumulado patrimonio (USD)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2028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CENACE México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2,400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390 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58 M</w:t>
            </w:r>
          </w:p>
        </w:tc>
      </w:tr>
      <w:tr>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2029</w:t>
            </w:r>
          </w:p>
        </w:tc>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 XM Colombia (base)</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3,000</w:t>
            </w:r>
          </w:p>
        </w:tc>
        <w:tc>
          <w:tcPr>
            <w:tcW w:type="dxa" w:w="2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479 M</w:t>
            </w:r>
          </w:p>
        </w:tc>
        <w:tc>
          <w:tcPr>
            <w:tcW w:type="dxa" w:w="25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175 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2030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 CEN Chile (base)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3,500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540 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356 M</w:t>
            </w:r>
          </w:p>
        </w:tc>
      </w:tr>
      <w:tr>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2031</w:t>
            </w:r>
          </w:p>
        </w:tc>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 ONS Brasil (licencia)</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3,500</w:t>
            </w:r>
          </w:p>
        </w:tc>
        <w:tc>
          <w:tcPr>
            <w:tcW w:type="dxa" w:w="2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555 M</w:t>
            </w:r>
          </w:p>
        </w:tc>
        <w:tc>
          <w:tcPr>
            <w:tcW w:type="dxa" w:w="25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564 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2032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ONS Brasil (1 subsistema)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4,000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603 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803 M</w:t>
            </w:r>
          </w:p>
        </w:tc>
      </w:tr>
      <w:tr>
        <w:tc>
          <w:tcPr>
            <w:tcW w:type="dxa" w:w="12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2034</w:t>
            </w:r>
          </w:p>
        </w:tc>
        <w:tc>
          <w:tcPr>
            <w:tcW w:type="dxa" w:w="24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ONS Brasil (3 subsistemas)</w:t>
            </w:r>
          </w:p>
        </w:tc>
        <w:tc>
          <w:tcPr>
            <w:tcW w:type="dxa" w:w="18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5,500</w:t>
            </w:r>
          </w:p>
        </w:tc>
        <w:tc>
          <w:tcPr>
            <w:tcW w:type="dxa" w:w="200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746 M</w:t>
            </w:r>
          </w:p>
        </w:tc>
        <w:tc>
          <w:tcPr>
            <w:tcW w:type="dxa" w:w="25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1,310 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2037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Plataforma LatAm plena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6,500+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900 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2,100 M+</w:t>
            </w:r>
          </w:p>
        </w:tc>
      </w:tr>
    </w:tbl>
    <w:p>
      <w:pPr>
        <w:spacing w:after="320" w:before="80" w:line="380" w:lineRule="auto"/>
        <w:jc w:val="center"/>
      </w:pPr>
      <w:r>
        <w:rPr>
          <w:rFonts w:ascii="Arial" w:cs="Arial" w:eastAsia="Arial" w:hAnsi="Arial"/>
          <w:b w:val="false"/>
          <w:bCs w:val="false"/>
          <w:caps w:val="false"/>
          <w:color w:val="888888"/>
          <w:sz w:val="20"/>
          <w:szCs w:val="20"/>
        </w:rPr>
        <w:t xml:space="preserve">Tabla 6.6: Cronograma de expansión regional y proyección de ingresos — Plataforma PRIMEnergeia LatAm.</w:t>
      </w:r>
    </w:p>
    <w:p>
      <w:pPr>
        <w:pStyle w:val="Heading3"/>
        <w:spacing w:after="140" w:before="280"/>
        <w:jc w:val="left"/>
      </w:pPr>
      <w:r>
        <w:rPr>
          <w:rFonts w:ascii="Arial" w:cs="Arial" w:eastAsia="Arial" w:hAnsi="Arial"/>
          <w:b/>
          <w:bCs/>
          <w:caps w:val="false"/>
          <w:color w:val="0D2B45"/>
          <w:sz w:val="24"/>
          <w:szCs w:val="24"/>
        </w:rPr>
        <w:t xml:space="preserve">6.5.2  Los Invariantes del Marco HJB-Myerson entre Mercados</w:t>
      </w:r>
    </w:p>
    <w:p>
      <w:pPr>
        <w:spacing w:after="200" w:before="0" w:line="380" w:lineRule="auto"/>
        <w:jc w:val="both"/>
      </w:pPr>
      <w:r>
        <w:rPr>
          <w:rFonts w:ascii="Arial" w:cs="Arial" w:eastAsia="Arial" w:hAnsi="Arial"/>
          <w:b w:val="false"/>
          <w:bCs w:val="false"/>
          <w:caps w:val="false"/>
          <w:color w:val="000000"/>
          <w:sz w:val="24"/>
          <w:szCs w:val="24"/>
        </w:rPr>
        <w:t xml:space="preserve">A pesar de la heterogeneidad de los tres mercados, cuatro principios del marco HJB-Myerson son invariantes y constituyen las ventajas competitivas transferibles de PRIMEnergeia. Primero, la dualidad HJB–Black-Scholes aplica en cualquier mercado donde la frecuencia siga un proceso de difusión —la forma funcional de la HJB cambia (OU simple, OU vectorial, Lévy con saltos, Heston con vol estocástica) pero el principio de valoración es idéntico. Segundo, el Linkage Principle de Milgrom-Weber mejora el mecanismo de subasta independientemente de α: en Colombia (α = 0.61) el efecto es mayor, en México (α = 0.35) es menor, pero siempre positivo. Tercero, la Prima de Control Óptimo por las restricciones físicas del activo es universal: cualquier generador o BESS tiene capacidad acotada, y la frontera libre del Capítulo 2 existe en cualquier mercado. Cuarto, la Prima de Ambigüedad del Capítulo 3 es una función de la calidad del modelo de referencia relativa al número de observaciones disponibles — en mercados jóvenes como Chile y Brasil, la ambigüedad es mayor, lo que justifica precios de contratos más altos que en México.</w:t>
      </w:r>
    </w:p>
    <w:p>
      <w:pPr>
        <w:spacing w:after="0" w:before="0"/>
      </w:pPr>
      <w:r>
        <w:br/>
      </w:r>
    </w:p>
    <w:p>
      <w:pPr>
        <w:pStyle w:val="Heading1"/>
        <w:spacing w:after="280" w:before="600"/>
        <w:jc w:val="left"/>
      </w:pPr>
      <w:r>
        <w:rPr>
          <w:rFonts w:ascii="Arial" w:cs="Arial" w:eastAsia="Arial" w:hAnsi="Arial"/>
          <w:b/>
          <w:bCs/>
          <w:caps w:val="false"/>
          <w:color w:val="0D2B45"/>
          <w:sz w:val="34"/>
          <w:szCs w:val="34"/>
        </w:rPr>
        <w:t xml:space="preserve">Conclusiones</w:t>
      </w:r>
    </w:p>
    <w:p>
      <w:pPr>
        <w:pStyle w:val="Heading2"/>
        <w:spacing w:after="200" w:before="420"/>
        <w:jc w:val="left"/>
      </w:pPr>
      <w:r>
        <w:rPr>
          <w:rFonts w:ascii="Arial" w:cs="Arial" w:eastAsia="Arial" w:hAnsi="Arial"/>
          <w:b/>
          <w:bCs/>
          <w:caps w:val="false"/>
          <w:color w:val="0F6E56"/>
          <w:sz w:val="28"/>
          <w:szCs w:val="28"/>
        </w:rPr>
        <w:t xml:space="preserve">Síntesis de Contribuciones Originales</w:t>
      </w:r>
    </w:p>
    <w:p>
      <w:pPr>
        <w:spacing w:after="200" w:before="0" w:line="380" w:lineRule="auto"/>
        <w:jc w:val="both"/>
      </w:pPr>
      <w:r>
        <w:rPr>
          <w:rFonts w:ascii="Arial" w:cs="Arial" w:eastAsia="Arial" w:hAnsi="Arial"/>
          <w:b w:val="false"/>
          <w:bCs w:val="false"/>
          <w:caps w:val="false"/>
          <w:color w:val="000000"/>
          <w:sz w:val="24"/>
          <w:szCs w:val="24"/>
        </w:rPr>
        <w:t xml:space="preserve">Esta tesis realizó cinco contribuciones originales al conocimiento en la intersección de las finanzas cuantitativas, el control óptimo estocástico, la teoría de mecanismos y la economía de mercados de energía eléctrica.</w:t>
      </w:r>
    </w:p>
    <w:p>
      <w:pPr>
        <w:spacing w:after="200" w:before="0" w:line="380" w:lineRule="auto"/>
        <w:jc w:val="both"/>
      </w:pPr>
      <w:r>
        <w:rPr>
          <w:rFonts w:ascii="Arial" w:cs="Arial" w:eastAsia="Arial" w:hAnsi="Arial"/>
          <w:b w:val="false"/>
          <w:bCs w:val="false"/>
          <w:caps w:val="false"/>
          <w:color w:val="000000"/>
          <w:sz w:val="24"/>
          <w:szCs w:val="24"/>
        </w:rPr>
        <w:t xml:space="preserve">La primera contribución es la demostración formal de la dualidad HJB–Black-Scholes, que establece que el mismo operador parabólico subyace al control óptimo de frecuencia y a la valoración de derivados financieros. Esta identidad es exacta bajo el Teorema de Feynman-Kac y se extiende al caso americano con restricciones físicas, generando la Prima de Control Óptimo (12-18% del valor del contrato). La contribución es publicable en Journal of Economic Dynamics and Control o Mathematical Finance.</w:t>
      </w:r>
    </w:p>
    <w:p>
      <w:pPr>
        <w:spacing w:after="200" w:before="0" w:line="380" w:lineRule="auto"/>
        <w:jc w:val="both"/>
      </w:pPr>
      <w:r>
        <w:rPr>
          <w:rFonts w:ascii="Arial" w:cs="Arial" w:eastAsia="Arial" w:hAnsi="Arial"/>
          <w:b w:val="false"/>
          <w:bCs w:val="false"/>
          <w:caps w:val="false"/>
          <w:color w:val="000000"/>
          <w:sz w:val="24"/>
          <w:szCs w:val="24"/>
        </w:rPr>
        <w:t xml:space="preserve">La segunda contribución es el modelo de valoración del servicio ancilar como opción real americana con barrera inferior, con subyacente de Ornstein-Uhlenbeck calibrado sobre 23.5 millones de observaciones de CENACE. El modelo produce precios teóricos que incorporan opcionalidad de ejercicio, restricciones físicas, riesgo de extinción por colapso sistémico, y asimetría informacional. La brecha de valoración estimada (tarifa actual = 56-66% del precio de equilibrio) es la evidencia empírica central de la tesis.</w:t>
      </w:r>
    </w:p>
    <w:p>
      <w:pPr>
        <w:spacing w:after="200" w:before="0" w:line="380" w:lineRule="auto"/>
        <w:jc w:val="both"/>
      </w:pPr>
      <w:r>
        <w:rPr>
          <w:rFonts w:ascii="Arial" w:cs="Arial" w:eastAsia="Arial" w:hAnsi="Arial"/>
          <w:b w:val="false"/>
          <w:bCs w:val="false"/>
          <w:caps w:val="false"/>
          <w:color w:val="000000"/>
          <w:sz w:val="24"/>
          <w:szCs w:val="24"/>
        </w:rPr>
        <w:t xml:space="preserve">La tercera contribución es el marco de valoración bajo ambigüedad knightiana usando el agente SAC como generador del conjunto de probabilidad adversaria. La Prima de Ambigüedad (11-27% del valor) crece con la severidad de la desviación de frecuencia, precisamente cuando el regulador más necesita protección contra el error de modelo.</w:t>
      </w:r>
    </w:p>
    <w:p>
      <w:pPr>
        <w:spacing w:after="200" w:before="0" w:line="380" w:lineRule="auto"/>
        <w:jc w:val="both"/>
      </w:pPr>
      <w:r>
        <w:rPr>
          <w:rFonts w:ascii="Arial" w:cs="Arial" w:eastAsia="Arial" w:hAnsi="Arial"/>
          <w:b w:val="false"/>
          <w:bCs w:val="false"/>
          <w:caps w:val="false"/>
          <w:color w:val="000000"/>
          <w:sz w:val="24"/>
          <w:szCs w:val="24"/>
        </w:rPr>
        <w:t xml:space="preserve">La cuarta contribución —novedad de esta versión— es el diseño del mecanismo óptimo de subasta para contratos de regulación de frecuencia, aplicando el Principio de Revelación de Myerson, el Teorema de Equivalencia de Ingresos de Vickrey-Clarke-Groves, y el Linkage Principle de Milgrom-Weber para el caso de valores afiliados. El diagnóstico de los cuatro factores que rompen la equivalencia de ingresos en el mercado CENACE (no-IID, common value α = 0.35, aversión al riesgo, correlación entre tipos) fundamenta la propuesta del mecanismo VCG+Linkage, que reduce el costo esperado para CENACE en MXN 95,000/MW-año frente a la subasta de primer precio.</w:t>
      </w:r>
    </w:p>
    <w:p>
      <w:pPr>
        <w:spacing w:after="200" w:before="0" w:line="380" w:lineRule="auto"/>
        <w:jc w:val="both"/>
      </w:pPr>
      <w:r>
        <w:rPr>
          <w:rFonts w:ascii="Arial" w:cs="Arial" w:eastAsia="Arial" w:hAnsi="Arial"/>
          <w:b w:val="false"/>
          <w:bCs w:val="false"/>
          <w:caps w:val="false"/>
          <w:color w:val="000000"/>
          <w:sz w:val="24"/>
          <w:szCs w:val="24"/>
        </w:rPr>
        <w:t xml:space="preserve">La quinta contribución es la cuantificación del bienestar social en seis canales, con VPN total México+LatAm de USD 3.24 mil millones y ratio beneficio-costo de 22.4x. La sexta contribución es el análisis comparado de los mercados de Colombia (XM), Chile (CEN) y Brasil (ONS), calibrando el marco HJB-Myerson con las heterogeneidades paramétricas propias de cada sistema —proceso de Lévy para Colombia, modelo de Heston con volatilidad estocástica para Chile, y OU vectorial de dimensión 5 para Brasil— y proyectando USD 277 millones anuales de ingresos adicionales para la plataforma regional. La séptima contribución es el diseño del ecosistema financiero Eureka-Sovereign integrado con el contrato de regulación: opciones call sobre GE Vernova al 22.5% de descuento sobre el precio Black-Scholes, financiadas con el Daily Gains Sweep del portafolio Core, generando un Sharpe del portafolio completo de 1.47 y una distribución de riqueza a 10 años con mediana de USD 1.24 mil millones., con VPN total México+LatAm de USD 3.24 mil millones y ratio beneficio-costo de 22.4x. El Canal 6 (estabilidad macroeconómica) domina el análisis via la reducción de −3 bps en el spread soberano sobre MXN 15.2 billones de deuda pública. Este análisis es el argumento de política pública para presentar ante la CRE, SENER y SHCP.</w:t>
      </w:r>
    </w:p>
    <w:p>
      <w:pPr>
        <w:pStyle w:val="Heading2"/>
        <w:spacing w:after="200" w:before="420"/>
        <w:jc w:val="left"/>
      </w:pPr>
      <w:r>
        <w:rPr>
          <w:rFonts w:ascii="Arial" w:cs="Arial" w:eastAsia="Arial" w:hAnsi="Arial"/>
          <w:b/>
          <w:bCs/>
          <w:caps w:val="false"/>
          <w:color w:val="0F6E56"/>
          <w:sz w:val="28"/>
          <w:szCs w:val="28"/>
        </w:rPr>
        <w:t xml:space="preserve">Limitaciones y Extensiones</w:t>
      </w:r>
    </w:p>
    <w:p>
      <w:pPr>
        <w:pStyle w:val="Heading3"/>
        <w:spacing w:after="140" w:before="280"/>
        <w:jc w:val="left"/>
      </w:pPr>
      <w:r>
        <w:rPr>
          <w:rFonts w:ascii="Arial" w:cs="Arial" w:eastAsia="Arial" w:hAnsi="Arial"/>
          <w:b/>
          <w:bCs/>
          <w:caps w:val="false"/>
          <w:color w:val="0D2B45"/>
          <w:sz w:val="24"/>
          <w:szCs w:val="24"/>
        </w:rPr>
        <w:t xml:space="preserve">L.1  Sesgo de ventana de calibración y cambio de régimen tecnológico</w:t>
      </w:r>
    </w:p>
    <w:p>
      <w:pPr>
        <w:spacing w:after="200" w:before="0" w:line="380" w:lineRule="auto"/>
        <w:jc w:val="both"/>
      </w:pPr>
      <w:r>
        <w:rPr>
          <w:rFonts w:ascii="Arial" w:cs="Arial" w:eastAsia="Arial" w:hAnsi="Arial"/>
          <w:b w:val="false"/>
          <w:bCs w:val="false"/>
          <w:caps w:val="false"/>
          <w:color w:val="000000"/>
          <w:sz w:val="24"/>
          <w:szCs w:val="24"/>
        </w:rPr>
        <w:t xml:space="preserve">La estimación MLE de los parámetros OU sobre el período enero 2022 – diciembre 2024 introduce un sesgo de selección temporal cuantificable. Entre 2021 y 2024, la capacidad eólica instalada en el norte del SIN creció de 6.7 GW a 11.2 GW —un incremento del 67%— generando un régimen de variabilidad de frecuencia inusualmente alta que no describe las condiciones de largo plazo del sistema. La consecuencia estadística es que σ̂_OU = 0.01483 Hz/√s puede sobreestimar la volatilidad estructural en un rango de 8–15%, sesgando el precio del contrato hacia arriba en MXN 10,700–20,100/MW-año vía el Vega positivo de la Tabla 2.2.</w:t>
      </w:r>
    </w:p>
    <w:p>
      <w:pPr>
        <w:spacing w:after="200" w:before="0" w:line="380" w:lineRule="auto"/>
        <w:jc w:val="both"/>
      </w:pPr>
      <w:r>
        <w:rPr>
          <w:rFonts w:ascii="Arial" w:cs="Arial" w:eastAsia="Arial" w:hAnsi="Arial"/>
          <w:b w:val="false"/>
          <w:bCs w:val="false"/>
          <w:caps w:val="false"/>
          <w:color w:val="000000"/>
          <w:sz w:val="24"/>
          <w:szCs w:val="24"/>
        </w:rPr>
        <w:t xml:space="preserve">Ampliar la ventana a 10+ años con datos pre-reforma (anteriores a 2016) no resuelve el problema: esos datos provienen de un régimen regulatorio y tecnológico estructuralmente distinto —sin mercado mayorista, sin precios marginales locales, con mezcla de generación casi exclusivamente convencional— introduciendo un sesgo opuesto. La extensión correcta es un modelo de parámetros con cambio de régimen (Hamilton, 1989): un proceso OU con estados latentes s_t ∈ {Bajo, Alto}, donde κ(s_t) y σ(s_t) dependen del régimen corriente. El estado Bajo corresponde al régimen convencional; el Alto al régimen de alta penetración renovable. Las probabilidades de transición son estimables via cadenas de Markov ocultas sobre los datos de frecuencia y capacidad renovable instalada. Este modelo produce precios del contrato condicionados en el régimen energético actual, resolviendo el sesgo sin imponer estacionariedad paramétrica de largo plazo.</w:t>
      </w:r>
    </w:p>
    <w:p>
      <w:pPr>
        <w:pStyle w:val="Heading3"/>
        <w:spacing w:after="140" w:before="280"/>
        <w:jc w:val="left"/>
      </w:pPr>
      <w:r>
        <w:rPr>
          <w:rFonts w:ascii="Arial" w:cs="Arial" w:eastAsia="Arial" w:hAnsi="Arial"/>
          <w:b/>
          <w:bCs/>
          <w:caps w:val="false"/>
          <w:color w:val="0D2B45"/>
          <w:sz w:val="24"/>
          <w:szCs w:val="24"/>
        </w:rPr>
        <w:t xml:space="preserve">L.2  El modelo de área única omite la dinámica interareal</w:t>
      </w:r>
    </w:p>
    <w:p>
      <w:pPr>
        <w:spacing w:after="200" w:before="0" w:line="380" w:lineRule="auto"/>
        <w:jc w:val="both"/>
      </w:pPr>
      <w:r>
        <w:rPr>
          <w:rFonts w:ascii="Arial" w:cs="Arial" w:eastAsia="Arial" w:hAnsi="Arial"/>
          <w:b w:val="false"/>
          <w:bCs w:val="false"/>
          <w:caps w:val="false"/>
          <w:color w:val="000000"/>
          <w:sz w:val="24"/>
          <w:szCs w:val="24"/>
        </w:rPr>
        <w:t xml:space="preserve">El proceso OU univariante trata la frecuencia del SIN como una variable escalar, implícitamente asumiendo que las perturbaciones se propagan instantáneamente y de manera uniforme por toda la red. Esta hipótesis viola la física del sistema: el SIN es una red de múltiples áreas acopladas mediante líneas de transmisión con impedancias no despreciables. Una pérdida de generación en la zona Norte se propaga hacia las zonas Centro, Occidental y Sur-Sureste en 0.5–5 segundos, excitando modos de oscilación interareal con frecuencias características de 0.1–2.0 Hz (modos electromecanicos documentados en los reportes de estabilidad CENACE 2022-2023). Estos modos son invisibles al modelo OU escalar, lo que significa que las correlaciones entre desviaciones de frecuencia en distintos nodos —la variable relevante para contratos de regulación multi-nodo y para el diseño de subastas zonales del Capítulo 4— están completamente ausentes.</w:t>
      </w:r>
    </w:p>
    <w:p>
      <w:pPr>
        <w:spacing w:after="200" w:before="0" w:line="380" w:lineRule="auto"/>
        <w:jc w:val="both"/>
      </w:pPr>
      <w:r>
        <w:rPr>
          <w:rFonts w:ascii="Arial" w:cs="Arial" w:eastAsia="Arial" w:hAnsi="Arial"/>
          <w:b w:val="false"/>
          <w:bCs w:val="false"/>
          <w:caps w:val="false"/>
          <w:color w:val="000000"/>
          <w:sz w:val="24"/>
          <w:szCs w:val="24"/>
        </w:rPr>
        <w:t xml:space="preserve">La extensión natural es el proceso OU vectorial: d(Δf) = K(μ − Δf)dt + Σ^{1/2} dW_t, donde Δf ∈ ℝ⁵ es el vector de desviaciones por zona de control, K es la matriz de reversión cuyas entradas fuera de la diagonal capturan los acoplamientos eléctricos entre zonas, y Σ es la covarianza del ruido. La HJB asociada opera sobre un espacio de estado de dimensión 10 (desviación y ROCOF por zona), lo que es computacionalmente manejable con la infraestructura de PRIMEnergeia. La implicación para el mecanismo del Capítulo 4 es que el subastador debe diseñar contratos de regulación zonales con precios diferenciados por zona en función de la volatilidad local σ_i y de los acoplamientos κ_{ij}.</w:t>
      </w:r>
    </w:p>
    <w:p>
      <w:pPr>
        <w:pStyle w:val="Heading3"/>
        <w:spacing w:after="140" w:before="280"/>
        <w:jc w:val="left"/>
      </w:pPr>
      <w:r>
        <w:rPr>
          <w:rFonts w:ascii="Arial" w:cs="Arial" w:eastAsia="Arial" w:hAnsi="Arial"/>
          <w:b/>
          <w:bCs/>
          <w:caps w:val="false"/>
          <w:color w:val="0D2B45"/>
          <w:sz w:val="24"/>
          <w:szCs w:val="24"/>
        </w:rPr>
        <w:t xml:space="preserve">L.3  Complementariedades entre servicios ancilares</w:t>
      </w:r>
    </w:p>
    <w:p>
      <w:pPr>
        <w:spacing w:after="200" w:before="0" w:line="380" w:lineRule="auto"/>
        <w:jc w:val="both"/>
      </w:pPr>
      <w:r>
        <w:rPr>
          <w:rFonts w:ascii="Arial" w:cs="Arial" w:eastAsia="Arial" w:hAnsi="Arial"/>
          <w:b w:val="false"/>
          <w:bCs w:val="false"/>
          <w:caps w:val="false"/>
          <w:color w:val="000000"/>
          <w:sz w:val="24"/>
          <w:szCs w:val="24"/>
        </w:rPr>
        <w:t xml:space="preserve">El modelo valora el servicio de regulación de frecuencia en aislamiento, ignorando las complementariedades estratégicas con otros servicios ancilares que el mismo activo puede proveer simultáneamente: regulación de voltaje (potencia reactiva), reserva no rodante (capacidad disponible en 10 minutos), y respuesta de demanda. Un BESS o un generador flexible puede ofertar múltiples servicios en el mismo período sujeto a una restricción de capacidad compartida, y el valor conjunto no es la suma de los valores individuales. La omisión de este bundling puede subestimar el valor total del activo de regulación entre un 15% y un 35%, según estudios en PJM y ERCOT (Hogan, 2005; Oren, 2001).</w:t>
      </w:r>
    </w:p>
    <w:p>
      <w:pPr>
        <w:pStyle w:val="Heading2"/>
        <w:spacing w:after="200" w:before="420"/>
        <w:jc w:val="left"/>
      </w:pPr>
      <w:r>
        <w:rPr>
          <w:rFonts w:ascii="Arial" w:cs="Arial" w:eastAsia="Arial" w:hAnsi="Arial"/>
          <w:b/>
          <w:bCs/>
          <w:caps w:val="false"/>
          <w:color w:val="0F6E56"/>
          <w:sz w:val="28"/>
          <w:szCs w:val="28"/>
        </w:rPr>
        <w:t xml:space="preserve">Extensiones</w:t>
      </w:r>
    </w:p>
    <w:p>
      <w:pPr>
        <w:pStyle w:val="Heading3"/>
        <w:spacing w:after="140" w:before="280"/>
        <w:jc w:val="left"/>
      </w:pPr>
      <w:r>
        <w:rPr>
          <w:rFonts w:ascii="Arial" w:cs="Arial" w:eastAsia="Arial" w:hAnsi="Arial"/>
          <w:b/>
          <w:bCs/>
          <w:caps w:val="false"/>
          <w:color w:val="0D2B45"/>
          <w:sz w:val="24"/>
          <w:szCs w:val="24"/>
        </w:rPr>
        <w:t xml:space="preserve">E.1  Heterogeneidad paramétrica en mercados latinoamericanos</w:t>
      </w:r>
    </w:p>
    <w:p>
      <w:pPr>
        <w:spacing w:after="200" w:before="0" w:line="380" w:lineRule="auto"/>
        <w:jc w:val="both"/>
      </w:pPr>
      <w:r>
        <w:rPr>
          <w:rFonts w:ascii="Arial" w:cs="Arial" w:eastAsia="Arial" w:hAnsi="Arial"/>
          <w:b w:val="false"/>
          <w:bCs w:val="false"/>
          <w:caps w:val="false"/>
          <w:color w:val="000000"/>
          <w:sz w:val="24"/>
          <w:szCs w:val="24"/>
        </w:rPr>
        <w:t xml:space="preserve">El marco HJB-Myerson es transferible a XM (Colombia), CEN (Chile) y ONS (Brasil), pero las estructuras de información y de proceso estocástico difieren de manera no trivial. Colombia opera a 60 Hz con ~70% de generación hidráulica: la dinámica de frecuencia es bimodal (estación seca vs. lluviosa), lo que requiere precisamente el modelo de cambio de régimen de la Limitación L.1, no el OU paramétrico simple. La componente de valor común en la subasta colombiana es alta porque todos los proveedores de regulación son igualmente sensibles al riesgo hidrológico —la información sobre el ENSO debería ser revelada por XM antes de cada subasta, aplicando el Linkage Principle del Capítulo 4 de manera más urgente que en CENACE.</w:t>
      </w:r>
    </w:p>
    <w:p>
      <w:pPr>
        <w:spacing w:after="200" w:before="0" w:line="380" w:lineRule="auto"/>
        <w:jc w:val="both"/>
      </w:pPr>
      <w:r>
        <w:rPr>
          <w:rFonts w:ascii="Arial" w:cs="Arial" w:eastAsia="Arial" w:hAnsi="Arial"/>
          <w:b w:val="false"/>
          <w:bCs w:val="false"/>
          <w:caps w:val="false"/>
          <w:color w:val="000000"/>
          <w:sz w:val="24"/>
          <w:szCs w:val="24"/>
        </w:rPr>
        <w:t xml:space="preserve">Chile presenta la situación más extrema: en el norte (Sistema Eléctrico del Norte Grande, SENG), la penetración solar supera el 40% con alta variabilidad intradiaria. La componente de valor común estimada es α ≈ 0.52 —significativamente mayor que la mexicana (0.35)— lo que amplifica tanto la maldición del ganador como el beneficio del Linkage Principle. La extensión correcta no es re-calibrar el mismo modelo sino derivar, para cada mercado, la forma funcional de la HJB que corresponde a su proceso de frecuencia dominante: difusión con saltos para Colombia (discontinuidades hídricas), OU con reversión dependiente del estado para Chile (régimen solar vs. nocturno), y OU vectorial de dimensión 5 para Brasil (cinco subsistemas del ONS).</w:t>
      </w:r>
    </w:p>
    <w:p>
      <w:pPr>
        <w:pStyle w:val="Heading3"/>
        <w:spacing w:after="140" w:before="280"/>
        <w:jc w:val="left"/>
      </w:pPr>
      <w:r>
        <w:rPr>
          <w:rFonts w:ascii="Arial" w:cs="Arial" w:eastAsia="Arial" w:hAnsi="Arial"/>
          <w:b/>
          <w:bCs/>
          <w:caps w:val="false"/>
          <w:color w:val="0D2B45"/>
          <w:sz w:val="24"/>
          <w:szCs w:val="24"/>
        </w:rPr>
        <w:t xml:space="preserve">E.2  La HJB con física electroquímica de baterías</w:t>
      </w:r>
    </w:p>
    <w:p>
      <w:pPr>
        <w:spacing w:after="200" w:before="0" w:line="380" w:lineRule="auto"/>
        <w:jc w:val="both"/>
      </w:pPr>
      <w:r>
        <w:rPr>
          <w:rFonts w:ascii="Arial" w:cs="Arial" w:eastAsia="Arial" w:hAnsi="Arial"/>
          <w:b w:val="false"/>
          <w:bCs w:val="false"/>
          <w:caps w:val="false"/>
          <w:color w:val="000000"/>
          <w:sz w:val="24"/>
          <w:szCs w:val="24"/>
        </w:rPr>
        <w:t xml:space="preserve">La integración de BESS como proveedores de regulación introduce tres variables de estado adicionales en la HJB: Estado de Carga (SoC ∈ [0,1]), temperatura de celda (T_cell), y estado de degradación (DoH ∈ [0,1]). La capacidad efectiva de regulación se vuelve Ū_eff(SoC, DoH) = Ū · SoC · (1 − DoH), función no lineal del estado electroquímico. La HJB opera sobre el espacio (Δf, ROCOF, SoC, T_cell, DoH) ∈ ℝ⁵, generando un precio del contrato dinámico que refleja simultáneamente la volatilidad de la frecuencia y el ciclo de vida del activo. La implicación para el mecanismo del Capítulo 4 es que la función de degradación del proveedor — determinante de su tipo θᵢ en la subasta — es información genuinamente privada que el Linkage Principle no puede publicar sin inducir comportamiento estratégico en el mantenimiento de las baterías, creando un nuevo problema de diseño de mecanismo que la literatura aún no ha resuelto.</w:t>
      </w:r>
    </w:p>
    <w:p>
      <w:pPr>
        <w:pStyle w:val="Heading3"/>
        <w:spacing w:after="140" w:before="280"/>
        <w:jc w:val="left"/>
      </w:pPr>
      <w:r>
        <w:rPr>
          <w:rFonts w:ascii="Arial" w:cs="Arial" w:eastAsia="Arial" w:hAnsi="Arial"/>
          <w:b/>
          <w:bCs/>
          <w:caps w:val="false"/>
          <w:color w:val="0D2B45"/>
          <w:sz w:val="24"/>
          <w:szCs w:val="24"/>
        </w:rPr>
        <w:t xml:space="preserve">E.3  Derivados financieros de frecuencia negociables</w:t>
      </w:r>
    </w:p>
    <w:p>
      <w:pPr>
        <w:spacing w:after="200" w:before="0" w:line="380" w:lineRule="auto"/>
        <w:jc w:val="both"/>
      </w:pPr>
      <w:r>
        <w:rPr>
          <w:rFonts w:ascii="Arial" w:cs="Arial" w:eastAsia="Arial" w:hAnsi="Arial"/>
          <w:b w:val="false"/>
          <w:bCs w:val="false"/>
          <w:caps w:val="false"/>
          <w:color w:val="000000"/>
          <w:sz w:val="24"/>
          <w:szCs w:val="24"/>
        </w:rPr>
        <w:t xml:space="preserve">La dualidad HJB–Black-Scholes del Capítulo 1 tiene una implicación de largo alcance que esta tesis no desarrolla completamente: si el valor de regulación de frecuencia es equivalente al precio de una opción real, los contratos de regulación son en principio titulizables y negociables en mercados organizados de derivados. Un 'derivado de frecuencia' sería un instrumento cuyo payoff depende de la trayectoria de Δf(t) — por ejemplo, una opción que paga c_ENS · max(Δf² − K², 0) cuando la desviación supera el strike K = 0.017 Hz durante el período de vencimiento. Este instrumento permitiría a generadores, cargadores y agregadores cubrir su exposición a la volatilidad de frecuencia sin mantener activos físicos de regulación.</w:t>
      </w:r>
    </w:p>
    <w:p>
      <w:pPr>
        <w:spacing w:after="200" w:before="0" w:line="380" w:lineRule="auto"/>
        <w:jc w:val="both"/>
      </w:pPr>
      <w:r>
        <w:rPr>
          <w:rFonts w:ascii="Arial" w:cs="Arial" w:eastAsia="Arial" w:hAnsi="Arial"/>
          <w:b w:val="false"/>
          <w:bCs w:val="false"/>
          <w:caps w:val="false"/>
          <w:color w:val="000000"/>
          <w:sz w:val="24"/>
          <w:szCs w:val="24"/>
        </w:rPr>
        <w:t xml:space="preserve">El diseño requiere tres condiciones que ya están cumplidas o son alcanzables: (1) un precio de referencia observable y resistente a manipulación — los datos CENACE a 4 segundos ya lo son; (2) un modelo de valoración aceptado — la fórmula OU del Capítulo 2 es ese modelo; (3) una cámara de compensación con capacidad de valorar posiciones en tiempo real usando el solucionador HJB — PRIMEnergeia puede proveer ese servicio. La secuencia lógica: primero el mercado de subasta de capacidad del Capítulo 4, luego un mercado secundario de contratos firmados, finalmente el mercado organizado de derivados de frecuencia. Este último es el horizonte de 10–15 años, pero todo el andamiaje matemático está desarrollado en esta tesis.</w:t>
      </w:r>
    </w:p>
    <w:p>
      <w:pPr>
        <w:pStyle w:val="Heading2"/>
        <w:spacing w:after="200" w:before="420"/>
        <w:jc w:val="left"/>
      </w:pPr>
      <w:r>
        <w:rPr>
          <w:rFonts w:ascii="Arial" w:cs="Arial" w:eastAsia="Arial" w:hAnsi="Arial"/>
          <w:b/>
          <w:bCs/>
          <w:caps w:val="false"/>
          <w:color w:val="0F6E56"/>
          <w:sz w:val="28"/>
          <w:szCs w:val="28"/>
        </w:rPr>
        <w:t xml:space="preserve">La Reflexión Final</w:t>
      </w:r>
    </w:p>
    <w:p>
      <w:pPr>
        <w:spacing w:after="200" w:before="0" w:line="380" w:lineRule="auto"/>
        <w:jc w:val="both"/>
      </w:pPr>
      <w:r>
        <w:rPr>
          <w:rFonts w:ascii="Arial" w:cs="Arial" w:eastAsia="Arial" w:hAnsi="Arial"/>
          <w:b w:val="false"/>
          <w:bCs w:val="false"/>
          <w:caps w:val="false"/>
          <w:color w:val="000000"/>
          <w:sz w:val="24"/>
          <w:szCs w:val="24"/>
        </w:rPr>
        <w:t xml:space="preserve">La conclusión más profunda de esta investigación es simultáneamente la más simple y la más ambiciosa: la ecuación que estabiliza la frecuencia de la red eléctrica mexicana en tiempo real es la misma ecuación que establece el precio justo de los contratos que hacen posible esa estabilización, y ese precio debe emerger a través de un mecanismo de subasta diseñado con el rigor matemático de la teoría de revelación de preferencias. Las tres afirmaciones son equivalentes, son verdaderas, y su conexión —el marco HJB-Myerson desarrollado en esta tesis— es la contribución. Las herramientas son las de la matemática financiera avanzada. Los datos son los de la ingeniería de potencia. El problema es el de la economía de los mercados latinoamericanos de energía. Y la oportunidad de impacto es, como muestra el Canal 6 del análisis de bienestar, de USD 3.24 mil millones en valor presente neto para las sociedades que lo adopten.</w:t>
      </w:r>
    </w:p>
    <w:p>
      <w:pPr>
        <w:spacing w:after="0" w:before="0"/>
      </w:pPr>
      <w:r>
        <w:br/>
      </w:r>
    </w:p>
    <w:p>
      <w:pPr>
        <w:pStyle w:val="Heading1"/>
        <w:spacing w:after="280" w:before="600"/>
        <w:jc w:val="left"/>
      </w:pPr>
      <w:r>
        <w:rPr>
          <w:rFonts w:ascii="Arial" w:cs="Arial" w:eastAsia="Arial" w:hAnsi="Arial"/>
          <w:b/>
          <w:bCs/>
          <w:caps w:val="false"/>
          <w:color w:val="0D2B45"/>
          <w:sz w:val="34"/>
          <w:szCs w:val="34"/>
        </w:rPr>
        <w:t xml:space="preserve">Referencias</w:t>
      </w:r>
    </w:p>
    <w:p>
      <w:pPr>
        <w:spacing w:after="120" w:before="20" w:line="380" w:lineRule="auto"/>
        <w:jc w:val="both"/>
      </w:pPr>
      <w:r>
        <w:rPr>
          <w:rFonts w:ascii="Arial" w:cs="Arial" w:eastAsia="Arial" w:hAnsi="Arial"/>
          <w:b w:val="false"/>
          <w:bCs w:val="false"/>
          <w:caps w:val="false"/>
          <w:color w:val="000000"/>
          <w:sz w:val="24"/>
          <w:szCs w:val="24"/>
        </w:rPr>
        <w:t xml:space="preserve">Akerlof, G. A. (1970). The market for lemons: Quality uncertainty and the market mechanism. Quarterly Journal of Economics, 84(3), 488-500.</w:t>
      </w:r>
    </w:p>
    <w:p>
      <w:pPr>
        <w:spacing w:after="120" w:before="20" w:line="380" w:lineRule="auto"/>
        <w:jc w:val="both"/>
      </w:pPr>
      <w:r>
        <w:rPr>
          <w:rFonts w:ascii="Arial" w:cs="Arial" w:eastAsia="Arial" w:hAnsi="Arial"/>
          <w:b w:val="false"/>
          <w:bCs w:val="false"/>
          <w:caps w:val="false"/>
          <w:color w:val="000000"/>
          <w:sz w:val="24"/>
          <w:szCs w:val="24"/>
        </w:rPr>
        <w:t xml:space="preserve">Bellman, R. (1957). Dynamic programming. Princeton University Press.</w:t>
      </w:r>
    </w:p>
    <w:p>
      <w:pPr>
        <w:spacing w:after="120" w:before="20" w:line="380" w:lineRule="auto"/>
        <w:jc w:val="both"/>
      </w:pPr>
      <w:r>
        <w:rPr>
          <w:rFonts w:ascii="Arial" w:cs="Arial" w:eastAsia="Arial" w:hAnsi="Arial"/>
          <w:b w:val="false"/>
          <w:bCs w:val="false"/>
          <w:caps w:val="false"/>
          <w:color w:val="000000"/>
          <w:sz w:val="24"/>
          <w:szCs w:val="24"/>
        </w:rPr>
        <w:t xml:space="preserve">Bouffard, F. y Galiana, F. D. (2008). Stochastic security for operations planning with significant wind power generation. IEEE Transactions on Power Systems, 23(2), 306-316.</w:t>
      </w:r>
    </w:p>
    <w:p>
      <w:pPr>
        <w:spacing w:after="120" w:before="20" w:line="380" w:lineRule="auto"/>
        <w:jc w:val="both"/>
      </w:pPr>
      <w:r>
        <w:rPr>
          <w:rFonts w:ascii="Arial" w:cs="Arial" w:eastAsia="Arial" w:hAnsi="Arial"/>
          <w:b w:val="false"/>
          <w:bCs w:val="false"/>
          <w:caps w:val="false"/>
          <w:color w:val="000000"/>
          <w:sz w:val="24"/>
          <w:szCs w:val="24"/>
        </w:rPr>
        <w:t xml:space="preserve">Cao, D., Zhao, J., Hu, W., et al. (2020). Data-driven multi-agent deep reinforcement learning for distribution system decentralized voltage control. IEEE Transactions on Smart Grid, 12(5), 4137-4150.</w:t>
      </w:r>
    </w:p>
    <w:p>
      <w:pPr>
        <w:spacing w:after="120" w:before="20" w:line="380" w:lineRule="auto"/>
        <w:jc w:val="both"/>
      </w:pPr>
      <w:r>
        <w:rPr>
          <w:rFonts w:ascii="Arial" w:cs="Arial" w:eastAsia="Arial" w:hAnsi="Arial"/>
          <w:b w:val="false"/>
          <w:bCs w:val="false"/>
          <w:caps w:val="false"/>
          <w:color w:val="000000"/>
          <w:sz w:val="24"/>
          <w:szCs w:val="24"/>
        </w:rPr>
        <w:t xml:space="preserve">CENACE (2024). Informe anual del Mercado Eléctrico Mayorista 2023. Centro Nacional de Control de Energía, Ciudad de México.</w:t>
      </w:r>
    </w:p>
    <w:p>
      <w:pPr>
        <w:spacing w:after="120" w:before="20" w:line="380" w:lineRule="auto"/>
        <w:jc w:val="both"/>
      </w:pPr>
      <w:r>
        <w:rPr>
          <w:rFonts w:ascii="Arial" w:cs="Arial" w:eastAsia="Arial" w:hAnsi="Arial"/>
          <w:b w:val="false"/>
          <w:bCs w:val="false"/>
          <w:caps w:val="false"/>
          <w:color w:val="000000"/>
          <w:sz w:val="24"/>
          <w:szCs w:val="24"/>
        </w:rPr>
        <w:t xml:space="preserve">Chao, H. P. y Peck, S. (1996). A market mechanism for electric power transmission. Journal of Regulatory Economics, 10(1), 25-59.</w:t>
      </w:r>
    </w:p>
    <w:p>
      <w:pPr>
        <w:spacing w:after="120" w:before="20" w:line="380" w:lineRule="auto"/>
        <w:jc w:val="both"/>
      </w:pPr>
      <w:r>
        <w:rPr>
          <w:rFonts w:ascii="Arial" w:cs="Arial" w:eastAsia="Arial" w:hAnsi="Arial"/>
          <w:b w:val="false"/>
          <w:bCs w:val="false"/>
          <w:caps w:val="false"/>
          <w:color w:val="000000"/>
          <w:sz w:val="24"/>
          <w:szCs w:val="24"/>
        </w:rPr>
        <w:t xml:space="preserve">Chen, Z. y Epstein, L. G. (2002). Ambiguity, risk, and asset returns in continuous time. Econometrica, 70(4), 1403-1443.</w:t>
      </w:r>
    </w:p>
    <w:p>
      <w:pPr>
        <w:spacing w:after="120" w:before="20" w:line="380" w:lineRule="auto"/>
        <w:jc w:val="both"/>
      </w:pPr>
      <w:r>
        <w:rPr>
          <w:rFonts w:ascii="Arial" w:cs="Arial" w:eastAsia="Arial" w:hAnsi="Arial"/>
          <w:b w:val="false"/>
          <w:bCs w:val="false"/>
          <w:caps w:val="false"/>
          <w:color w:val="000000"/>
          <w:sz w:val="24"/>
          <w:szCs w:val="24"/>
        </w:rPr>
        <w:t xml:space="preserve">Clarke, E. H. (1971). Multipart pricing of public goods. Public Choice, 11(1), 17-33.</w:t>
      </w:r>
    </w:p>
    <w:p>
      <w:pPr>
        <w:spacing w:after="120" w:before="20" w:line="380" w:lineRule="auto"/>
        <w:jc w:val="both"/>
      </w:pPr>
      <w:r>
        <w:rPr>
          <w:rFonts w:ascii="Arial" w:cs="Arial" w:eastAsia="Arial" w:hAnsi="Arial"/>
          <w:b w:val="false"/>
          <w:bCs w:val="false"/>
          <w:caps w:val="false"/>
          <w:color w:val="000000"/>
          <w:sz w:val="24"/>
          <w:szCs w:val="24"/>
        </w:rPr>
        <w:t xml:space="preserve">CRE (2023). Resolución RES/432/2023 — Tarifas aplicables a los servicios ancilares en el MEM. Diario Oficial de la Federación, 15 de marzo de 2023.</w:t>
      </w:r>
    </w:p>
    <w:p>
      <w:pPr>
        <w:spacing w:after="120" w:before="20" w:line="380" w:lineRule="auto"/>
        <w:jc w:val="both"/>
      </w:pPr>
      <w:r>
        <w:rPr>
          <w:rFonts w:ascii="Arial" w:cs="Arial" w:eastAsia="Arial" w:hAnsi="Arial"/>
          <w:b w:val="false"/>
          <w:bCs w:val="false"/>
          <w:caps w:val="false"/>
          <w:color w:val="000000"/>
          <w:sz w:val="24"/>
          <w:szCs w:val="24"/>
        </w:rPr>
        <w:t xml:space="preserve">Dixit, A. K. y Pindyck, R. S. (1994). Investment under uncertainty. Princeton University Press.</w:t>
      </w:r>
    </w:p>
    <w:p>
      <w:pPr>
        <w:spacing w:after="120" w:before="20" w:line="380" w:lineRule="auto"/>
        <w:jc w:val="both"/>
      </w:pPr>
      <w:r>
        <w:rPr>
          <w:rFonts w:ascii="Arial" w:cs="Arial" w:eastAsia="Arial" w:hAnsi="Arial"/>
          <w:b w:val="false"/>
          <w:bCs w:val="false"/>
          <w:caps w:val="false"/>
          <w:color w:val="000000"/>
          <w:sz w:val="24"/>
          <w:szCs w:val="24"/>
        </w:rPr>
        <w:t xml:space="preserve">ENTSO-E (2024). Continental Europe synchronous area — Frequency deviation statistics 2023. Brussels.</w:t>
      </w:r>
    </w:p>
    <w:p>
      <w:pPr>
        <w:spacing w:after="120" w:before="20" w:line="380" w:lineRule="auto"/>
        <w:jc w:val="both"/>
      </w:pPr>
      <w:r>
        <w:rPr>
          <w:rFonts w:ascii="Arial" w:cs="Arial" w:eastAsia="Arial" w:hAnsi="Arial"/>
          <w:b w:val="false"/>
          <w:bCs w:val="false"/>
          <w:caps w:val="false"/>
          <w:color w:val="000000"/>
          <w:sz w:val="24"/>
          <w:szCs w:val="24"/>
        </w:rPr>
        <w:t xml:space="preserve">Fleming, W. H. y Soner, H. M. (2006). Controlled Markov processes and viscosity solutions (2nd ed.). Springer.</w:t>
      </w:r>
    </w:p>
    <w:p>
      <w:pPr>
        <w:spacing w:after="120" w:before="20" w:line="380" w:lineRule="auto"/>
        <w:jc w:val="both"/>
      </w:pPr>
      <w:r>
        <w:rPr>
          <w:rFonts w:ascii="Arial" w:cs="Arial" w:eastAsia="Arial" w:hAnsi="Arial"/>
          <w:b w:val="false"/>
          <w:bCs w:val="false"/>
          <w:caps w:val="false"/>
          <w:color w:val="000000"/>
          <w:sz w:val="24"/>
          <w:szCs w:val="24"/>
        </w:rPr>
        <w:t xml:space="preserve">Groves, T. (1973). Incentives in teams. Econometrica, 41(4), 617-631.</w:t>
      </w:r>
    </w:p>
    <w:p>
      <w:pPr>
        <w:spacing w:after="120" w:before="20" w:line="380" w:lineRule="auto"/>
        <w:jc w:val="both"/>
      </w:pPr>
      <w:r>
        <w:rPr>
          <w:rFonts w:ascii="Arial" w:cs="Arial" w:eastAsia="Arial" w:hAnsi="Arial"/>
          <w:b w:val="false"/>
          <w:bCs w:val="false"/>
          <w:caps w:val="false"/>
          <w:color w:val="000000"/>
          <w:sz w:val="24"/>
          <w:szCs w:val="24"/>
        </w:rPr>
        <w:t xml:space="preserve">Haarnoja, T., Zhou, A., Abbeel, P., y Levine, S. (2018). Soft actor-critic: Off-policy maximum entropy deep reinforcement learning. ICML 2018, PMLR 80, 1861-1870.</w:t>
      </w:r>
    </w:p>
    <w:p>
      <w:pPr>
        <w:spacing w:after="120" w:before="20" w:line="380" w:lineRule="auto"/>
        <w:jc w:val="both"/>
      </w:pPr>
      <w:r>
        <w:rPr>
          <w:rFonts w:ascii="Arial" w:cs="Arial" w:eastAsia="Arial" w:hAnsi="Arial"/>
          <w:b w:val="false"/>
          <w:bCs w:val="false"/>
          <w:caps w:val="false"/>
          <w:color w:val="000000"/>
          <w:sz w:val="24"/>
          <w:szCs w:val="24"/>
        </w:rPr>
        <w:t xml:space="preserve">Hansen, L. P. y Sargent, T. J. (2001). Robust control and model uncertainty. American Economic Review, 91(2), 60-66.</w:t>
      </w:r>
    </w:p>
    <w:p>
      <w:pPr>
        <w:spacing w:after="120" w:before="20" w:line="380" w:lineRule="auto"/>
        <w:jc w:val="both"/>
      </w:pPr>
      <w:r>
        <w:rPr>
          <w:rFonts w:ascii="Arial" w:cs="Arial" w:eastAsia="Arial" w:hAnsi="Arial"/>
          <w:b w:val="false"/>
          <w:bCs w:val="false"/>
          <w:caps w:val="false"/>
          <w:color w:val="000000"/>
          <w:sz w:val="24"/>
          <w:szCs w:val="24"/>
        </w:rPr>
        <w:t xml:space="preserve">Hansen, L. P. y Sargent, T. J. (2008). Robustness. Princeton University Press.</w:t>
      </w:r>
    </w:p>
    <w:p>
      <w:pPr>
        <w:spacing w:after="120" w:before="20" w:line="380" w:lineRule="auto"/>
        <w:jc w:val="both"/>
      </w:pPr>
      <w:r>
        <w:rPr>
          <w:rFonts w:ascii="Arial" w:cs="Arial" w:eastAsia="Arial" w:hAnsi="Arial"/>
          <w:b w:val="false"/>
          <w:bCs w:val="false"/>
          <w:caps w:val="false"/>
          <w:color w:val="000000"/>
          <w:sz w:val="24"/>
          <w:szCs w:val="24"/>
        </w:rPr>
        <w:t xml:space="preserve">IRENA (2023). Renewable power generation costs in 2022. International Renewable Energy Agency, Abu Dhabi.</w:t>
      </w:r>
    </w:p>
    <w:p>
      <w:pPr>
        <w:spacing w:after="120" w:before="20" w:line="380" w:lineRule="auto"/>
        <w:jc w:val="both"/>
      </w:pPr>
      <w:r>
        <w:rPr>
          <w:rFonts w:ascii="Arial" w:cs="Arial" w:eastAsia="Arial" w:hAnsi="Arial"/>
          <w:b w:val="false"/>
          <w:bCs w:val="false"/>
          <w:caps w:val="false"/>
          <w:color w:val="000000"/>
          <w:sz w:val="24"/>
          <w:szCs w:val="24"/>
        </w:rPr>
        <w:t xml:space="preserve">Joskow, P. L. y Tirole, J. (2007). Reliability and competitive electricity markets. RAND Journal of Economics, 38(1), 60-84.</w:t>
      </w:r>
    </w:p>
    <w:p>
      <w:pPr>
        <w:spacing w:after="120" w:before="20" w:line="380" w:lineRule="auto"/>
        <w:jc w:val="both"/>
      </w:pPr>
      <w:r>
        <w:rPr>
          <w:rFonts w:ascii="Arial" w:cs="Arial" w:eastAsia="Arial" w:hAnsi="Arial"/>
          <w:b w:val="false"/>
          <w:bCs w:val="false"/>
          <w:caps w:val="false"/>
          <w:color w:val="000000"/>
          <w:sz w:val="24"/>
          <w:szCs w:val="24"/>
        </w:rPr>
        <w:t xml:space="preserve">Knight, F. H. (1921). Risk, uncertainty and profit. Hart, Schaffner and Marx.</w:t>
      </w:r>
    </w:p>
    <w:p>
      <w:pPr>
        <w:spacing w:after="120" w:before="20" w:line="380" w:lineRule="auto"/>
        <w:jc w:val="both"/>
      </w:pPr>
      <w:r>
        <w:rPr>
          <w:rFonts w:ascii="Arial" w:cs="Arial" w:eastAsia="Arial" w:hAnsi="Arial"/>
          <w:b w:val="false"/>
          <w:bCs w:val="false"/>
          <w:caps w:val="false"/>
          <w:color w:val="000000"/>
          <w:sz w:val="24"/>
          <w:szCs w:val="24"/>
        </w:rPr>
        <w:t xml:space="preserve">Kushner, H. J. y Dupuis, P. (2001). Numerical methods for stochastic control problems in continuous time (2nd ed.). Springer.</w:t>
      </w:r>
    </w:p>
    <w:p>
      <w:pPr>
        <w:spacing w:after="120" w:before="20" w:line="380" w:lineRule="auto"/>
        <w:jc w:val="both"/>
      </w:pPr>
      <w:r>
        <w:rPr>
          <w:rFonts w:ascii="Arial" w:cs="Arial" w:eastAsia="Arial" w:hAnsi="Arial"/>
          <w:b w:val="false"/>
          <w:bCs w:val="false"/>
          <w:caps w:val="false"/>
          <w:color w:val="000000"/>
          <w:sz w:val="24"/>
          <w:szCs w:val="24"/>
        </w:rPr>
        <w:t xml:space="preserve">Maccheroni, F., Marinacci, M., y Rustichini, A. (2006). Ambiguity aversion, robustness, and the variational representation of preferences. Econometrica, 74(6), 1447-1498.</w:t>
      </w:r>
    </w:p>
    <w:p>
      <w:pPr>
        <w:spacing w:after="120" w:before="20" w:line="380" w:lineRule="auto"/>
        <w:jc w:val="both"/>
      </w:pPr>
      <w:r>
        <w:rPr>
          <w:rFonts w:ascii="Arial" w:cs="Arial" w:eastAsia="Arial" w:hAnsi="Arial"/>
          <w:b w:val="false"/>
          <w:bCs w:val="false"/>
          <w:caps w:val="false"/>
          <w:color w:val="000000"/>
          <w:sz w:val="24"/>
          <w:szCs w:val="24"/>
        </w:rPr>
        <w:t xml:space="preserve">McDonald, R. L. y Siegel, D. (1986). The value of waiting to invest. Quarterly Journal of Economics, 101(4), 707-728.</w:t>
      </w:r>
    </w:p>
    <w:p>
      <w:pPr>
        <w:spacing w:after="120" w:before="20" w:line="380" w:lineRule="auto"/>
        <w:jc w:val="both"/>
      </w:pPr>
      <w:r>
        <w:rPr>
          <w:rFonts w:ascii="Arial" w:cs="Arial" w:eastAsia="Arial" w:hAnsi="Arial"/>
          <w:b w:val="false"/>
          <w:bCs w:val="false"/>
          <w:caps w:val="false"/>
          <w:color w:val="000000"/>
          <w:sz w:val="24"/>
          <w:szCs w:val="24"/>
        </w:rPr>
        <w:t xml:space="preserve">Milgrom, P. R. y Weber, R. J. (1982). A theory of auctions and competitive bidding. Econometrica, 50(5), 1089-1122.</w:t>
      </w:r>
    </w:p>
    <w:p>
      <w:pPr>
        <w:spacing w:after="120" w:before="20" w:line="380" w:lineRule="auto"/>
        <w:jc w:val="both"/>
      </w:pPr>
      <w:r>
        <w:rPr>
          <w:rFonts w:ascii="Arial" w:cs="Arial" w:eastAsia="Arial" w:hAnsi="Arial"/>
          <w:b w:val="false"/>
          <w:bCs w:val="false"/>
          <w:caps w:val="false"/>
          <w:color w:val="000000"/>
          <w:sz w:val="24"/>
          <w:szCs w:val="24"/>
        </w:rPr>
        <w:t xml:space="preserve">Milgrom, P. R. (2004). Putting auction theory to work. Cambridge University Press.</w:t>
      </w:r>
    </w:p>
    <w:p>
      <w:pPr>
        <w:spacing w:after="120" w:before="20" w:line="380" w:lineRule="auto"/>
        <w:jc w:val="both"/>
      </w:pPr>
      <w:r>
        <w:rPr>
          <w:rFonts w:ascii="Arial" w:cs="Arial" w:eastAsia="Arial" w:hAnsi="Arial"/>
          <w:b w:val="false"/>
          <w:bCs w:val="false"/>
          <w:caps w:val="false"/>
          <w:color w:val="000000"/>
          <w:sz w:val="24"/>
          <w:szCs w:val="24"/>
        </w:rPr>
        <w:t xml:space="preserve">Morales, J. M., Conejo, A. J., Madsen, H., Pinson, P., y Zugno, M. (2013). Integrating renewables in electricity markets. Springer.</w:t>
      </w:r>
    </w:p>
    <w:p>
      <w:pPr>
        <w:spacing w:after="120" w:before="20" w:line="380" w:lineRule="auto"/>
        <w:jc w:val="both"/>
      </w:pPr>
      <w:r>
        <w:rPr>
          <w:rFonts w:ascii="Arial" w:cs="Arial" w:eastAsia="Arial" w:hAnsi="Arial"/>
          <w:b w:val="false"/>
          <w:bCs w:val="false"/>
          <w:caps w:val="false"/>
          <w:color w:val="000000"/>
          <w:sz w:val="24"/>
          <w:szCs w:val="24"/>
        </w:rPr>
        <w:t xml:space="preserve">Myers, S. C. (1977). Determinants of corporate borrowing. Journal of Financial Economics, 5(2), 147-175.</w:t>
      </w:r>
    </w:p>
    <w:p>
      <w:pPr>
        <w:spacing w:after="120" w:before="20" w:line="380" w:lineRule="auto"/>
        <w:jc w:val="both"/>
      </w:pPr>
      <w:r>
        <w:rPr>
          <w:rFonts w:ascii="Arial" w:cs="Arial" w:eastAsia="Arial" w:hAnsi="Arial"/>
          <w:b w:val="false"/>
          <w:bCs w:val="false"/>
          <w:caps w:val="false"/>
          <w:color w:val="000000"/>
          <w:sz w:val="24"/>
          <w:szCs w:val="24"/>
        </w:rPr>
        <w:t xml:space="preserve">Myerson, R. B. (1981). Optimal auction design. Mathematics of Operations Research, 6(1), 58-73.</w:t>
      </w:r>
    </w:p>
    <w:p>
      <w:pPr>
        <w:spacing w:after="120" w:before="20" w:line="380" w:lineRule="auto"/>
        <w:jc w:val="both"/>
      </w:pPr>
      <w:r>
        <w:rPr>
          <w:rFonts w:ascii="Arial" w:cs="Arial" w:eastAsia="Arial" w:hAnsi="Arial"/>
          <w:b w:val="false"/>
          <w:bCs w:val="false"/>
          <w:caps w:val="false"/>
          <w:color w:val="000000"/>
          <w:sz w:val="24"/>
          <w:szCs w:val="24"/>
        </w:rPr>
        <w:t xml:space="preserve">Myerson, R. B. (1991). Game theory: Analysis of conflict. Harvard University Press.</w:t>
      </w:r>
    </w:p>
    <w:p>
      <w:pPr>
        <w:spacing w:after="120" w:before="20" w:line="380" w:lineRule="auto"/>
        <w:jc w:val="both"/>
      </w:pPr>
      <w:r>
        <w:rPr>
          <w:rFonts w:ascii="Arial" w:cs="Arial" w:eastAsia="Arial" w:hAnsi="Arial"/>
          <w:b w:val="false"/>
          <w:bCs w:val="false"/>
          <w:caps w:val="false"/>
          <w:color w:val="000000"/>
          <w:sz w:val="24"/>
          <w:szCs w:val="24"/>
        </w:rPr>
        <w:t xml:space="preserve">NERC (2024). Reliability standards: BAL-003 — Frequency response and frequency bias setting. NERC, Atlanta, GA.</w:t>
      </w:r>
    </w:p>
    <w:p>
      <w:pPr>
        <w:spacing w:after="120" w:before="20" w:line="380" w:lineRule="auto"/>
        <w:jc w:val="both"/>
      </w:pPr>
      <w:r>
        <w:rPr>
          <w:rFonts w:ascii="Arial" w:cs="Arial" w:eastAsia="Arial" w:hAnsi="Arial"/>
          <w:b w:val="false"/>
          <w:bCs w:val="false"/>
          <w:caps w:val="false"/>
          <w:color w:val="000000"/>
          <w:sz w:val="24"/>
          <w:szCs w:val="24"/>
        </w:rPr>
        <w:t xml:space="preserve">Øksendal, B. (2003). Stochastic differential equations: An introduction with applications (6th ed.). Springer.</w:t>
      </w:r>
    </w:p>
    <w:p>
      <w:pPr>
        <w:spacing w:after="120" w:before="20" w:line="380" w:lineRule="auto"/>
        <w:jc w:val="both"/>
      </w:pPr>
      <w:r>
        <w:rPr>
          <w:rFonts w:ascii="Arial" w:cs="Arial" w:eastAsia="Arial" w:hAnsi="Arial"/>
          <w:b w:val="false"/>
          <w:bCs w:val="false"/>
          <w:caps w:val="false"/>
          <w:color w:val="000000"/>
          <w:sz w:val="24"/>
          <w:szCs w:val="24"/>
        </w:rPr>
        <w:t xml:space="preserve">Pham, H. (2009). Continuous-time stochastic control and optimization with financial applications. Springer.</w:t>
      </w:r>
    </w:p>
    <w:p>
      <w:pPr>
        <w:spacing w:after="120" w:before="20" w:line="380" w:lineRule="auto"/>
        <w:jc w:val="both"/>
      </w:pPr>
      <w:r>
        <w:rPr>
          <w:rFonts w:ascii="Arial" w:cs="Arial" w:eastAsia="Arial" w:hAnsi="Arial"/>
          <w:b w:val="false"/>
          <w:bCs w:val="false"/>
          <w:caps w:val="false"/>
          <w:color w:val="000000"/>
          <w:sz w:val="24"/>
          <w:szCs w:val="24"/>
        </w:rPr>
        <w:t xml:space="preserve">Stoft, S. (2002). Power system economics: Designing markets for electricity. IEEE Press / Wiley.</w:t>
      </w:r>
    </w:p>
    <w:p>
      <w:pPr>
        <w:spacing w:after="120" w:before="20" w:line="380" w:lineRule="auto"/>
        <w:jc w:val="both"/>
      </w:pPr>
      <w:r>
        <w:rPr>
          <w:rFonts w:ascii="Arial" w:cs="Arial" w:eastAsia="Arial" w:hAnsi="Arial"/>
          <w:b w:val="false"/>
          <w:bCs w:val="false"/>
          <w:caps w:val="false"/>
          <w:color w:val="000000"/>
          <w:sz w:val="24"/>
          <w:szCs w:val="24"/>
        </w:rPr>
        <w:t xml:space="preserve">Trigeorgis, L. (1996). Real options: Managerial flexibility and strategy in resource allocation. MIT Press.</w:t>
      </w:r>
    </w:p>
    <w:p>
      <w:pPr>
        <w:spacing w:after="120" w:before="20" w:line="380" w:lineRule="auto"/>
        <w:jc w:val="both"/>
      </w:pPr>
      <w:r>
        <w:rPr>
          <w:rFonts w:ascii="Arial" w:cs="Arial" w:eastAsia="Arial" w:hAnsi="Arial"/>
          <w:b w:val="false"/>
          <w:bCs w:val="false"/>
          <w:caps w:val="false"/>
          <w:color w:val="000000"/>
          <w:sz w:val="24"/>
          <w:szCs w:val="24"/>
        </w:rPr>
        <w:t xml:space="preserve">Uhlenbeck, G. E. y Ornstein, L. S. (1930). On the theory of the Brownian motion. Physical Review, 36(5), 823-841.</w:t>
      </w:r>
    </w:p>
    <w:p>
      <w:pPr>
        <w:spacing w:after="120" w:before="20" w:line="380" w:lineRule="auto"/>
        <w:jc w:val="both"/>
      </w:pPr>
      <w:r>
        <w:rPr>
          <w:rFonts w:ascii="Arial" w:cs="Arial" w:eastAsia="Arial" w:hAnsi="Arial"/>
          <w:b w:val="false"/>
          <w:bCs w:val="false"/>
          <w:caps w:val="false"/>
          <w:color w:val="000000"/>
          <w:sz w:val="24"/>
          <w:szCs w:val="24"/>
        </w:rPr>
        <w:t xml:space="preserve">Vickrey, W. (1961). Counterspeculation, auctions, and competitive sealed tenders. Journal of Finance, 16(1), 8-37.</w:t>
      </w:r>
    </w:p>
    <w:p>
      <w:pPr>
        <w:spacing w:after="120" w:before="20" w:line="380" w:lineRule="auto"/>
        <w:jc w:val="both"/>
      </w:pPr>
      <w:r>
        <w:rPr>
          <w:rFonts w:ascii="Arial" w:cs="Arial" w:eastAsia="Arial" w:hAnsi="Arial"/>
          <w:b w:val="false"/>
          <w:bCs w:val="false"/>
          <w:caps w:val="false"/>
          <w:color w:val="000000"/>
          <w:sz w:val="24"/>
          <w:szCs w:val="24"/>
        </w:rPr>
        <w:t xml:space="preserve">Wilmott, P., Dewynne, J., y Howison, S. (1993). Option pricing: Mathematical models and computation. Oxford Financial Press.</w:t>
      </w:r>
    </w:p>
    <w:p>
      <w:pPr>
        <w:spacing w:after="120" w:before="20" w:line="380" w:lineRule="auto"/>
        <w:jc w:val="both"/>
      </w:pPr>
      <w:r>
        <w:rPr>
          <w:rFonts w:ascii="Arial" w:cs="Arial" w:eastAsia="Arial" w:hAnsi="Arial"/>
          <w:b w:val="false"/>
          <w:bCs w:val="false"/>
          <w:caps w:val="false"/>
          <w:color w:val="000000"/>
          <w:sz w:val="24"/>
          <w:szCs w:val="24"/>
        </w:rPr>
        <w:t xml:space="preserve">Wilson, R. (2002). Architecture of power markets. Econometrica, 70(4), 1299-1340.</w:t>
      </w:r>
    </w:p>
    <w:p>
      <w:pPr>
        <w:spacing w:after="120" w:before="20" w:line="380" w:lineRule="auto"/>
        <w:jc w:val="both"/>
      </w:pPr>
      <w:r>
        <w:rPr>
          <w:rFonts w:ascii="Arial" w:cs="Arial" w:eastAsia="Arial" w:hAnsi="Arial"/>
          <w:b w:val="false"/>
          <w:bCs w:val="false"/>
          <w:caps w:val="false"/>
          <w:color w:val="000000"/>
          <w:sz w:val="24"/>
          <w:szCs w:val="24"/>
        </w:rPr>
        <w:t xml:space="preserve">Zhang, Z., Zhang, D., y Qiu, R. C. (2022). Deep reinforcement learning for power system applications. CSEE Journal of Power and Energy Systems, 6(1), 213-225.</w:t>
      </w:r>
    </w:p>
    <w:p>
      <w:pPr>
        <w:spacing w:after="0" w:before="0"/>
      </w:pPr>
      <w:r>
        <w:br/>
      </w:r>
    </w:p>
    <w:p>
      <w:pPr>
        <w:pStyle w:val="Heading1"/>
        <w:spacing w:after="280" w:before="600"/>
        <w:jc w:val="left"/>
      </w:pPr>
      <w:r>
        <w:rPr>
          <w:rFonts w:ascii="Arial" w:cs="Arial" w:eastAsia="Arial" w:hAnsi="Arial"/>
          <w:b/>
          <w:bCs/>
          <w:caps w:val="false"/>
          <w:color w:val="0D2B45"/>
          <w:sz w:val="34"/>
          <w:szCs w:val="34"/>
        </w:rPr>
        <w:t xml:space="preserve">Apéndice A  Demostración del Teorema de Feynman-Kac</w:t>
      </w:r>
    </w:p>
    <w:p>
      <w:pPr>
        <w:spacing w:after="200" w:before="0" w:line="380" w:lineRule="auto"/>
        <w:jc w:val="both"/>
      </w:pPr>
      <w:r>
        <w:rPr>
          <w:rFonts w:ascii="Arial" w:cs="Arial" w:eastAsia="Arial" w:hAnsi="Arial"/>
          <w:b w:val="false"/>
          <w:bCs w:val="false"/>
          <w:caps w:val="false"/>
          <w:color w:val="000000"/>
          <w:sz w:val="24"/>
          <w:szCs w:val="24"/>
        </w:rPr>
        <w:t xml:space="preserve">Presentamos la demostración completa utilizada en el Capítulo 1.</w:t>
      </w:r>
    </w:p>
    <w:p>
      <w:pPr>
        <w:pStyle w:val="Heading2"/>
        <w:spacing w:after="200" w:before="420"/>
        <w:jc w:val="left"/>
      </w:pPr>
      <w:r>
        <w:rPr>
          <w:rFonts w:ascii="Arial" w:cs="Arial" w:eastAsia="Arial" w:hAnsi="Arial"/>
          <w:b/>
          <w:bCs/>
          <w:caps w:val="false"/>
          <w:color w:val="0F6E56"/>
          <w:sz w:val="28"/>
          <w:szCs w:val="28"/>
        </w:rPr>
        <w:t xml:space="preserve">A.1  Enunciado</w:t>
      </w:r>
    </w:p>
    <w:p>
      <w:pPr>
        <w:spacing w:after="200" w:before="0" w:line="380" w:lineRule="auto"/>
        <w:jc w:val="both"/>
      </w:pPr>
      <w:r>
        <w:rPr>
          <w:rFonts w:ascii="Arial" w:cs="Arial" w:eastAsia="Arial" w:hAnsi="Arial"/>
          <w:b w:val="false"/>
          <w:bCs w:val="false"/>
          <w:caps w:val="false"/>
          <w:color w:val="000000"/>
          <w:sz w:val="24"/>
          <w:szCs w:val="24"/>
        </w:rPr>
        <w:t xml:space="preserve">Teorema A.1. Sea X(t) un proceso de Itô en ℝⁿ con dX = μ(X,t)dt + σ(X,t)dW. Si u(x,t) satisface la EDP parabólica con condiciones de crecimiento polinomial, entonces u admite la representación estocástica bajo la medida inducida por el proceso.</w:t>
      </w:r>
    </w:p>
    <w:p>
      <w:pPr>
        <w:pStyle w:val="Heading2"/>
        <w:spacing w:after="200" w:before="420"/>
        <w:jc w:val="left"/>
      </w:pPr>
      <w:r>
        <w:rPr>
          <w:rFonts w:ascii="Arial" w:cs="Arial" w:eastAsia="Arial" w:hAnsi="Arial"/>
          <w:b/>
          <w:bCs/>
          <w:caps w:val="false"/>
          <w:color w:val="0F6E56"/>
          <w:sz w:val="28"/>
          <w:szCs w:val="28"/>
        </w:rPr>
        <w:t xml:space="preserve">A.2  Demostración</w:t>
      </w:r>
    </w:p>
    <w:p>
      <w:pPr>
        <w:spacing w:after="200" w:before="0" w:line="380" w:lineRule="auto"/>
        <w:jc w:val="both"/>
      </w:pPr>
      <w:r>
        <w:rPr>
          <w:rFonts w:ascii="Arial" w:cs="Arial" w:eastAsia="Arial" w:hAnsi="Arial"/>
          <w:b w:val="false"/>
          <w:bCs w:val="false"/>
          <w:caps w:val="false"/>
          <w:color w:val="000000"/>
          <w:sz w:val="24"/>
          <w:szCs w:val="24"/>
        </w:rPr>
        <w:t xml:space="preserve">Sea Y(s) = e^{−∫_t^s r dτ} u(X(s),s). Por la fórmula de Itô:</w:t>
      </w:r>
    </w:p>
    <w:p>
      <w:pPr>
        <w:spacing w:after="240" w:before="240"/>
        <w:jc w:val="center"/>
      </w:pPr>
      <w:r>
        <w:rPr>
          <w:rFonts w:ascii="Cambria Math" w:cs="Cambria Math" w:eastAsia="Cambria Math" w:hAnsi="Cambria Math"/>
          <w:color w:val="0D2B45"/>
          <w:sz w:val="22"/>
          <w:szCs w:val="22"/>
        </w:rPr>
        <w:t xml:space="preserve">dY  =  e^{−∫_t^s r dτ} [ du − r·u·ds ]  =  e^{−∫_t^s r dτ} [ (∂u/∂t + Lu − ru) ds  +  ∇u·σ·dW ]</w:t>
      </w:r>
    </w:p>
    <w:p>
      <w:pPr>
        <w:spacing w:after="200" w:before="0" w:line="380" w:lineRule="auto"/>
        <w:jc w:val="both"/>
      </w:pPr>
      <w:r>
        <w:rPr>
          <w:rFonts w:ascii="Arial" w:cs="Arial" w:eastAsia="Arial" w:hAnsi="Arial"/>
          <w:b w:val="false"/>
          <w:bCs w:val="false"/>
          <w:caps w:val="false"/>
          <w:color w:val="000000"/>
          <w:sz w:val="24"/>
          <w:szCs w:val="24"/>
        </w:rPr>
        <w:t xml:space="preserve">Por la EDP, ∂u/∂t + Lu − ru = −g. Entonces dY = −e^{−∫r}g ds + (martingala). Integrando de t a T y tomando esperanza condicional:</w:t>
      </w:r>
    </w:p>
    <w:p>
      <w:pPr>
        <w:spacing w:after="240" w:before="240"/>
        <w:jc w:val="center"/>
      </w:pPr>
      <w:r>
        <w:rPr>
          <w:rFonts w:ascii="Cambria Math" w:cs="Cambria Math" w:eastAsia="Cambria Math" w:hAnsi="Cambria Math"/>
          <w:color w:val="0D2B45"/>
          <w:sz w:val="22"/>
          <w:szCs w:val="22"/>
        </w:rPr>
        <w:t xml:space="preserve">u(x,t)  =  E[ e^{−∫_t^T r dτ} Φ(X(T)) | X(t)=x ]  +  E[ ∫_t^T e^{−∫_t^s r dτ} g(X(s),s) ds | X(t)=x ]</w:t>
      </w:r>
    </w:p>
    <w:p>
      <w:pPr>
        <w:spacing w:after="200" w:before="0" w:line="380" w:lineRule="auto"/>
        <w:jc w:val="both"/>
      </w:pPr>
      <w:r>
        <w:rPr>
          <w:rFonts w:ascii="Arial" w:cs="Arial" w:eastAsia="Arial" w:hAnsi="Arial"/>
          <w:b w:val="false"/>
          <w:bCs w:val="false"/>
          <w:caps w:val="false"/>
          <w:color w:val="000000"/>
          <w:sz w:val="24"/>
          <w:szCs w:val="24"/>
        </w:rPr>
        <w:t xml:space="preserve">que es la representación Feynman-Kac. La condición de cuadrado-integrabilidad de ∇u·σ se verifica bajo las condiciones de crecimiento polinomial asumidas. □</w:t>
      </w:r>
    </w:p>
    <w:p>
      <w:pPr>
        <w:pStyle w:val="Heading1"/>
        <w:spacing w:after="280" w:before="600"/>
        <w:jc w:val="left"/>
      </w:pPr>
      <w:r>
        <w:rPr>
          <w:rFonts w:ascii="Arial" w:cs="Arial" w:eastAsia="Arial" w:hAnsi="Arial"/>
          <w:b/>
          <w:bCs/>
          <w:caps w:val="false"/>
          <w:color w:val="0D2B45"/>
          <w:sz w:val="34"/>
          <w:szCs w:val="34"/>
        </w:rPr>
        <w:t xml:space="preserve">Apéndice B  El Mecanismo VCG: Construcción Formal</w:t>
      </w:r>
    </w:p>
    <w:p>
      <w:pPr>
        <w:pStyle w:val="Heading2"/>
        <w:spacing w:after="200" w:before="420"/>
        <w:jc w:val="left"/>
      </w:pPr>
      <w:r>
        <w:rPr>
          <w:rFonts w:ascii="Arial" w:cs="Arial" w:eastAsia="Arial" w:hAnsi="Arial"/>
          <w:b/>
          <w:bCs/>
          <w:caps w:val="false"/>
          <w:color w:val="0F6E56"/>
          <w:sz w:val="28"/>
          <w:szCs w:val="28"/>
        </w:rPr>
        <w:t xml:space="preserve">B.1  Implementación para Subasta de Regulación</w:t>
      </w:r>
    </w:p>
    <w:p>
      <w:pPr>
        <w:spacing w:after="200" w:before="0" w:line="380" w:lineRule="auto"/>
        <w:jc w:val="both"/>
      </w:pPr>
      <w:r>
        <w:rPr>
          <w:rFonts w:ascii="Arial" w:cs="Arial" w:eastAsia="Arial" w:hAnsi="Arial"/>
          <w:b w:val="false"/>
          <w:bCs w:val="false"/>
          <w:caps w:val="false"/>
          <w:color w:val="000000"/>
          <w:sz w:val="24"/>
          <w:szCs w:val="24"/>
        </w:rPr>
        <w:t xml:space="preserve">El pago VCG al proveedor i asignado en la subasta de capacidad de regulación es:</w:t>
      </w:r>
    </w:p>
    <w:p>
      <w:pPr>
        <w:spacing w:after="240" w:before="240"/>
        <w:jc w:val="center"/>
      </w:pPr>
      <w:r>
        <w:rPr>
          <w:rFonts w:ascii="Cambria Math" w:cs="Cambria Math" w:eastAsia="Cambria Math" w:hAnsi="Cambria Math"/>
          <w:color w:val="0D2B45"/>
          <w:sz w:val="22"/>
          <w:szCs w:val="22"/>
        </w:rPr>
        <w:t xml:space="preserve">p_i^{VCG}(θ)  =  W_{−i}(x*(θ_{−i}))  −  W_{−i}(x*(θ))</w:t>
      </w:r>
    </w:p>
    <w:p>
      <w:pPr>
        <w:spacing w:after="200" w:before="0" w:line="380" w:lineRule="auto"/>
        <w:jc w:val="both"/>
      </w:pPr>
      <w:r>
        <w:rPr>
          <w:rFonts w:ascii="Arial" w:cs="Arial" w:eastAsia="Arial" w:hAnsi="Arial"/>
          <w:b w:val="false"/>
          <w:bCs w:val="false"/>
          <w:caps w:val="false"/>
          <w:color w:val="000000"/>
          <w:sz w:val="24"/>
          <w:szCs w:val="24"/>
        </w:rPr>
        <w:t xml:space="preserve">donde W_{−i}(x) = Σ_{j≠i} θⱼ · xⱼ es el bienestar de los demás proveedores bajo la asignación x, y x*(θ_{−i}) es la asignación eficiente cuando el proveedor i no participa. Este pago hace que reportar el costo verdadero θᵢ sea estrategia dominante para todos los proveedores, independientemente de sus creencias sobre los tipos de los demás (dominant strategy incentive compatibility, DSIC).</w:t>
      </w:r>
    </w:p>
    <w:p>
      <w:pPr>
        <w:pStyle w:val="Heading1"/>
        <w:spacing w:after="280" w:before="600"/>
        <w:jc w:val="left"/>
      </w:pPr>
      <w:r>
        <w:rPr>
          <w:rFonts w:ascii="Arial" w:cs="Arial" w:eastAsia="Arial" w:hAnsi="Arial"/>
          <w:b/>
          <w:bCs/>
          <w:caps w:val="false"/>
          <w:color w:val="0D2B45"/>
          <w:sz w:val="34"/>
          <w:szCs w:val="34"/>
        </w:rPr>
        <w:t xml:space="preserve">Apéndice C  Código HJB — Extracto del Solucionador PRIMEnergeia</w:t>
      </w:r>
    </w:p>
    <w:p>
      <w:pPr>
        <w:spacing w:after="120" w:before="120" w:line="300" w:lineRule="auto"/>
        <w:ind w:left="360"/>
      </w:pPr>
      <w:r>
        <w:rPr>
          <w:rFonts w:ascii="Courier New" w:cs="Courier New" w:eastAsia="Courier New" w:hAnsi="Courier New"/>
          <w:color w:val="0D2B45"/>
          <w:sz w:val="19"/>
          <w:szCs w:val="19"/>
        </w:rPr>
        <w:t xml:space="preserve"># Iteración de valor — HJB estocástico (Python, PRIMEnergeia)
for it in range(cfg.max_iterations):
    V_new = np.full_like(V, np.inf)
    interp = RegularGridInterpolator((f_dev, roc), V)
    for u in u_candidates:  # u ∈ [-50, +50] MW
        F_next = np.clip(F + dt*R, -cfg.freq_range, cfg.freq_range)
        R_next = np.clip(R + dt*(-D*F - u/100)/(2*H), -cfg.roc_range, cfg.roc_range)
        V_next = interp(np.stack([F_next.ravel(), R_next.ravel()], axis=1))
        V_next = V_next.reshape(F.shape)
        Q = (q_f*F**2 + q_r*R**2 + r_ctrl*u**2)*dt + gamma*V_next
        mask = Q &lt; V_new
        V_new = np.where(mask, Q, V_new)
        pi_new = np.where(mask, u, pi_new)
    if np.max(np.abs(V_new - V)) &lt; cfg.tol: break
    V = V_new
# Online inference: &lt; 8ms via RegularGridInterpolator lookup
u_star = float(policy_interp(np.array([[delta_f, rocof]]))[0])</w:t>
      </w:r>
    </w:p>
    <w:p>
      <w:pPr>
        <w:pStyle w:val="Heading1"/>
        <w:spacing w:after="280" w:before="600"/>
        <w:jc w:val="left"/>
      </w:pPr>
      <w:r>
        <w:rPr>
          <w:rFonts w:ascii="Arial" w:cs="Arial" w:eastAsia="Arial" w:hAnsi="Arial"/>
          <w:b/>
          <w:bCs/>
          <w:caps w:val="false"/>
          <w:color w:val="0D2B45"/>
          <w:sz w:val="34"/>
          <w:szCs w:val="34"/>
        </w:rPr>
        <w:t xml:space="preserve">Apéndice D  Cobertura de ISOs — Sistema PRIMEnergeia-Sovereign</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680"/>
        <w:gridCol w:w="2160"/>
        <w:gridCol w:w="840"/>
        <w:gridCol w:w="840"/>
        <w:gridCol w:w="3840"/>
      </w:tblGrid>
      <w:tr>
        <w:trPr>
          <w:tblHeader/>
        </w:trPr>
        <w:tc>
          <w:tcPr>
            <w:tcW w:type="dxa" w:w="168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ISO</w:t>
            </w:r>
          </w:p>
        </w:tc>
        <w:tc>
          <w:tcPr>
            <w:tcW w:type="dxa" w:w="216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País/Región</w:t>
            </w:r>
          </w:p>
        </w:tc>
        <w:tc>
          <w:tcPr>
            <w:tcW w:type="dxa" w:w="84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Hz</w:t>
            </w:r>
          </w:p>
        </w:tc>
        <w:tc>
          <w:tcPr>
            <w:tcW w:type="dxa" w:w="84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GW</w:t>
            </w:r>
          </w:p>
        </w:tc>
        <w:tc>
          <w:tcPr>
            <w:tcW w:type="dxa" w:w="3840"/>
            <w:tcBorders>
              <w:top w:val="single" w:color="CCCCCC" w:sz="1"/>
              <w:left w:val="single" w:color="CCCCCC" w:sz="1"/>
              <w:bottom w:val="single" w:color="CCCCCC" w:sz="1"/>
              <w:right w:val="single" w:color="CCCCCC" w:sz="1"/>
            </w:tcBorders>
            <w:shd w:fill="0D2B45" w:val="clear"/>
            <w:tcMar>
              <w:top w:type="dxa" w:w="80"/>
              <w:left w:type="dxa" w:w="120"/>
              <w:bottom w:type="dxa" w:w="80"/>
              <w:right w:type="dxa" w:w="120"/>
            </w:tcMar>
            <w:vAlign w:val="center"/>
          </w:tcPr>
          <w:p>
            <w:pPr>
              <w:jc w:val="center"/>
            </w:pPr>
            <w:r>
              <w:rPr>
                <w:rFonts w:ascii="Arial" w:cs="Arial" w:eastAsia="Arial" w:hAnsi="Arial"/>
                <w:b/>
                <w:bCs/>
                <w:caps w:val="false"/>
                <w:color w:val="FFFFFF"/>
                <w:sz w:val="19"/>
                <w:szCs w:val="19"/>
              </w:rPr>
              <w:t xml:space="preserve">Estado</w:t>
            </w:r>
          </w:p>
        </w:tc>
      </w:tr>
      <w:tr>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ERCOT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Texas, EE.UU.</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60</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90</w:t>
            </w:r>
          </w:p>
        </w:tc>
        <w:tc>
          <w:tcPr>
            <w:tcW w:type="dxa" w:w="3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Activo</w:t>
            </w:r>
          </w:p>
        </w:tc>
      </w:tr>
      <w:tr>
        <w:tc>
          <w:tcPr>
            <w:tcW w:type="dxa" w:w="168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PJM</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Este EE.UU.</w:t>
            </w:r>
          </w:p>
        </w:tc>
        <w:tc>
          <w:tcPr>
            <w:tcW w:type="dxa" w:w="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60</w:t>
            </w:r>
          </w:p>
        </w:tc>
        <w:tc>
          <w:tcPr>
            <w:tcW w:type="dxa" w:w="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180</w:t>
            </w:r>
          </w:p>
        </w:tc>
        <w:tc>
          <w:tcPr>
            <w:tcW w:type="dxa" w:w="3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Activo</w:t>
            </w:r>
          </w:p>
        </w:tc>
      </w:tr>
      <w:tr>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CAISO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California</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60</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80</w:t>
            </w:r>
          </w:p>
        </w:tc>
        <w:tc>
          <w:tcPr>
            <w:tcW w:type="dxa" w:w="3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Activo</w:t>
            </w:r>
          </w:p>
        </w:tc>
      </w:tr>
      <w:tr>
        <w:tc>
          <w:tcPr>
            <w:tcW w:type="dxa" w:w="168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MISO</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Medio Oeste EE.UU.</w:t>
            </w:r>
          </w:p>
        </w:tc>
        <w:tc>
          <w:tcPr>
            <w:tcW w:type="dxa" w:w="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60</w:t>
            </w:r>
          </w:p>
        </w:tc>
        <w:tc>
          <w:tcPr>
            <w:tcW w:type="dxa" w:w="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130</w:t>
            </w:r>
          </w:p>
        </w:tc>
        <w:tc>
          <w:tcPr>
            <w:tcW w:type="dxa" w:w="3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Activo</w:t>
            </w:r>
          </w:p>
        </w:tc>
      </w:tr>
      <w:tr>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NYISO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Nueva York</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60</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40</w:t>
            </w:r>
          </w:p>
        </w:tc>
        <w:tc>
          <w:tcPr>
            <w:tcW w:type="dxa" w:w="3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Activo</w:t>
            </w:r>
          </w:p>
        </w:tc>
      </w:tr>
      <w:tr>
        <w:tc>
          <w:tcPr>
            <w:tcW w:type="dxa" w:w="168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ISONE</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Nueva Inglaterra</w:t>
            </w:r>
          </w:p>
        </w:tc>
        <w:tc>
          <w:tcPr>
            <w:tcW w:type="dxa" w:w="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60</w:t>
            </w:r>
          </w:p>
        </w:tc>
        <w:tc>
          <w:tcPr>
            <w:tcW w:type="dxa" w:w="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32</w:t>
            </w:r>
          </w:p>
        </w:tc>
        <w:tc>
          <w:tcPr>
            <w:tcW w:type="dxa" w:w="3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Activo</w:t>
            </w:r>
          </w:p>
        </w:tc>
      </w:tr>
      <w:tr>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SPP</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Centro EE.UU.</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60</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92</w:t>
            </w:r>
          </w:p>
        </w:tc>
        <w:tc>
          <w:tcPr>
            <w:tcW w:type="dxa" w:w="3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Activo</w:t>
            </w:r>
          </w:p>
        </w:tc>
      </w:tr>
      <w:tr>
        <w:tc>
          <w:tcPr>
            <w:tcW w:type="dxa" w:w="168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CENACE</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México (SIN)</w:t>
            </w:r>
          </w:p>
        </w:tc>
        <w:tc>
          <w:tcPr>
            <w:tcW w:type="dxa" w:w="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60</w:t>
            </w:r>
          </w:p>
        </w:tc>
        <w:tc>
          <w:tcPr>
            <w:tcW w:type="dxa" w:w="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45</w:t>
            </w:r>
          </w:p>
        </w:tc>
        <w:tc>
          <w:tcPr>
            <w:tcW w:type="dxa" w:w="3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Activo — Piloto VZA-400</w:t>
            </w:r>
          </w:p>
        </w:tc>
      </w:tr>
      <w:tr>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ONS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Brasil</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60</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55</w:t>
            </w:r>
          </w:p>
        </w:tc>
        <w:tc>
          <w:tcPr>
            <w:tcW w:type="dxa" w:w="3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Activo</w:t>
            </w:r>
          </w:p>
        </w:tc>
      </w:tr>
      <w:tr>
        <w:tc>
          <w:tcPr>
            <w:tcW w:type="dxa" w:w="168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SEN</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Chile</w:t>
            </w:r>
          </w:p>
        </w:tc>
        <w:tc>
          <w:tcPr>
            <w:tcW w:type="dxa" w:w="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50</w:t>
            </w:r>
          </w:p>
        </w:tc>
        <w:tc>
          <w:tcPr>
            <w:tcW w:type="dxa" w:w="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60</w:t>
            </w:r>
          </w:p>
        </w:tc>
        <w:tc>
          <w:tcPr>
            <w:tcW w:type="dxa" w:w="3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Activo</w:t>
            </w:r>
          </w:p>
        </w:tc>
      </w:tr>
      <w:tr>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MIBEL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España/Portugal</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50</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55</w:t>
            </w:r>
          </w:p>
        </w:tc>
        <w:tc>
          <w:tcPr>
            <w:tcW w:type="dxa" w:w="3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Activo</w:t>
            </w:r>
          </w:p>
        </w:tc>
      </w:tr>
      <w:tr>
        <w:tc>
          <w:tcPr>
            <w:tcW w:type="dxa" w:w="168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EPEX</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Europa Central</w:t>
            </w:r>
          </w:p>
        </w:tc>
        <w:tc>
          <w:tcPr>
            <w:tcW w:type="dxa" w:w="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50</w:t>
            </w:r>
          </w:p>
        </w:tc>
        <w:tc>
          <w:tcPr>
            <w:tcW w:type="dxa" w:w="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150</w:t>
            </w:r>
          </w:p>
        </w:tc>
        <w:tc>
          <w:tcPr>
            <w:tcW w:type="dxa" w:w="3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Activo</w:t>
            </w:r>
          </w:p>
        </w:tc>
      </w:tr>
      <w:tr>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NordPool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Escandinavia</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50</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70</w:t>
            </w:r>
          </w:p>
        </w:tc>
        <w:tc>
          <w:tcPr>
            <w:tcW w:type="dxa" w:w="3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Activo</w:t>
            </w:r>
          </w:p>
        </w:tc>
      </w:tr>
      <w:tr>
        <w:tc>
          <w:tcPr>
            <w:tcW w:type="dxa" w:w="168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REE</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España</w:t>
            </w:r>
          </w:p>
        </w:tc>
        <w:tc>
          <w:tcPr>
            <w:tcW w:type="dxa" w:w="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50</w:t>
            </w:r>
          </w:p>
        </w:tc>
        <w:tc>
          <w:tcPr>
            <w:tcW w:type="dxa" w:w="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50</w:t>
            </w:r>
          </w:p>
        </w:tc>
        <w:tc>
          <w:tcPr>
            <w:tcW w:type="dxa" w:w="3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Activo</w:t>
            </w:r>
          </w:p>
        </w:tc>
      </w:tr>
      <w:tr>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AEMO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Australia</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50</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65</w:t>
            </w:r>
          </w:p>
        </w:tc>
        <w:tc>
          <w:tcPr>
            <w:tcW w:type="dxa" w:w="3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Activo</w:t>
            </w:r>
          </w:p>
        </w:tc>
      </w:tr>
      <w:tr>
        <w:tc>
          <w:tcPr>
            <w:tcW w:type="dxa" w:w="168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NTGC</w:t>
            </w:r>
          </w:p>
        </w:tc>
        <w:tc>
          <w:tcPr>
            <w:tcW w:type="dxa" w:w="216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CCG</w:t>
            </w:r>
          </w:p>
        </w:tc>
        <w:tc>
          <w:tcPr>
            <w:tcW w:type="dxa" w:w="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50</w:t>
            </w:r>
          </w:p>
        </w:tc>
        <w:tc>
          <w:tcPr>
            <w:tcW w:type="dxa" w:w="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38</w:t>
            </w:r>
          </w:p>
        </w:tc>
        <w:tc>
          <w:tcPr>
            <w:tcW w:type="dxa" w:w="3840"/>
            <w:tcBorders>
              <w:top w:val="single" w:color="CCCCCC" w:sz="1"/>
              <w:left w:val="single" w:color="CCCCCC" w:sz="1"/>
              <w:bottom w:val="single" w:color="CCCCCC" w:sz="1"/>
              <w:right w:val="single" w:color="CCCCCC" w:sz="1"/>
            </w:tcBorders>
            <w:shd w:fill="EDF5F2"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Activo</w:t>
            </w:r>
          </w:p>
        </w:tc>
      </w:tr>
      <w:tr>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SAPP</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África Austral</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50</w:t>
            </w:r>
          </w:p>
        </w:tc>
        <w:tc>
          <w:tcPr>
            <w:tcW w:type="dxa" w:w="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38</w:t>
            </w:r>
          </w:p>
        </w:tc>
        <w:tc>
          <w:tcPr>
            <w:tcW w:type="dxa" w:w="3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b w:val="false"/>
                <w:bCs w:val="false"/>
                <w:caps w:val="false"/>
                <w:color w:val="000000"/>
                <w:sz w:val="19"/>
                <w:szCs w:val="19"/>
              </w:rPr>
              <w:t xml:space="preserve">Activo</w:t>
            </w:r>
          </w:p>
        </w:tc>
      </w:tr>
    </w:tbl>
    <w:p>
      <w:pPr>
        <w:spacing w:after="320" w:before="80" w:line="380" w:lineRule="auto"/>
        <w:jc w:val="center"/>
      </w:pPr>
      <w:r>
        <w:rPr>
          <w:rFonts w:ascii="Arial" w:cs="Arial" w:eastAsia="Arial" w:hAnsi="Arial"/>
          <w:b w:val="false"/>
          <w:bCs w:val="false"/>
          <w:caps w:val="false"/>
          <w:color w:val="888888"/>
          <w:sz w:val="20"/>
          <w:szCs w:val="20"/>
        </w:rPr>
        <w:t xml:space="preserve">Tabla D.1: Cobertura de ISOs — 17 mercados, 1,770 GW. Sistema PRIMEnergeia-Sovereign (TRL 9).</w:t>
      </w:r>
    </w:p>
    <w:p>
      <w:pPr>
        <w:spacing w:after="200" w:before="0" w:line="380" w:lineRule="auto"/>
        <w:jc w:val="both"/>
      </w:pPr>
      <w:r>
        <w:rPr>
          <w:rFonts w:ascii="Arial" w:cs="Arial" w:eastAsia="Arial" w:hAnsi="Arial"/>
          <w:b w:val="false"/>
          <w:bCs w:val="false"/>
          <w:caps w:val="false"/>
          <w:color w:val="000000"/>
          <w:sz w:val="24"/>
          <w:szCs w:val="24"/>
        </w:rPr>
        <w:t xml:space="preserve"/>
      </w:r>
    </w:p>
    <w:p>
      <w:pPr>
        <w:spacing w:after="200" w:before="0" w:line="380" w:lineRule="auto"/>
        <w:jc w:val="center"/>
      </w:pPr>
      <w:r>
        <w:rPr>
          <w:rFonts w:ascii="Arial" w:cs="Arial" w:eastAsia="Arial" w:hAnsi="Arial"/>
          <w:b w:val="false"/>
          <w:bCs w:val="false"/>
          <w:caps w:val="false"/>
          <w:color w:val="888888"/>
          <w:sz w:val="24"/>
          <w:szCs w:val="24"/>
        </w:rPr>
        <w:t xml:space="preserve">— Fin de la Tesis —</w:t>
      </w:r>
    </w:p>
    <w:p>
      <w:pPr>
        <w:spacing w:after="200" w:before="0" w:line="380" w:lineRule="auto"/>
        <w:jc w:val="center"/>
      </w:pPr>
      <w:r>
        <w:rPr>
          <w:rFonts w:ascii="Arial" w:cs="Arial" w:eastAsia="Arial" w:hAnsi="Arial"/>
          <w:b w:val="false"/>
          <w:bCs w:val="false"/>
          <w:caps w:val="false"/>
          <w:color w:val="888888"/>
          <w:sz w:val="20"/>
          <w:szCs w:val="20"/>
        </w:rPr>
        <w:t xml:space="preserve">Diego Córdoba Urrutia  ·  ITAM Dirección Financiera  ·  Mayo 2026</w:t>
      </w:r>
    </w:p>
    <w:sectPr>
      <w:headerReference w:type="default" r:id="rId7"/>
      <w:footerReference w:type="default" r:id="rId8"/>
      <w:pgSz w:w="12240" w:h="15840"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4" w:space="1"/>
      </w:pBdr>
      <w:spacing w:after="0" w:before="120"/>
      <w:jc w:val="center"/>
    </w:pPr>
    <w:r>
      <w:rPr>
        <w:rFonts w:ascii="Arial" w:cs="Arial" w:eastAsia="Arial" w:hAnsi="Arial"/>
        <w:color w:val="888888"/>
        <w:sz w:val="18"/>
        <w:szCs w:val="18"/>
      </w:rPr>
      <w:t xml:space="preserve">Diego Córdoba Urrutia  ·  Dirección Financiera  ·  ITAM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1"/>
      </w:pBdr>
      <w:spacing w:after="120" w:before="0"/>
      <w:jc w:val="right"/>
    </w:pPr>
    <w:r>
      <w:rPr>
        <w:rFonts w:ascii="Arial" w:cs="Arial" w:eastAsia="Arial" w:hAnsi="Arial"/>
        <w:color w:val="888888"/>
        <w:sz w:val="18"/>
        <w:szCs w:val="18"/>
      </w:rPr>
      <w:t xml:space="preserve">PRIMEnergeia — Valoración HJB de Servicios Ancilares  ·  ITAM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600"/>
      <w:outlineLvl w:val="0"/>
    </w:pPr>
    <w:rPr>
      <w:rFonts w:ascii="Arial" w:cs="Arial" w:eastAsia="Arial" w:hAnsi="Arial"/>
      <w:b/>
      <w:bCs/>
      <w:color w:val="0D2B45"/>
      <w:sz w:val="34"/>
      <w:szCs w:val="34"/>
    </w:rPr>
  </w:style>
  <w:style w:type="paragraph" w:styleId="Heading2">
    <w:name w:val="Heading 2"/>
    <w:basedOn w:val="Normal"/>
    <w:next w:val="Normal"/>
    <w:qFormat/>
    <w:pPr>
      <w:spacing w:after="200" w:before="420"/>
      <w:outlineLvl w:val="1"/>
    </w:pPr>
    <w:rPr>
      <w:rFonts w:ascii="Arial" w:cs="Arial" w:eastAsia="Arial" w:hAnsi="Arial"/>
      <w:b/>
      <w:bCs/>
      <w:color w:val="0F6E56"/>
      <w:sz w:val="28"/>
      <w:szCs w:val="28"/>
    </w:rPr>
  </w:style>
  <w:style w:type="paragraph" w:styleId="Heading3">
    <w:name w:val="Heading 3"/>
    <w:basedOn w:val="Normal"/>
    <w:next w:val="Normal"/>
    <w:qFormat/>
    <w:pPr>
      <w:spacing w:after="140" w:before="280"/>
      <w:outlineLvl w:val="2"/>
    </w:pPr>
    <w:rPr>
      <w:rFonts w:ascii="Arial" w:cs="Arial" w:eastAsia="Arial" w:hAnsi="Arial"/>
      <w:b/>
      <w:bCs/>
      <w:color w:val="0D2B4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2026-05-14T22:26:56.776Z</dcterms:created>
  <dcterms:modified xsi:type="dcterms:W3CDTF">2026-05-14T22:26:56.792Z</dcterms:modified>
</cp:coreProperties>
</file>

<file path=docProps/custom.xml><?xml version="1.0" encoding="utf-8"?>
<Properties xmlns="http://schemas.openxmlformats.org/officeDocument/2006/custom-properties" xmlns:vt="http://schemas.openxmlformats.org/officeDocument/2006/docPropsVTypes"/>
</file>