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380" w:lineRule="auto"/>
        <w:jc w:val="center"/>
      </w:pPr>
      <w:r>
        <w:rPr>
          <w:rFonts w:ascii="Arial" w:cs="Arial" w:eastAsia="Arial" w:hAnsi="Arial"/>
          <w:b/>
          <w:bCs/>
          <w:caps/>
          <w:color w:val="0D2B45"/>
          <w:sz w:val="27"/>
          <w:szCs w:val="27"/>
        </w:rPr>
        <w:t xml:space="preserve">INSTITUTO TECNOLÓGICO AUTÓNOMO DE MÉXICO</w:t>
      </w:r>
    </w:p>
    <w:p>
      <w:pPr>
        <w:spacing w:after="800" w:before="0" w:line="380" w:lineRule="auto"/>
        <w:jc w:val="center"/>
      </w:pPr>
      <w:r>
        <w:rPr>
          <w:rFonts w:ascii="Arial" w:cs="Arial" w:eastAsia="Arial" w:hAnsi="Arial"/>
          <w:b w:val="false"/>
          <w:bCs w:val="false"/>
          <w:caps w:val="false"/>
          <w:color w:val="0F6E56"/>
          <w:sz w:val="21"/>
          <w:szCs w:val="21"/>
        </w:rPr>
        <w:t xml:space="preserve">ITAM — DEPARTAMENTO DE FINANZAS</w:t>
      </w:r>
    </w:p>
    <w:p>
      <w:pPr>
        <w:pBdr>
          <w:bottom w:val="single" w:color="0F6E56" w:sz="6" w:space="1"/>
        </w:pBdr>
        <w:spacing w:after="800" w:before="0" w:line="380" w:lineRule="auto"/>
        <w:jc w:val="both"/>
      </w:pPr>
      <w:r>
        <w:rPr>
          <w:rFonts w:ascii="Arial" w:cs="Arial" w:eastAsia="Arial" w:hAnsi="Arial"/>
          <w:b w:val="false"/>
          <w:bCs w:val="false"/>
          <w:caps w:val="false"/>
          <w:color w:val="111111"/>
          <w:sz w:val="24"/>
          <w:szCs w:val="24"/>
        </w:rPr>
        <w:t xml:space="preserve"/>
      </w:r>
    </w:p>
    <w:p>
      <w:pPr>
        <w:spacing w:after="1200" w:before="0" w:line="380" w:lineRule="auto"/>
        <w:jc w:val="center"/>
      </w:pPr>
      <w:r>
        <w:rPr>
          <w:rFonts w:ascii="Arial" w:cs="Arial" w:eastAsia="Arial" w:hAnsi="Arial"/>
          <w:b/>
          <w:bCs/>
          <w:caps/>
          <w:color w:val="555555"/>
          <w:sz w:val="22"/>
          <w:szCs w:val="22"/>
        </w:rPr>
        <w:t xml:space="preserve">TESIS DOCTORAL EN DIRECCIÓN FINANCIERA</w:t>
      </w:r>
    </w:p>
    <w:p>
      <w:pPr>
        <w:spacing w:after="160" w:before="800" w:line="380" w:lineRule="auto"/>
        <w:jc w:val="center"/>
      </w:pPr>
      <w:r>
        <w:rPr>
          <w:rFonts w:ascii="Arial" w:cs="Arial" w:eastAsia="Arial" w:hAnsi="Arial"/>
          <w:b/>
          <w:bCs/>
          <w:caps w:val="false"/>
          <w:color w:val="0D2B45"/>
          <w:sz w:val="38"/>
          <w:szCs w:val="38"/>
        </w:rPr>
        <w:t xml:space="preserve">Valoración de Servicios Ancilares como Opciones Reales</w:t>
      </w:r>
    </w:p>
    <w:p>
      <w:pPr>
        <w:spacing w:after="160" w:before="0" w:line="380" w:lineRule="auto"/>
        <w:jc w:val="center"/>
      </w:pPr>
      <w:r>
        <w:rPr>
          <w:rFonts w:ascii="Arial" w:cs="Arial" w:eastAsia="Arial" w:hAnsi="Arial"/>
          <w:b/>
          <w:bCs/>
          <w:caps w:val="false"/>
          <w:color w:val="0D2B45"/>
          <w:sz w:val="36"/>
          <w:szCs w:val="36"/>
        </w:rPr>
        <w:t xml:space="preserve">mediante Control Óptimo Estocástico:</w:t>
      </w:r>
    </w:p>
    <w:p>
      <w:pPr>
        <w:spacing w:after="1200" w:before="0" w:line="380" w:lineRule="auto"/>
        <w:jc w:val="center"/>
      </w:pPr>
      <w:r>
        <w:rPr>
          <w:rFonts w:ascii="Arial" w:cs="Arial" w:eastAsia="Arial" w:hAnsi="Arial"/>
          <w:b/>
          <w:bCs/>
          <w:caps w:val="false"/>
          <w:color w:val="0F6E56"/>
          <w:sz w:val="26"/>
          <w:szCs w:val="26"/>
        </w:rPr>
        <w:t xml:space="preserve">Un Enfoque HJB Unificado para Mercados de Energía Latinoamericanos</w:t>
      </w:r>
    </w:p>
    <w:p>
      <w:pPr>
        <w:pBdr>
          <w:bottom w:val="single" w:color="0F6E56" w:sz="6" w:space="1"/>
        </w:pBdr>
        <w:spacing w:after="800" w:before="0" w:line="380" w:lineRule="auto"/>
        <w:jc w:val="both"/>
      </w:pPr>
      <w:r>
        <w:rPr>
          <w:rFonts w:ascii="Arial" w:cs="Arial" w:eastAsia="Arial" w:hAnsi="Arial"/>
          <w:b w:val="false"/>
          <w:bCs w:val="false"/>
          <w:caps w:val="false"/>
          <w:color w:val="111111"/>
          <w:sz w:val="24"/>
          <w:szCs w:val="24"/>
        </w:rPr>
        <w:t xml:space="preserve"/>
      </w:r>
    </w:p>
    <w:p>
      <w:pPr>
        <w:spacing w:after="120" w:before="0" w:line="380" w:lineRule="auto"/>
        <w:jc w:val="center"/>
      </w:pPr>
      <w:r>
        <w:rPr>
          <w:rFonts w:ascii="Arial" w:cs="Arial" w:eastAsia="Arial" w:hAnsi="Arial"/>
          <w:b/>
          <w:bCs/>
          <w:caps w:val="false"/>
          <w:color w:val="555555"/>
          <w:sz w:val="21"/>
          <w:szCs w:val="21"/>
        </w:rPr>
        <w:t xml:space="preserve">Autor</w:t>
      </w:r>
    </w:p>
    <w:p>
      <w:pPr>
        <w:spacing w:after="120" w:before="0" w:line="380" w:lineRule="auto"/>
        <w:jc w:val="center"/>
      </w:pPr>
      <w:r>
        <w:rPr>
          <w:rFonts w:ascii="Arial" w:cs="Arial" w:eastAsia="Arial" w:hAnsi="Arial"/>
          <w:b/>
          <w:bCs/>
          <w:caps w:val="false"/>
          <w:color w:val="0D2B45"/>
          <w:sz w:val="30"/>
          <w:szCs w:val="30"/>
        </w:rPr>
        <w:t xml:space="preserve">Diego Córdoba Urrutia</w:t>
      </w:r>
    </w:p>
    <w:p>
      <w:pPr>
        <w:spacing w:after="800" w:before="0" w:line="380" w:lineRule="auto"/>
        <w:jc w:val="center"/>
      </w:pPr>
      <w:r>
        <w:rPr>
          <w:rFonts w:ascii="Arial" w:cs="Arial" w:eastAsia="Arial" w:hAnsi="Arial"/>
          <w:b w:val="false"/>
          <w:bCs w:val="false"/>
          <w:caps w:val="false"/>
          <w:color w:val="0F6E56"/>
          <w:sz w:val="21"/>
          <w:szCs w:val="21"/>
        </w:rPr>
        <w:t xml:space="preserve">diego@primenergeia.com</w:t>
      </w:r>
    </w:p>
    <w:p>
      <w:pPr>
        <w:spacing w:after="120" w:before="0" w:line="380" w:lineRule="auto"/>
        <w:jc w:val="center"/>
      </w:pPr>
      <w:r>
        <w:rPr>
          <w:rFonts w:ascii="Arial" w:cs="Arial" w:eastAsia="Arial" w:hAnsi="Arial"/>
          <w:b/>
          <w:bCs/>
          <w:caps w:val="false"/>
          <w:color w:val="555555"/>
          <w:sz w:val="21"/>
          <w:szCs w:val="21"/>
        </w:rPr>
        <w:t xml:space="preserve">Director de Tesis</w:t>
      </w:r>
    </w:p>
    <w:p>
      <w:pPr>
        <w:spacing w:after="800" w:before="0" w:line="380" w:lineRule="auto"/>
        <w:jc w:val="center"/>
      </w:pPr>
      <w:r>
        <w:rPr>
          <w:rFonts w:ascii="Arial" w:cs="Arial" w:eastAsia="Arial" w:hAnsi="Arial"/>
          <w:b w:val="false"/>
          <w:bCs w:val="false"/>
          <w:caps w:val="false"/>
          <w:color w:val="555555"/>
          <w:sz w:val="21"/>
          <w:szCs w:val="21"/>
        </w:rPr>
        <w:t xml:space="preserve">Por designar — Departamento de Finanzas, ITAM</w:t>
      </w:r>
    </w:p>
    <w:p>
      <w:pPr>
        <w:spacing w:after="200" w:before="0" w:line="380" w:lineRule="auto"/>
        <w:jc w:val="center"/>
      </w:pPr>
      <w:r>
        <w:rPr>
          <w:rFonts w:ascii="Arial" w:cs="Arial" w:eastAsia="Arial" w:hAnsi="Arial"/>
          <w:b w:val="false"/>
          <w:bCs w:val="false"/>
          <w:caps w:val="false"/>
          <w:color w:val="555555"/>
          <w:sz w:val="21"/>
          <w:szCs w:val="21"/>
        </w:rPr>
        <w:t xml:space="preserve">México, D.F. — 2028</w:t>
      </w:r>
    </w:p>
    <w:p>
      <w:pPr>
        <w:spacing w:after="0" w:before="0"/>
      </w:pPr>
      <w:r>
        <w:br/>
      </w:r>
    </w:p>
    <w:p>
      <w:pPr>
        <w:pStyle w:val="Heading1"/>
        <w:spacing w:after="280" w:before="600"/>
        <w:jc w:val="left"/>
      </w:pPr>
      <w:r>
        <w:rPr>
          <w:rFonts w:ascii="Arial" w:cs="Arial" w:eastAsia="Arial" w:hAnsi="Arial"/>
          <w:b/>
          <w:bCs/>
          <w:caps w:val="false"/>
          <w:color w:val="0D2B45"/>
          <w:sz w:val="34"/>
          <w:szCs w:val="34"/>
        </w:rPr>
        <w:t xml:space="preserve">Resumen Ejecutivo</w:t>
      </w:r>
    </w:p>
    <w:p>
      <w:pPr>
        <w:spacing w:after="200" w:before="0" w:line="380" w:lineRule="auto"/>
        <w:jc w:val="both"/>
      </w:pPr>
      <w:r>
        <w:rPr>
          <w:rFonts w:ascii="Arial" w:cs="Arial" w:eastAsia="Arial" w:hAnsi="Arial"/>
          <w:b w:val="false"/>
          <w:bCs w:val="false"/>
          <w:caps w:val="false"/>
          <w:color w:val="111111"/>
          <w:sz w:val="24"/>
          <w:szCs w:val="24"/>
        </w:rPr>
        <w:t xml:space="preserve">Esta tesis establece una equivalencia matemática precisa entre la ecuación de Hamilton-Jacobi-Bellman (HJB) del control óptimo estocástico y la ecuación diferencial parcial de Black-Scholes-Merton para la valoración de derivados financieros. La dualidad es exacta vía el Teorema de Feynman-Kac y se extiende al caso con restricciones físicas de control —generando la Prima de Control Óptimo (PCO)— equivalente a la prima de ejercicio anticipado de una opción americana. Sobre este fundamento matemático se construye el marco HJB-Myerson: valoración de contratos de servicios ancilares de regulación de frecuencia como opciones reales, diseño del mecanismo óptimo de subasta para que ese precio emerja en equilibrio, análisis empírico en el Sistema Interconectado Nacional de México (SIN-CENACE), y expansión regional a América Latina.</w:t>
      </w:r>
    </w:p>
    <w:p>
      <w:pPr>
        <w:spacing w:after="200" w:before="0" w:line="380" w:lineRule="auto"/>
        <w:jc w:val="both"/>
      </w:pPr>
      <w:r>
        <w:rPr>
          <w:rFonts w:ascii="Arial" w:cs="Arial" w:eastAsia="Arial" w:hAnsi="Arial"/>
          <w:b w:val="false"/>
          <w:bCs w:val="false"/>
          <w:caps w:val="false"/>
          <w:color w:val="111111"/>
          <w:sz w:val="24"/>
          <w:szCs w:val="24"/>
        </w:rPr>
        <w:t xml:space="preserve">Las siete contribuciones originales son: (1) demostración formal de la dualidad HJB–Black-Scholes con la restricción de control U = [−50, +50] MW, incluyendo el modelo OU vectorial calibrado sobre cinco zonas de control del SIN que cuantifica errores de valoración de hasta 32.6 pp del modelo escalar —consecuencia directa de la expansión eólica del 67% en la zona Norte (2021-2024); (2) modelo de opción americana con barrera para el contrato de regulación, con frontera libre x*(0) ≈ −0.024 Hz, descomposición de precio en cinco componentes, y Prima de Bundling del 11.6% verificada numéricamente vía el Hessiano cruzado de Topkis; (3) Lema 3.1 que formaliza la conexión entre el actor-loss del agente SAC y la bola de divergencia KL de Hansen-Sargent, generando cotas de valoración robusta con Prima de Ambigüedad del 11–27%; (4) diseño del mecanismo VCG+Linkage de Myerson-Milgrom-Weber para subastas de regulación con los cuatro factores de ruptura del Teorema de Equivalencia de Ingresos; (5) análisis de bienestar social en seis canales con VPN de USD 3.24 mil millones y ratio B/C de 22.4x; (6) expansión al marco LatAm con proceso de Lévy para Colombia, modelo de Heston para Chile, y OU vectorial para Brasil; y (7) diseño del ecosistema Eureka-Sovereign —opciones call GEV al 22.5% de descuento sobre Black-Scholes financiadas con Daily Gains Sweep— integrado con la plataforma de regulación (tratado como apéndice operacional, no como contribución académica).</w:t>
      </w:r>
    </w:p>
    <w:p>
      <w:pPr>
        <w:spacing w:after="200" w:before="0" w:line="380" w:lineRule="auto"/>
        <w:jc w:val="both"/>
      </w:pPr>
      <w:r>
        <w:rPr>
          <w:rFonts w:ascii="Arial" w:cs="Arial" w:eastAsia="Arial" w:hAnsi="Arial"/>
          <w:b w:val="false"/>
          <w:bCs w:val="false"/>
          <w:caps w:val="false"/>
          <w:color w:val="111111"/>
          <w:sz w:val="24"/>
          <w:szCs w:val="24"/>
        </w:rPr>
        <w:t xml:space="preserve">Palabras clave: Hamilton-Jacobi-Bellman, opciones reales, servicios ancilares, mecanismo de Myerson, CENACE, proceso de Ornstein-Uhlenbeck vectorial, aprendizaje por refuerzo profundo, ambigüedad knightiana, bienestar social, GE Vernova.</w:t>
      </w:r>
    </w:p>
    <w:p>
      <w:pPr>
        <w:spacing w:after="0" w:before="0"/>
      </w:pPr>
      <w:r>
        <w:br/>
      </w:r>
    </w:p>
    <w:p>
      <w:pPr>
        <w:pStyle w:val="Heading1"/>
        <w:spacing w:after="280" w:before="600"/>
        <w:jc w:val="left"/>
      </w:pPr>
      <w:r>
        <w:rPr>
          <w:rFonts w:ascii="Arial" w:cs="Arial" w:eastAsia="Arial" w:hAnsi="Arial"/>
          <w:b/>
          <w:bCs/>
          <w:caps w:val="false"/>
          <w:color w:val="0D2B45"/>
          <w:sz w:val="34"/>
          <w:szCs w:val="34"/>
        </w:rPr>
        <w:t xml:space="preserve">Introducción General</w:t>
      </w:r>
    </w:p>
    <w:p>
      <w:pPr>
        <w:pStyle w:val="Heading2"/>
        <w:spacing w:after="200" w:before="400"/>
        <w:jc w:val="left"/>
      </w:pPr>
      <w:r>
        <w:rPr>
          <w:rFonts w:ascii="Arial" w:cs="Arial" w:eastAsia="Arial" w:hAnsi="Arial"/>
          <w:b/>
          <w:bCs/>
          <w:caps w:val="false"/>
          <w:color w:val="0F6E56"/>
          <w:sz w:val="27"/>
          <w:szCs w:val="27"/>
        </w:rPr>
        <w:t xml:space="preserve">I.1  El Problema</w:t>
      </w:r>
    </w:p>
    <w:p>
      <w:pPr>
        <w:spacing w:after="200" w:before="0" w:line="380" w:lineRule="auto"/>
        <w:jc w:val="both"/>
      </w:pPr>
      <w:r>
        <w:rPr>
          <w:rFonts w:ascii="Arial" w:cs="Arial" w:eastAsia="Arial" w:hAnsi="Arial"/>
          <w:b w:val="false"/>
          <w:bCs w:val="false"/>
          <w:caps w:val="false"/>
          <w:color w:val="111111"/>
          <w:sz w:val="24"/>
          <w:szCs w:val="24"/>
        </w:rPr>
        <w:t xml:space="preserve">Los servicios ancilares de regulación de frecuencia —AGC, reservas rodantes, regulación de voltaje— son el mecanismo mediante el cual los operadores de sistemas de transmisión mantienen la estabilidad física de la red en tiempo real. En México, el CENACE administra estos mercados con una tarifa administrativa fija que esta tesis demuestra está en el 32.8–59.5% del precio de equilibrio teórico, dependiendo de si se considera el servicio AGC en aislamiento o el bundle completo de cuatro servicios. Esta brecha representa un subsidio implícito de MXN 6.96 mil millones anuales que desincentiva la inversión privada en infraestructura de estabilización y genera pérdida irrecuperable de Harberger.</w:t>
      </w:r>
    </w:p>
    <w:p>
      <w:pPr>
        <w:spacing w:after="200" w:before="0" w:line="380" w:lineRule="auto"/>
        <w:jc w:val="both"/>
      </w:pPr>
      <w:r>
        <w:rPr>
          <w:rFonts w:ascii="Arial" w:cs="Arial" w:eastAsia="Arial" w:hAnsi="Arial"/>
          <w:b w:val="false"/>
          <w:bCs w:val="false"/>
          <w:caps w:val="false"/>
          <w:color w:val="111111"/>
          <w:sz w:val="24"/>
          <w:szCs w:val="24"/>
        </w:rPr>
        <w:t xml:space="preserve">La pregunta central es doble: ¿cuál es el precio eficiente del contrato de regulación de frecuencia, y cómo debe diseñarse el mecanismo de mercado para que ese precio emerja en equilibrio con revelación veraz de preferencias? La primera parte es un problema de control óptimo estocástico resuelto por la ecuación HJB. La segunda es un problema de teoría de mecanismos resuelto por el diseño de Myerson-Milgrom-Weber. El marco HJB-Myerson unifica ambas respuestas.</w:t>
      </w:r>
    </w:p>
    <w:p>
      <w:pPr>
        <w:pStyle w:val="Heading2"/>
        <w:spacing w:after="200" w:before="400"/>
        <w:jc w:val="left"/>
      </w:pPr>
      <w:r>
        <w:rPr>
          <w:rFonts w:ascii="Arial" w:cs="Arial" w:eastAsia="Arial" w:hAnsi="Arial"/>
          <w:b/>
          <w:bCs/>
          <w:caps w:val="false"/>
          <w:color w:val="0F6E56"/>
          <w:sz w:val="27"/>
          <w:szCs w:val="27"/>
        </w:rPr>
        <w:t xml:space="preserve">I.2  PRIMEnergeia-Sovereign como Laboratorio</w:t>
      </w:r>
    </w:p>
    <w:p>
      <w:pPr>
        <w:spacing w:after="200" w:before="0" w:line="380" w:lineRule="auto"/>
        <w:jc w:val="both"/>
      </w:pPr>
      <w:r>
        <w:rPr>
          <w:rFonts w:ascii="Arial" w:cs="Arial" w:eastAsia="Arial" w:hAnsi="Arial"/>
          <w:b w:val="false"/>
          <w:bCs w:val="false"/>
          <w:caps w:val="false"/>
          <w:color w:val="111111"/>
          <w:sz w:val="24"/>
          <w:szCs w:val="24"/>
        </w:rPr>
        <w:t xml:space="preserve">El sistema PRIMEnergeia-Sovereign (TRL 9, producción) cubre 17 ISOs globales representando 1,770 GW. El solucionador HJB opera con latencia menor a 8 ms; el agente SAC provee recuperación post-disturbancia en 100 ms. El nodo piloto VZA-400 (100 MW, red CENACE, zona Centro-Occidente) generó los 23.5 millones de observaciones de frecuencia —resolución de 4 segundos, enero 2022–diciembre 2024— que calibran empíricamente todos los modelos de la tesis.</w:t>
      </w:r>
    </w:p>
    <w:p>
      <w:pPr>
        <w:pStyle w:val="Heading2"/>
        <w:spacing w:after="200" w:before="400"/>
        <w:jc w:val="left"/>
      </w:pPr>
      <w:r>
        <w:rPr>
          <w:rFonts w:ascii="Arial" w:cs="Arial" w:eastAsia="Arial" w:hAnsi="Arial"/>
          <w:b/>
          <w:bCs/>
          <w:caps w:val="false"/>
          <w:color w:val="0F6E56"/>
          <w:sz w:val="27"/>
          <w:szCs w:val="27"/>
        </w:rPr>
        <w:t xml:space="preserve">I.3  Estructura</w:t>
      </w:r>
    </w:p>
    <w:p>
      <w:pPr>
        <w:spacing w:after="200" w:before="0" w:line="380" w:lineRule="auto"/>
        <w:jc w:val="both"/>
      </w:pPr>
      <w:r>
        <w:rPr>
          <w:rFonts w:ascii="Arial" w:cs="Arial" w:eastAsia="Arial" w:hAnsi="Arial"/>
          <w:b w:val="false"/>
          <w:bCs w:val="false"/>
          <w:caps w:val="false"/>
          <w:color w:val="111111"/>
          <w:sz w:val="24"/>
          <w:szCs w:val="24"/>
        </w:rPr>
        <w:t xml:space="preserve">Capítulo 1: dualidad HJB–Black-Scholes y proceso OU vectorial. Capítulo 2: opción americana con barrera, bundling y Hessiano de Topkis. Capítulo 3: ambigüedad knightiana, Lema 3.1 y cotas robustas. Capítulo 4: mecanismo VCG+Linkage de Myerson. Capítulo 5: empiria CENACE y bienestar social en seis canales. Capítulo 6: expansión LatAm —Lévy/Colombia, Heston/Chile, vectorial/Brasil. Capítulo 7: transición tecnológica Granas-Sovereign. Apéndice E: ecosistema Eureka-Sovereign (operacional).</w:t>
      </w:r>
    </w:p>
    <w:p>
      <w:pPr>
        <w:spacing w:after="0" w:before="0"/>
      </w:pPr>
      <w:r>
        <w:br/>
      </w:r>
    </w:p>
    <w:p>
      <w:pPr>
        <w:pStyle w:val="Heading1"/>
        <w:spacing w:after="280" w:before="600"/>
        <w:jc w:val="left"/>
      </w:pPr>
      <w:r>
        <w:rPr>
          <w:rFonts w:ascii="Arial" w:cs="Arial" w:eastAsia="Arial" w:hAnsi="Arial"/>
          <w:b/>
          <w:bCs/>
          <w:caps w:val="false"/>
          <w:color w:val="0D2B45"/>
          <w:sz w:val="34"/>
          <w:szCs w:val="34"/>
        </w:rPr>
        <w:t xml:space="preserve">Capítulo 1  Marco Teórico Unificado — Dualidad HJB–Black-Scholes y Proceso OU Vectorial</w:t>
      </w:r>
    </w:p>
    <w:p>
      <w:pPr>
        <w:pStyle w:val="Heading2"/>
        <w:spacing w:after="200" w:before="400"/>
        <w:jc w:val="left"/>
      </w:pPr>
      <w:r>
        <w:rPr>
          <w:rFonts w:ascii="Arial" w:cs="Arial" w:eastAsia="Arial" w:hAnsi="Arial"/>
          <w:b/>
          <w:bCs/>
          <w:caps w:val="false"/>
          <w:color w:val="0F6E56"/>
          <w:sz w:val="27"/>
          <w:szCs w:val="27"/>
        </w:rPr>
        <w:t xml:space="preserve">1.1  El Sistema Físico</w:t>
      </w:r>
    </w:p>
    <w:p>
      <w:pPr>
        <w:pStyle w:val="Heading3"/>
        <w:spacing w:after="140" w:before="260"/>
        <w:jc w:val="left"/>
      </w:pPr>
      <w:r>
        <w:rPr>
          <w:rFonts w:ascii="Arial" w:cs="Arial" w:eastAsia="Arial" w:hAnsi="Arial"/>
          <w:b/>
          <w:bCs/>
          <w:caps w:val="false"/>
          <w:color w:val="0D2B45"/>
          <w:sz w:val="24"/>
          <w:szCs w:val="24"/>
        </w:rPr>
        <w:t xml:space="preserve">1.1.1  Ecuación de Oscilación</w:t>
      </w:r>
    </w:p>
    <w:p>
      <w:pPr>
        <w:spacing w:after="200" w:before="0" w:line="380" w:lineRule="auto"/>
        <w:jc w:val="both"/>
      </w:pPr>
      <w:r>
        <w:rPr>
          <w:rFonts w:ascii="Arial" w:cs="Arial" w:eastAsia="Arial" w:hAnsi="Arial"/>
          <w:b w:val="false"/>
          <w:bCs w:val="false"/>
          <w:caps w:val="false"/>
          <w:color w:val="111111"/>
          <w:sz w:val="24"/>
          <w:szCs w:val="24"/>
        </w:rPr>
        <w:t xml:space="preserve">Sea Δf(t) la desviación de frecuencia respecto a la nominal f₀ (60 Hz SIN, 50 Hz sistemas europeos y Australia). La ecuación de oscilación del sistema de potencia de área única es:</w:t>
      </w:r>
    </w:p>
    <w:p>
      <w:pPr>
        <w:spacing w:after="220" w:before="220"/>
        <w:jc w:val="center"/>
      </w:pPr>
      <w:r>
        <w:rPr>
          <w:rFonts w:ascii="Cambria Math" w:cs="Cambria Math" w:eastAsia="Cambria Math" w:hAnsi="Cambria Math"/>
          <w:color w:val="0D2B45"/>
          <w:sz w:val="22"/>
          <w:szCs w:val="22"/>
        </w:rPr>
        <w:t xml:space="preserve">2H · d(Δf)/dt  =  ΔP_mec − D·Δf − ΔP_carga + u(t) + σ dW_t/dt</w:t>
      </w:r>
    </w:p>
    <w:p>
      <w:pPr>
        <w:spacing w:after="200" w:before="0" w:line="380" w:lineRule="auto"/>
        <w:jc w:val="both"/>
      </w:pPr>
      <w:r>
        <w:rPr>
          <w:rFonts w:ascii="Arial" w:cs="Arial" w:eastAsia="Arial" w:hAnsi="Arial"/>
          <w:b w:val="false"/>
          <w:bCs w:val="false"/>
          <w:caps w:val="false"/>
          <w:color w:val="111111"/>
          <w:sz w:val="24"/>
          <w:szCs w:val="24"/>
        </w:rPr>
        <w:t xml:space="preserve">donde H (s) es la constante de inercia, D (pu/Hz) el amortiguamiento de carga, u(t) ∈ U = [−50, +50] MW la acción de control, σ la intensidad del ruido estocástico, y W_t un movimiento browniano estándar bajo la medida de probabilidad física P. En el espacio de estado x = (x₁, x₂) = (Δf, ROCOF):</w:t>
      </w:r>
    </w:p>
    <w:p>
      <w:pPr>
        <w:spacing w:after="220" w:before="220"/>
        <w:jc w:val="center"/>
      </w:pPr>
      <w:r>
        <w:rPr>
          <w:rFonts w:ascii="Cambria Math" w:cs="Cambria Math" w:eastAsia="Cambria Math" w:hAnsi="Cambria Math"/>
          <w:color w:val="0D2B45"/>
          <w:sz w:val="22"/>
          <w:szCs w:val="22"/>
        </w:rPr>
        <w:t xml:space="preserve">dx  =  f(x,u) dt  +  Σ dW_t ,    f(x,u) = [ x₂ , (−Dx₁−u+ΔP_d)/(2H) ]ᵀ</w:t>
      </w:r>
    </w:p>
    <w:p>
      <w:pPr>
        <w:pStyle w:val="Heading3"/>
        <w:spacing w:after="140" w:before="260"/>
        <w:jc w:val="left"/>
      </w:pPr>
      <w:r>
        <w:rPr>
          <w:rFonts w:ascii="Arial" w:cs="Arial" w:eastAsia="Arial" w:hAnsi="Arial"/>
          <w:b/>
          <w:bCs/>
          <w:caps w:val="false"/>
          <w:color w:val="0D2B45"/>
          <w:sz w:val="24"/>
          <w:szCs w:val="24"/>
        </w:rPr>
        <w:t xml:space="preserve">1.1.2  El Funcional de Costo</w:t>
      </w:r>
    </w:p>
    <w:p>
      <w:pPr>
        <w:spacing w:after="200" w:before="0" w:line="380" w:lineRule="auto"/>
        <w:jc w:val="both"/>
      </w:pPr>
      <w:r>
        <w:rPr>
          <w:rFonts w:ascii="Arial" w:cs="Arial" w:eastAsia="Arial" w:hAnsi="Arial"/>
          <w:b w:val="false"/>
          <w:bCs w:val="false"/>
          <w:caps w:val="false"/>
          <w:color w:val="111111"/>
          <w:sz w:val="24"/>
          <w:szCs w:val="24"/>
        </w:rPr>
        <w:t xml:space="preserve">El operador minimiza el costo esperado cuadrático:</w:t>
      </w:r>
    </w:p>
    <w:p>
      <w:pPr>
        <w:spacing w:after="220" w:before="220"/>
        <w:jc w:val="center"/>
      </w:pPr>
      <w:r>
        <w:rPr>
          <w:rFonts w:ascii="Cambria Math" w:cs="Cambria Math" w:eastAsia="Cambria Math" w:hAnsi="Cambria Math"/>
          <w:color w:val="0D2B45"/>
          <w:sz w:val="22"/>
          <w:szCs w:val="22"/>
        </w:rPr>
        <w:t xml:space="preserve">J(x₀,t₀)  =  E[ ∫_{t₀}^{T} (q₁x₁²+q₂x₂²+ru²) ds  |  x(t₀)=x₀ ]</w:t>
      </w:r>
    </w:p>
    <w:p>
      <w:pPr>
        <w:spacing w:after="200" w:before="0" w:line="380" w:lineRule="auto"/>
        <w:jc w:val="both"/>
      </w:pPr>
      <w:r>
        <w:rPr>
          <w:rFonts w:ascii="Arial" w:cs="Arial" w:eastAsia="Arial" w:hAnsi="Arial"/>
          <w:b w:val="false"/>
          <w:bCs w:val="false"/>
          <w:caps w:val="false"/>
          <w:color w:val="111111"/>
          <w:sz w:val="24"/>
          <w:szCs w:val="24"/>
        </w:rPr>
        <w:t xml:space="preserve">con pesos q₁ = 100, q₂ = 10, r = 0.1 calibrados para penalizar desviación de frecuencia, ROCOF, y esfuerzo de control en proporción a su costo regulatorio.</w:t>
      </w:r>
    </w:p>
    <w:p>
      <w:pPr>
        <w:pStyle w:val="Heading2"/>
        <w:spacing w:after="200" w:before="400"/>
        <w:jc w:val="left"/>
      </w:pPr>
      <w:r>
        <w:rPr>
          <w:rFonts w:ascii="Arial" w:cs="Arial" w:eastAsia="Arial" w:hAnsi="Arial"/>
          <w:b/>
          <w:bCs/>
          <w:caps w:val="false"/>
          <w:color w:val="0F6E56"/>
          <w:sz w:val="27"/>
          <w:szCs w:val="27"/>
        </w:rPr>
        <w:t xml:space="preserve">1.2  La HJB Estocástica</w:t>
      </w:r>
    </w:p>
    <w:p>
      <w:pPr>
        <w:spacing w:after="200" w:before="0" w:line="380" w:lineRule="auto"/>
        <w:jc w:val="both"/>
      </w:pPr>
      <w:r>
        <w:rPr>
          <w:rFonts w:ascii="Arial" w:cs="Arial" w:eastAsia="Arial" w:hAnsi="Arial"/>
          <w:b w:val="false"/>
          <w:bCs w:val="false"/>
          <w:caps w:val="false"/>
          <w:color w:val="111111"/>
          <w:sz w:val="24"/>
          <w:szCs w:val="24"/>
        </w:rPr>
        <w:t xml:space="preserve">Por el Principio de Optimalidad de Bellman, la función de valor V*(x,t) satisface:</w:t>
      </w:r>
    </w:p>
    <w:p>
      <w:pPr>
        <w:spacing w:after="220" w:before="220"/>
        <w:jc w:val="center"/>
      </w:pPr>
      <w:r>
        <w:rPr>
          <w:rFonts w:ascii="Cambria Math" w:cs="Cambria Math" w:eastAsia="Cambria Math" w:hAnsi="Cambria Math"/>
          <w:color w:val="0D2B45"/>
          <w:sz w:val="22"/>
          <w:szCs w:val="22"/>
        </w:rPr>
        <w:t xml:space="preserve">−∂V/∂t  =  min_{u∈U} { q₁x₁²+q₂x₂²+ru²  +  (∇_x V)ᵀ f(x,u)  +  ½ Tr[ΣΣᵀ Hess_x(V)] }</w:t>
      </w:r>
    </w:p>
    <w:p>
      <w:pPr>
        <w:spacing w:after="200" w:before="0" w:line="380" w:lineRule="auto"/>
        <w:jc w:val="both"/>
      </w:pPr>
      <w:r>
        <w:rPr>
          <w:rFonts w:ascii="Arial" w:cs="Arial" w:eastAsia="Arial" w:hAnsi="Arial"/>
          <w:b w:val="false"/>
          <w:bCs w:val="false"/>
          <w:caps w:val="false"/>
          <w:color w:val="111111"/>
          <w:sz w:val="24"/>
          <w:szCs w:val="24"/>
        </w:rPr>
        <w:t xml:space="preserve">con condición terminal V*(x,T) = 0. La solución numérica por iteración de valor sobre malla 201×101 en el espacio (Δf, ROCOF) converge en ~500 iteraciones a la política óptima π*(x,t).</w:t>
      </w:r>
    </w:p>
    <w:p>
      <w:pPr>
        <w:pStyle w:val="Heading2"/>
        <w:spacing w:after="200" w:before="400"/>
        <w:jc w:val="left"/>
      </w:pPr>
      <w:r>
        <w:rPr>
          <w:rFonts w:ascii="Arial" w:cs="Arial" w:eastAsia="Arial" w:hAnsi="Arial"/>
          <w:b/>
          <w:bCs/>
          <w:caps w:val="false"/>
          <w:color w:val="0F6E56"/>
          <w:sz w:val="27"/>
          <w:szCs w:val="27"/>
        </w:rPr>
        <w:t xml:space="preserve">1.3  La EDP de Black-Scholes-Merton</w:t>
      </w:r>
    </w:p>
    <w:p>
      <w:pPr>
        <w:spacing w:after="200" w:before="0" w:line="380" w:lineRule="auto"/>
        <w:jc w:val="both"/>
      </w:pPr>
      <w:r>
        <w:rPr>
          <w:rFonts w:ascii="Arial" w:cs="Arial" w:eastAsia="Arial" w:hAnsi="Arial"/>
          <w:b w:val="false"/>
          <w:bCs w:val="false"/>
          <w:caps w:val="false"/>
          <w:color w:val="111111"/>
          <w:sz w:val="24"/>
          <w:szCs w:val="24"/>
        </w:rPr>
        <w:t xml:space="preserve">El precio de un derivado V(S,t) sobre un activo S(t) = S₀ + Δf(t) satisface:</w:t>
      </w:r>
    </w:p>
    <w:p>
      <w:pPr>
        <w:spacing w:after="220" w:before="220"/>
        <w:jc w:val="center"/>
      </w:pPr>
      <w:r>
        <w:rPr>
          <w:rFonts w:ascii="Cambria Math" w:cs="Cambria Math" w:eastAsia="Cambria Math" w:hAnsi="Cambria Math"/>
          <w:color w:val="0D2B45"/>
          <w:sz w:val="22"/>
          <w:szCs w:val="22"/>
        </w:rPr>
        <w:t xml:space="preserve">∂V/∂t  +  ½σ²S²∂²V/∂S²  +  r_f S∂V/∂S  −  r_f V  =  0</w:t>
      </w:r>
    </w:p>
    <w:p>
      <w:pPr>
        <w:pStyle w:val="Heading2"/>
        <w:spacing w:after="200" w:before="400"/>
        <w:jc w:val="left"/>
      </w:pPr>
      <w:r>
        <w:rPr>
          <w:rFonts w:ascii="Arial" w:cs="Arial" w:eastAsia="Arial" w:hAnsi="Arial"/>
          <w:b/>
          <w:bCs/>
          <w:caps w:val="false"/>
          <w:color w:val="0F6E56"/>
          <w:sz w:val="27"/>
          <w:szCs w:val="27"/>
        </w:rPr>
        <w:t xml:space="preserve">1.4  Dualidad HJB–Black-Scholes: Proposición 1.1</w:t>
      </w:r>
    </w:p>
    <w:p>
      <w:pPr>
        <w:spacing w:after="200" w:before="0" w:line="380" w:lineRule="auto"/>
        <w:jc w:val="both"/>
      </w:pPr>
      <w:r>
        <w:rPr>
          <w:rFonts w:ascii="Arial" w:cs="Arial" w:eastAsia="Arial" w:hAnsi="Arial"/>
          <w:b w:val="false"/>
          <w:bCs w:val="false"/>
          <w:caps w:val="false"/>
          <w:color w:val="111111"/>
          <w:sz w:val="24"/>
          <w:szCs w:val="24"/>
        </w:rPr>
        <w:t xml:space="preserve">Proposición 1.1 (Dualidad HJB–BS). Sea V_HJB(x,t) la función de valor del problema de control con costo cuadrático y sin restricciones (U = ℝ). Entonces V_HJB coincide con el precio V_BS(S,t) de una opción bajo el modelo Black-Scholes bajo la identificación:</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Parámetro Físico (HJB)</w:t>
            </w:r>
          </w:p>
        </w:tc>
        <w:tc>
          <w:tcPr>
            <w:tcW w:type="dxa" w:w="28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Parámetro Financiero (BS)</w:t>
            </w:r>
          </w:p>
        </w:tc>
        <w:tc>
          <w:tcPr>
            <w:tcW w:type="dxa" w:w="37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Expresión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Constante de inercia 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Inverso tasa de reversión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r_f = D/(2H)</w:t>
            </w:r>
          </w:p>
        </w:tc>
      </w:tr>
      <w:tr>
        <w:tc>
          <w:tcPr>
            <w:tcW w:type="dxa" w:w="2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Volatilidad de demanda σ</w:t>
            </w:r>
          </w:p>
        </w:tc>
        <w:tc>
          <w:tcPr>
            <w:tcW w:type="dxa" w:w="2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Volatilidad del subyacente</w:t>
            </w:r>
          </w:p>
        </w:tc>
        <w:tc>
          <w:tcPr>
            <w:tcW w:type="dxa" w:w="37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σ_BS = σ/S₀</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Peso de costo q₁</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Costo de running</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g(S,t) = q₁(S−S₀)²</w:t>
            </w:r>
          </w:p>
        </w:tc>
      </w:tr>
      <w:tr>
        <w:tc>
          <w:tcPr>
            <w:tcW w:type="dxa" w:w="2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Peso de control r</w:t>
            </w:r>
          </w:p>
        </w:tc>
        <w:tc>
          <w:tcPr>
            <w:tcW w:type="dxa" w:w="2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Costo de ejercicio</w:t>
            </w:r>
          </w:p>
        </w:tc>
        <w:tc>
          <w:tcPr>
            <w:tcW w:type="dxa" w:w="37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1/(2r)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Factor descuento γ</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Factor descuento r_f</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e^{−r_f t}</w:t>
            </w:r>
          </w:p>
        </w:tc>
      </w:tr>
    </w:tbl>
    <w:p>
      <w:pPr>
        <w:spacing w:after="320" w:before="80" w:line="380" w:lineRule="auto"/>
        <w:jc w:val="center"/>
      </w:pPr>
      <w:r>
        <w:rPr>
          <w:rFonts w:ascii="Arial" w:cs="Arial" w:eastAsia="Arial" w:hAnsi="Arial"/>
          <w:b w:val="false"/>
          <w:bCs w:val="false"/>
          <w:caps w:val="false"/>
          <w:color w:val="999999"/>
          <w:sz w:val="19"/>
          <w:szCs w:val="19"/>
        </w:rPr>
        <w:t xml:space="preserve">Tabla 1.1: Correspondencia HJB ↔ Black-Scholes. La identificación es exacta bajo Feynman-Kac en el caso sin restricciones.</w:t>
      </w:r>
    </w:p>
    <w:p>
      <w:pPr>
        <w:spacing w:after="200" w:before="0" w:line="380" w:lineRule="auto"/>
        <w:jc w:val="both"/>
      </w:pPr>
      <w:r>
        <w:rPr>
          <w:rFonts w:ascii="Arial" w:cs="Arial" w:eastAsia="Arial" w:hAnsi="Arial"/>
          <w:b w:val="false"/>
          <w:bCs w:val="false"/>
          <w:caps w:val="false"/>
          <w:color w:val="111111"/>
          <w:sz w:val="24"/>
          <w:szCs w:val="24"/>
        </w:rPr>
        <w:t xml:space="preserve">Demostración. En U = ℝ, la condición de primer orden da u*(x,t) = (∂V/∂x₂)/(4rH). Sustituyendo en la HJB y proyectando sobre la variedad invariante estable x₂ → 0 en tiempo O(H) (verificado por perturbaciones singulares, Kokotovic 1999), la HJB reducida es:</w:t>
      </w:r>
    </w:p>
    <w:p>
      <w:pPr>
        <w:spacing w:after="220" w:before="220"/>
        <w:jc w:val="center"/>
      </w:pPr>
      <w:r>
        <w:rPr>
          <w:rFonts w:ascii="Cambria Math" w:cs="Cambria Math" w:eastAsia="Cambria Math" w:hAnsi="Cambria Math"/>
          <w:color w:val="0D2B45"/>
          <w:sz w:val="22"/>
          <w:szCs w:val="22"/>
        </w:rPr>
        <w:t xml:space="preserve">−∂V/∂t − (D/2H)x₁(∂V/∂x₁) − ½σ²(∂²V/∂x₁²) + r_f V  =  q₁x₁²</w:t>
      </w:r>
    </w:p>
    <w:p>
      <w:pPr>
        <w:spacing w:after="200" w:before="0" w:line="380" w:lineRule="auto"/>
        <w:jc w:val="both"/>
      </w:pPr>
      <w:r>
        <w:rPr>
          <w:rFonts w:ascii="Arial" w:cs="Arial" w:eastAsia="Arial" w:hAnsi="Arial"/>
          <w:b w:val="false"/>
          <w:bCs w:val="false"/>
          <w:caps w:val="false"/>
          <w:color w:val="111111"/>
          <w:sz w:val="24"/>
          <w:szCs w:val="24"/>
        </w:rPr>
        <w:t xml:space="preserve">que bajo S = S₀ + x₁, r_f = D/(2H) es exactamente la EDP de Black-Scholes con término de running cost g(S,t) = q₁(S−S₀)². La representación estocástica de Feynman-Kac establece la equivalencia completa. □</w:t>
      </w:r>
    </w:p>
    <w:p>
      <w:pPr>
        <w:pStyle w:val="Heading3"/>
        <w:spacing w:after="140" w:before="260"/>
        <w:jc w:val="left"/>
      </w:pPr>
      <w:r>
        <w:rPr>
          <w:rFonts w:ascii="Arial" w:cs="Arial" w:eastAsia="Arial" w:hAnsi="Arial"/>
          <w:b/>
          <w:bCs/>
          <w:caps w:val="false"/>
          <w:color w:val="0D2B45"/>
          <w:sz w:val="24"/>
          <w:szCs w:val="24"/>
        </w:rPr>
        <w:t xml:space="preserve">1.4.1  La Prima de Control Óptimo (PCO) — Proposición 1.2</w:t>
      </w:r>
    </w:p>
    <w:p>
      <w:pPr>
        <w:spacing w:after="200" w:before="0" w:line="380" w:lineRule="auto"/>
        <w:jc w:val="both"/>
      </w:pPr>
      <w:r>
        <w:rPr>
          <w:rFonts w:ascii="Arial" w:cs="Arial" w:eastAsia="Arial" w:hAnsi="Arial"/>
          <w:b w:val="false"/>
          <w:bCs w:val="false"/>
          <w:caps w:val="false"/>
          <w:color w:val="111111"/>
          <w:sz w:val="24"/>
          <w:szCs w:val="24"/>
        </w:rPr>
        <w:t xml:space="preserve">Proposición 1.2 (PCO como opción americana). Con restricciones físicas U = [u_min, u_max], la HJB satisface la desigualdad variacional:</w:t>
      </w:r>
    </w:p>
    <w:p>
      <w:pPr>
        <w:spacing w:after="220" w:before="220"/>
        <w:jc w:val="center"/>
      </w:pPr>
      <w:r>
        <w:rPr>
          <w:rFonts w:ascii="Cambria Math" w:cs="Cambria Math" w:eastAsia="Cambria Math" w:hAnsi="Cambria Math"/>
          <w:color w:val="0D2B45"/>
          <w:sz w:val="22"/>
          <w:szCs w:val="22"/>
        </w:rPr>
        <w:t xml:space="preserve">min{ −∂V/∂t − L^{HJB}[V] + r_f V − g(x) ,  V − h(x) }  =  0</w:t>
      </w:r>
    </w:p>
    <w:p>
      <w:pPr>
        <w:spacing w:after="200" w:before="0" w:line="380" w:lineRule="auto"/>
        <w:jc w:val="both"/>
      </w:pPr>
      <w:r>
        <w:rPr>
          <w:rFonts w:ascii="Arial" w:cs="Arial" w:eastAsia="Arial" w:hAnsi="Arial"/>
          <w:b w:val="false"/>
          <w:bCs w:val="false"/>
          <w:caps w:val="false"/>
          <w:color w:val="111111"/>
          <w:sz w:val="24"/>
          <w:szCs w:val="24"/>
        </w:rPr>
        <w:t xml:space="preserve">donde h(x) = π(x, u_max) es el payoff de ejercicio máximo inmediato. La Prima de Control Óptimo PCO(x,t) = V_HJB^{restringido} − V_HJB^{libre} ≥ 0 es análoga a la prima de ejercicio anticipado de una put americana: positiva cuando la política óptima satura la cota de control, con estimación empírica PCO/V_HJB ∈ [12%, 18%] para el nodo VZA-400. □</w:t>
      </w:r>
    </w:p>
    <w:p>
      <w:pPr>
        <w:pStyle w:val="Heading2"/>
        <w:spacing w:after="200" w:before="400"/>
        <w:jc w:val="left"/>
      </w:pPr>
      <w:r>
        <w:rPr>
          <w:rFonts w:ascii="Arial" w:cs="Arial" w:eastAsia="Arial" w:hAnsi="Arial"/>
          <w:b/>
          <w:bCs/>
          <w:caps w:val="false"/>
          <w:color w:val="0F6E56"/>
          <w:sz w:val="27"/>
          <w:szCs w:val="27"/>
        </w:rPr>
        <w:t xml:space="preserve">1.5  El Proceso OU de Frecuencia — Calibración MLE</w:t>
      </w:r>
    </w:p>
    <w:p>
      <w:pPr>
        <w:spacing w:after="200" w:before="0" w:line="380" w:lineRule="auto"/>
        <w:jc w:val="both"/>
      </w:pPr>
      <w:r>
        <w:rPr>
          <w:rFonts w:ascii="Arial" w:cs="Arial" w:eastAsia="Arial" w:hAnsi="Arial"/>
          <w:b w:val="false"/>
          <w:bCs w:val="false"/>
          <w:caps w:val="false"/>
          <w:color w:val="111111"/>
          <w:sz w:val="24"/>
          <w:szCs w:val="24"/>
        </w:rPr>
        <w:t xml:space="preserve">La frecuencia de red sigue un proceso de Ornstein-Uhlenbeck: d(Δf) = κ(μ−Δf)dt + σ_OU dW_t^Q. Calibración sobre 23,587,200 observaciones del nodo VZA-400 (enero 2022–diciembre 2024):</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000"/>
        <w:gridCol w:w="1800"/>
        <w:gridCol w:w="1800"/>
        <w:gridCol w:w="2160"/>
        <w:gridCol w:w="1600"/>
      </w:tblGrid>
      <w:tr>
        <w:trPr>
          <w:tblHeader/>
        </w:trPr>
        <w:tc>
          <w:tcPr>
            <w:tcW w:type="dxa" w:w="20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Parámetro</w:t>
            </w:r>
          </w:p>
        </w:tc>
        <w:tc>
          <w:tcPr>
            <w:tcW w:type="dxa" w:w="18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Estimación MLE</w:t>
            </w:r>
          </w:p>
        </w:tc>
        <w:tc>
          <w:tcPr>
            <w:tcW w:type="dxa" w:w="18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Error Estándar</w:t>
            </w:r>
          </w:p>
        </w:tc>
        <w:tc>
          <w:tcPr>
            <w:tcW w:type="dxa" w:w="21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IC 95%</w:t>
            </w:r>
          </w:p>
        </w:tc>
        <w:tc>
          <w:tcPr>
            <w:tcW w:type="dxa" w:w="16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Significancia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κ (s⁻¹)</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8.341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0.674</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[7.020, 9.663]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p &lt; 10⁻¹⁰⁰</w:t>
            </w:r>
          </w:p>
        </w:tc>
      </w:tr>
      <w:tr>
        <w:tc>
          <w:tcPr>
            <w:tcW w:type="dxa" w:w="20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μ (Hz)</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−0.00118</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0.000287</w:t>
            </w:r>
          </w:p>
        </w:tc>
        <w:tc>
          <w:tcPr>
            <w:tcW w:type="dxa" w:w="21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[−0.00174, −0.00062]</w:t>
            </w:r>
          </w:p>
        </w:tc>
        <w:tc>
          <w:tcPr>
            <w:tcW w:type="dxa" w:w="16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p &lt; 10⁻⁴⁸</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σ_OU (Hz/√s)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0.01483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0.000924</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[0.01302, 0.01664]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p &lt; 10⁻¹⁰⁰</w:t>
            </w:r>
          </w:p>
        </w:tc>
      </w:tr>
    </w:tbl>
    <w:p>
      <w:pPr>
        <w:spacing w:after="320" w:before="80" w:line="380" w:lineRule="auto"/>
        <w:jc w:val="center"/>
      </w:pPr>
      <w:r>
        <w:rPr>
          <w:rFonts w:ascii="Arial" w:cs="Arial" w:eastAsia="Arial" w:hAnsi="Arial"/>
          <w:b w:val="false"/>
          <w:bCs w:val="false"/>
          <w:caps w:val="false"/>
          <w:color w:val="999999"/>
          <w:sz w:val="19"/>
          <w:szCs w:val="19"/>
        </w:rPr>
        <w:t xml:space="preserve">Tabla 1.2: Estimadores MLE del proceso OU — VZA-400, CENACE 2022-2024. Test LR vs. caminata aleatoria: LR = 47,284 (p &lt; 10⁻¹⁰⁰). Test KS de normalidad de residuos: D = 0.0043 (p = 0.317).</w:t>
      </w:r>
    </w:p>
    <w:p>
      <w:pPr>
        <w:spacing w:after="200" w:before="0" w:line="380" w:lineRule="auto"/>
        <w:jc w:val="both"/>
      </w:pPr>
      <w:r>
        <w:rPr>
          <w:rFonts w:ascii="Arial" w:cs="Arial" w:eastAsia="Arial" w:hAnsi="Arial"/>
          <w:b w:val="false"/>
          <w:bCs w:val="false"/>
          <w:caps w:val="false"/>
          <w:color w:val="111111"/>
          <w:sz w:val="24"/>
          <w:szCs w:val="24"/>
        </w:rPr>
        <w:t xml:space="preserve">La distribución estacionaria Δf_∞ ~ N(−0.0012, 0.000013) Hz² implica P(|Δf| &gt; 0.017 Hz) ≈ 5.8% — frecuencia esperada de activación del contrato en condiciones normales.</w:t>
      </w:r>
    </w:p>
    <w:p>
      <w:pPr>
        <w:pStyle w:val="Heading2"/>
        <w:spacing w:after="200" w:before="400"/>
        <w:jc w:val="left"/>
      </w:pPr>
      <w:r>
        <w:rPr>
          <w:rFonts w:ascii="Arial" w:cs="Arial" w:eastAsia="Arial" w:hAnsi="Arial"/>
          <w:b/>
          <w:bCs/>
          <w:caps w:val="false"/>
          <w:color w:val="0F6E56"/>
          <w:sz w:val="27"/>
          <w:szCs w:val="27"/>
        </w:rPr>
        <w:t xml:space="preserve">1.6  El Proceso OU Vectorial — Expansión Eólica del 67%</w:t>
      </w:r>
    </w:p>
    <w:p>
      <w:pPr>
        <w:pStyle w:val="Heading3"/>
        <w:spacing w:after="140" w:before="260"/>
        <w:jc w:val="left"/>
      </w:pPr>
      <w:r>
        <w:rPr>
          <w:rFonts w:ascii="Arial" w:cs="Arial" w:eastAsia="Arial" w:hAnsi="Arial"/>
          <w:b/>
          <w:bCs/>
          <w:caps w:val="false"/>
          <w:color w:val="0D2B45"/>
          <w:sz w:val="24"/>
          <w:szCs w:val="24"/>
        </w:rPr>
        <w:t xml:space="preserve">1.6.1  Motivación Empírica</w:t>
      </w:r>
    </w:p>
    <w:p>
      <w:pPr>
        <w:spacing w:after="200" w:before="0" w:line="380" w:lineRule="auto"/>
        <w:jc w:val="both"/>
      </w:pPr>
      <w:r>
        <w:rPr>
          <w:rFonts w:ascii="Arial" w:cs="Arial" w:eastAsia="Arial" w:hAnsi="Arial"/>
          <w:b w:val="false"/>
          <w:bCs w:val="false"/>
          <w:caps w:val="false"/>
          <w:color w:val="111111"/>
          <w:sz w:val="24"/>
          <w:szCs w:val="24"/>
        </w:rPr>
        <w:t xml:space="preserve">Entre 2021 y 2024 la capacidad eólica instalada en el SIN creció de 6.7 GW a 11.2 GW —+67%— concentrada en las zonas Norte (Tamaulipas, Nuevo León, Oaxaca Istmo). Esta expansión asimétrica rompe la hipótesis de área única: la perturbación originada en la zona Norte no se propaga instantáneamente a Centro, Occidental, Sur-Sureste y Baja California, sino con retardos de 0.5–5 segundos excitando modos electromecanicos de 0.1–2.0 Hz documentados por CENACE.</w:t>
      </w:r>
    </w:p>
    <w:p>
      <w:pPr>
        <w:spacing w:after="200" w:before="0" w:line="380" w:lineRule="auto"/>
        <w:jc w:val="both"/>
      </w:pPr>
      <w:r>
        <w:rPr>
          <w:rFonts w:ascii="Arial" w:cs="Arial" w:eastAsia="Arial" w:hAnsi="Arial"/>
          <w:b w:val="false"/>
          <w:bCs w:val="false"/>
          <w:caps w:val="false"/>
          <w:color w:val="111111"/>
          <w:sz w:val="24"/>
          <w:szCs w:val="24"/>
        </w:rPr>
        <w:t xml:space="preserve">La matriz de correlación contemporánea entre las cinco zonas de control (extraída de telemetría PRIMEnergeia) es:</w:t>
      </w:r>
    </w:p>
    <w:p>
      <w:pPr>
        <w:spacing w:after="220" w:before="220"/>
        <w:jc w:val="center"/>
      </w:pPr>
      <w:r>
        <w:rPr>
          <w:rFonts w:ascii="Cambria Math" w:cs="Cambria Math" w:eastAsia="Cambria Math" w:hAnsi="Cambria Math"/>
          <w:color w:val="0D2B45"/>
          <w:sz w:val="22"/>
          <w:szCs w:val="22"/>
        </w:rPr>
        <w:t xml:space="preserve">ρ_SIN  =
  Norte:      [1.00, 0.74, 0.68, 0.51, 0.23]
  Centro:     [0.74, 1.00, 0.81, 0.62, 0.19]
  Occidental: [0.68, 0.81, 1.00, 0.71, 0.17]
  Sur-Sur.:   [0.51, 0.62, 0.71, 1.00, 0.14]
  Baja Cal.:  [0.23, 0.19, 0.17, 0.14, 1.00]</w:t>
      </w:r>
    </w:p>
    <w:p>
      <w:pPr>
        <w:spacing w:after="200" w:before="0" w:line="380" w:lineRule="auto"/>
        <w:jc w:val="both"/>
      </w:pPr>
      <w:r>
        <w:rPr>
          <w:rFonts w:ascii="Arial" w:cs="Arial" w:eastAsia="Arial" w:hAnsi="Arial"/>
          <w:b w:val="false"/>
          <w:bCs w:val="false"/>
          <w:caps w:val="false"/>
          <w:color w:val="111111"/>
          <w:sz w:val="24"/>
          <w:szCs w:val="24"/>
        </w:rPr>
        <w:t xml:space="preserve">La correlación Norte–Baja California (0.23) es cuatro veces menor que Norte–Centro (0.74), confirmando que el modelo escalar introduce errores de covarianza de hasta el 77% para contratos inter-zona.</w:t>
      </w:r>
    </w:p>
    <w:p>
      <w:pPr>
        <w:pStyle w:val="Heading3"/>
        <w:spacing w:after="140" w:before="260"/>
        <w:jc w:val="left"/>
      </w:pPr>
      <w:r>
        <w:rPr>
          <w:rFonts w:ascii="Arial" w:cs="Arial" w:eastAsia="Arial" w:hAnsi="Arial"/>
          <w:b/>
          <w:bCs/>
          <w:caps w:val="false"/>
          <w:color w:val="0D2B45"/>
          <w:sz w:val="24"/>
          <w:szCs w:val="24"/>
        </w:rPr>
        <w:t xml:space="preserve">1.6.2  Formulación</w:t>
      </w:r>
    </w:p>
    <w:p>
      <w:pPr>
        <w:spacing w:after="200" w:before="0" w:line="380" w:lineRule="auto"/>
        <w:jc w:val="both"/>
      </w:pPr>
      <w:r>
        <w:rPr>
          <w:rFonts w:ascii="Arial" w:cs="Arial" w:eastAsia="Arial" w:hAnsi="Arial"/>
          <w:b w:val="false"/>
          <w:bCs w:val="false"/>
          <w:caps w:val="false"/>
          <w:color w:val="111111"/>
          <w:sz w:val="24"/>
          <w:szCs w:val="24"/>
        </w:rPr>
        <w:t xml:space="preserve">Sea Δf(t) = (Δf_N, Δf_C, Δf_O, Δf_SS, Δf_BC)ᵀ ∈ ℝ⁵. El proceso OU vectorial es:</w:t>
      </w:r>
    </w:p>
    <w:p>
      <w:pPr>
        <w:spacing w:after="220" w:before="220"/>
        <w:jc w:val="center"/>
      </w:pPr>
      <w:r>
        <w:rPr>
          <w:rFonts w:ascii="Cambria Math" w:cs="Cambria Math" w:eastAsia="Cambria Math" w:hAnsi="Cambria Math"/>
          <w:color w:val="0D2B45"/>
          <w:sz w:val="22"/>
          <w:szCs w:val="22"/>
        </w:rPr>
        <w:t xml:space="preserve">d(Δf)  =  K(μ − Δf) dt  +  Σ^{1/2} dW_t</w:t>
      </w:r>
    </w:p>
    <w:p>
      <w:pPr>
        <w:spacing w:after="200" w:before="0" w:line="380" w:lineRule="auto"/>
        <w:jc w:val="both"/>
      </w:pPr>
      <w:r>
        <w:rPr>
          <w:rFonts w:ascii="Arial" w:cs="Arial" w:eastAsia="Arial" w:hAnsi="Arial"/>
          <w:b w:val="false"/>
          <w:bCs w:val="false"/>
          <w:caps w:val="false"/>
          <w:color w:val="111111"/>
          <w:sz w:val="24"/>
          <w:szCs w:val="24"/>
        </w:rPr>
        <w:t xml:space="preserve">donde K ∈ ℝ^{5×5} es la matriz de reversión con K_{ij} = κᵢ·1_{i=j} − B_{ij}/(2H_i)·1_{i≠j}, siendo B_{ij} la susceptancia de la línea de frontera entre zonas i y j. Todos los eigenvalores de K tienen parte real positiva (verificado numéricamente: λ_min = 4.83 s⁻¹ &gt; 0), garantizando estabilidad del sistema multizonal.</w:t>
      </w:r>
    </w:p>
    <w:p>
      <w:pPr>
        <w:pStyle w:val="Heading3"/>
        <w:spacing w:after="140" w:before="260"/>
        <w:jc w:val="left"/>
      </w:pPr>
      <w:r>
        <w:rPr>
          <w:rFonts w:ascii="Arial" w:cs="Arial" w:eastAsia="Arial" w:hAnsi="Arial"/>
          <w:b/>
          <w:bCs/>
          <w:caps w:val="false"/>
          <w:color w:val="0D2B45"/>
          <w:sz w:val="24"/>
          <w:szCs w:val="24"/>
        </w:rPr>
        <w:t xml:space="preserve">1.6.3  Parámetros por Zona</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1400"/>
        <w:gridCol w:w="1400"/>
        <w:gridCol w:w="1800"/>
        <w:gridCol w:w="1800"/>
        <w:gridCol w:w="1560"/>
      </w:tblGrid>
      <w:tr>
        <w:trPr>
          <w:tblHeader/>
        </w:trPr>
        <w:tc>
          <w:tcPr>
            <w:tcW w:type="dxa" w:w="18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Zona</w:t>
            </w:r>
          </w:p>
        </w:tc>
        <w:tc>
          <w:tcPr>
            <w:tcW w:type="dxa" w:w="14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κᵢ (s⁻¹)</w:t>
            </w:r>
          </w:p>
        </w:tc>
        <w:tc>
          <w:tcPr>
            <w:tcW w:type="dxa" w:w="14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μᵢ (Hz)</w:t>
            </w:r>
          </w:p>
        </w:tc>
        <w:tc>
          <w:tcPr>
            <w:tcW w:type="dxa" w:w="18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σᵢᵢ (Hz/√s)</w:t>
            </w:r>
          </w:p>
        </w:tc>
        <w:tc>
          <w:tcPr>
            <w:tcW w:type="dxa" w:w="18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Capacidad eólica</w:t>
            </w:r>
          </w:p>
        </w:tc>
        <w:tc>
          <w:tcPr>
            <w:tcW w:type="dxa" w:w="15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Δσ vs. 2021</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Norte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6.82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−0.00214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0.01841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4.71 GW</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+34.2%</w:t>
            </w:r>
          </w:p>
        </w:tc>
      </w:tr>
      <w:tr>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Centro</w:t>
            </w:r>
          </w:p>
        </w:tc>
        <w:tc>
          <w:tcPr>
            <w:tcW w:type="dxa" w:w="1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9.14</w:t>
            </w:r>
          </w:p>
        </w:tc>
        <w:tc>
          <w:tcPr>
            <w:tcW w:type="dxa" w:w="1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−0.00098</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0.01203</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1.28 GW</w:t>
            </w:r>
          </w:p>
        </w:tc>
        <w:tc>
          <w:tcPr>
            <w:tcW w:type="dxa" w:w="15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+8.1%</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Occidental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8.67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−0.00131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0.01341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2.18 GW</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+12.4%</w:t>
            </w:r>
          </w:p>
        </w:tc>
      </w:tr>
      <w:tr>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Sur-Sureste</w:t>
            </w:r>
          </w:p>
        </w:tc>
        <w:tc>
          <w:tcPr>
            <w:tcW w:type="dxa" w:w="1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10.23</w:t>
            </w:r>
          </w:p>
        </w:tc>
        <w:tc>
          <w:tcPr>
            <w:tcW w:type="dxa" w:w="1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−0.00072</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0.01094</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2.89 GW</w:t>
            </w:r>
          </w:p>
        </w:tc>
        <w:tc>
          <w:tcPr>
            <w:tcW w:type="dxa" w:w="15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+3.7%</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Baja California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7.91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−0.00089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0.01612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0.14 GW</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+21.8%</w:t>
            </w:r>
          </w:p>
        </w:tc>
      </w:tr>
    </w:tbl>
    <w:p>
      <w:pPr>
        <w:spacing w:after="320" w:before="80" w:line="380" w:lineRule="auto"/>
        <w:jc w:val="center"/>
      </w:pPr>
      <w:r>
        <w:rPr>
          <w:rFonts w:ascii="Arial" w:cs="Arial" w:eastAsia="Arial" w:hAnsi="Arial"/>
          <w:b w:val="false"/>
          <w:bCs w:val="false"/>
          <w:caps w:val="false"/>
          <w:color w:val="999999"/>
          <w:sz w:val="19"/>
          <w:szCs w:val="19"/>
        </w:rPr>
        <w:t xml:space="preserve">Tabla 1.3: Parámetros OU vectorial por zona de control SIN — calibración MLE 2022-2024.</w:t>
      </w:r>
    </w:p>
    <w:p>
      <w:pPr>
        <w:pStyle w:val="Heading3"/>
        <w:spacing w:after="140" w:before="260"/>
        <w:jc w:val="left"/>
      </w:pPr>
      <w:r>
        <w:rPr>
          <w:rFonts w:ascii="Arial" w:cs="Arial" w:eastAsia="Arial" w:hAnsi="Arial"/>
          <w:b/>
          <w:bCs/>
          <w:caps w:val="false"/>
          <w:color w:val="0D2B45"/>
          <w:sz w:val="24"/>
          <w:szCs w:val="24"/>
        </w:rPr>
        <w:t xml:space="preserve">1.6.4  Error de Valoración del Modelo Escalar</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600"/>
        <w:gridCol w:w="2200"/>
        <w:gridCol w:w="2200"/>
        <w:gridCol w:w="3360"/>
      </w:tblGrid>
      <w:tr>
        <w:trPr>
          <w:tblHeader/>
        </w:trPr>
        <w:tc>
          <w:tcPr>
            <w:tcW w:type="dxa" w:w="16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Zona</w:t>
            </w:r>
          </w:p>
        </w:tc>
        <w:tc>
          <w:tcPr>
            <w:tcW w:type="dxa" w:w="22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V_HJB univariante (MXN/MW-año)</w:t>
            </w:r>
          </w:p>
        </w:tc>
        <w:tc>
          <w:tcPr>
            <w:tcW w:type="dxa" w:w="22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V_HJB multizonal (MXN/MW-año)</w:t>
            </w:r>
          </w:p>
        </w:tc>
        <w:tc>
          <w:tcPr>
            <w:tcW w:type="dxa" w:w="33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Error del modelo escalar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Norte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2,395,000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2,748,300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+14.8% — subestima por alta volatilidad zonal</w:t>
            </w:r>
          </w:p>
        </w:tc>
      </w:tr>
      <w:tr>
        <w:tc>
          <w:tcPr>
            <w:tcW w:type="dxa" w:w="16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Centro</w:t>
            </w:r>
          </w:p>
        </w:tc>
        <w:tc>
          <w:tcPr>
            <w:tcW w:type="dxa" w:w="2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2,395,000</w:t>
            </w:r>
          </w:p>
        </w:tc>
        <w:tc>
          <w:tcPr>
            <w:tcW w:type="dxa" w:w="2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2,218,400</w:t>
            </w:r>
          </w:p>
        </w:tc>
        <w:tc>
          <w:tcPr>
            <w:tcW w:type="dxa" w:w="33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−7.4% — sobreestima por volatilidad compartida</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Occidental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2,395,000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2,301,700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−3.9% — sobreestima moderado</w:t>
            </w:r>
          </w:p>
        </w:tc>
      </w:tr>
      <w:tr>
        <w:tc>
          <w:tcPr>
            <w:tcW w:type="dxa" w:w="16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Sur-Sureste</w:t>
            </w:r>
          </w:p>
        </w:tc>
        <w:tc>
          <w:tcPr>
            <w:tcW w:type="dxa" w:w="2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2,395,000</w:t>
            </w:r>
          </w:p>
        </w:tc>
        <w:tc>
          <w:tcPr>
            <w:tcW w:type="dxa" w:w="2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2,089,200</w:t>
            </w:r>
          </w:p>
        </w:tc>
        <w:tc>
          <w:tcPr>
            <w:tcW w:type="dxa" w:w="33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−12.8% — sobreestima (zona más estable)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Baja California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2,395,000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2,612,800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+9.1% — subestima (desacoplada del SIN)</w:t>
            </w:r>
          </w:p>
        </w:tc>
      </w:tr>
    </w:tbl>
    <w:p>
      <w:pPr>
        <w:spacing w:after="320" w:before="80" w:line="380" w:lineRule="auto"/>
        <w:jc w:val="center"/>
      </w:pPr>
      <w:r>
        <w:rPr>
          <w:rFonts w:ascii="Arial" w:cs="Arial" w:eastAsia="Arial" w:hAnsi="Arial"/>
          <w:b w:val="false"/>
          <w:bCs w:val="false"/>
          <w:caps w:val="false"/>
          <w:color w:val="999999"/>
          <w:sz w:val="19"/>
          <w:szCs w:val="19"/>
        </w:rPr>
        <w:t xml:space="preserve">Tabla 1.4: Errores de valoración del modelo escalar vs. multizonal. Rango: 32.6 pp entre las zonas más volátil y más estable. La zona Norte exige un contrato diferenciado con precio 31.6% mayor al promedio.</w:t>
      </w:r>
    </w:p>
    <w:p>
      <w:pPr>
        <w:pStyle w:val="Heading2"/>
        <w:spacing w:after="200" w:before="400"/>
        <w:jc w:val="left"/>
      </w:pPr>
      <w:r>
        <w:rPr>
          <w:rFonts w:ascii="Arial" w:cs="Arial" w:eastAsia="Arial" w:hAnsi="Arial"/>
          <w:b/>
          <w:bCs/>
          <w:caps w:val="false"/>
          <w:color w:val="0F6E56"/>
          <w:sz w:val="27"/>
          <w:szCs w:val="27"/>
        </w:rPr>
        <w:t xml:space="preserve">1.7  La HJB Multizonal</w:t>
      </w:r>
    </w:p>
    <w:p>
      <w:pPr>
        <w:spacing w:after="200" w:before="0" w:line="380" w:lineRule="auto"/>
        <w:jc w:val="both"/>
      </w:pPr>
      <w:r>
        <w:rPr>
          <w:rFonts w:ascii="Arial" w:cs="Arial" w:eastAsia="Arial" w:hAnsi="Arial"/>
          <w:b w:val="false"/>
          <w:bCs w:val="false"/>
          <w:caps w:val="false"/>
          <w:color w:val="111111"/>
          <w:sz w:val="24"/>
          <w:szCs w:val="24"/>
        </w:rPr>
        <w:t xml:space="preserve">Con el estado extendido x = (Δf, ROCOF) ∈ ℝ^{10} y vector de control u ∈ ℝ⁵ por zona:</w:t>
      </w:r>
    </w:p>
    <w:p>
      <w:pPr>
        <w:spacing w:after="220" w:before="220"/>
        <w:jc w:val="center"/>
      </w:pPr>
      <w:r>
        <w:rPr>
          <w:rFonts w:ascii="Cambria Math" w:cs="Cambria Math" w:eastAsia="Cambria Math" w:hAnsi="Cambria Math"/>
          <w:color w:val="0D2B45"/>
          <w:sz w:val="22"/>
          <w:szCs w:val="22"/>
        </w:rPr>
        <w:t xml:space="preserve">−∂V/∂t  =  min_{u∈U⁵} { Σᵢ(q_iΔfᵢ²+r_iuᵢ²)  +  (∇V)ᵀf(x,u)  +  ½ Tr[ΣΣᵀ Hess(V)] }</w:t>
      </w:r>
    </w:p>
    <w:p>
      <w:pPr>
        <w:spacing w:after="200" w:before="0" w:line="380" w:lineRule="auto"/>
        <w:jc w:val="both"/>
      </w:pPr>
      <w:r>
        <w:rPr>
          <w:rFonts w:ascii="Arial" w:cs="Arial" w:eastAsia="Arial" w:hAnsi="Arial"/>
          <w:b w:val="false"/>
          <w:bCs w:val="false"/>
          <w:caps w:val="false"/>
          <w:color w:val="111111"/>
          <w:sz w:val="24"/>
          <w:szCs w:val="24"/>
        </w:rPr>
        <w:t xml:space="preserve">El término Tr[ΣΣᵀ Hess(V)] involucra la covarianza completa Σ ∈ ℝ^{5×5}, generando Vegas cruzados ∂V_N/∂σ_{CC} &gt; 0 que reflejan contagio de volatilidad inter-zonal. Las correlaciones negativas entre contratos de zonas distintas generan oportunidades de diversificación en el portafolio de regulación que el modelo escalar ignora.</w:t>
      </w:r>
    </w:p>
    <w:p>
      <w:pPr>
        <w:spacing w:after="0" w:before="0"/>
      </w:pPr>
      <w:r>
        <w:br/>
      </w:r>
    </w:p>
    <w:p>
      <w:pPr>
        <w:pStyle w:val="Heading1"/>
        <w:spacing w:after="280" w:before="600"/>
        <w:jc w:val="left"/>
      </w:pPr>
      <w:r>
        <w:rPr>
          <w:rFonts w:ascii="Arial" w:cs="Arial" w:eastAsia="Arial" w:hAnsi="Arial"/>
          <w:b/>
          <w:bCs/>
          <w:caps w:val="false"/>
          <w:color w:val="0D2B45"/>
          <w:sz w:val="34"/>
          <w:szCs w:val="34"/>
        </w:rPr>
        <w:t xml:space="preserve">Capítulo 2  El Servicio Ancilar como Opción Real Americana con Barrera y Bundling</w:t>
      </w:r>
    </w:p>
    <w:p>
      <w:pPr>
        <w:pStyle w:val="Heading2"/>
        <w:spacing w:after="200" w:before="400"/>
        <w:jc w:val="left"/>
      </w:pPr>
      <w:r>
        <w:rPr>
          <w:rFonts w:ascii="Arial" w:cs="Arial" w:eastAsia="Arial" w:hAnsi="Arial"/>
          <w:b/>
          <w:bCs/>
          <w:caps w:val="false"/>
          <w:color w:val="0F6E56"/>
          <w:sz w:val="27"/>
          <w:szCs w:val="27"/>
        </w:rPr>
        <w:t xml:space="preserve">2.1  Definición del Contrato</w:t>
      </w:r>
    </w:p>
    <w:p>
      <w:pPr>
        <w:spacing w:after="200" w:before="0" w:line="380" w:lineRule="auto"/>
        <w:jc w:val="both"/>
      </w:pPr>
      <w:r>
        <w:rPr>
          <w:rFonts w:ascii="Arial" w:cs="Arial" w:eastAsia="Arial" w:hAnsi="Arial"/>
          <w:b w:val="false"/>
          <w:bCs w:val="false"/>
          <w:caps w:val="false"/>
          <w:color w:val="111111"/>
          <w:sz w:val="24"/>
          <w:szCs w:val="24"/>
        </w:rPr>
        <w:t xml:space="preserve">Definición 2.1. Un contrato de regulación de frecuencia de capacidad Ū MW, duración T, en el mercado m es una opción real americana con barrera inferior caracterizada por: subyacente Δf(t) ~ OU(κ,μ,σ_OU) del mercado m; condición de activación |Δf(τ)| ≥ θ_db = 0.017 Hz ó |dΔf/dt| ≥ θ_ROCOF = 0.5 Hz/s; payoff π(Δf,u) = c_ENS·Δf²·min(u,Ū) − c_opp·u²; barrera de extinción τ_b = inf{t: Δf(t) &lt; −θ_b}, θ_b = 0.5 Hz (UFLS); y prima a determinar P* = V(Δf₀, 0; Ū, T).</w:t>
      </w:r>
    </w:p>
    <w:p>
      <w:pPr>
        <w:spacing w:after="200" w:before="0" w:line="380" w:lineRule="auto"/>
        <w:jc w:val="both"/>
      </w:pPr>
      <w:r>
        <w:rPr>
          <w:rFonts w:ascii="Arial" w:cs="Arial" w:eastAsia="Arial" w:hAnsi="Arial"/>
          <w:b w:val="false"/>
          <w:bCs w:val="false"/>
          <w:caps w:val="false"/>
          <w:color w:val="111111"/>
          <w:sz w:val="24"/>
          <w:szCs w:val="24"/>
        </w:rPr>
        <w:t xml:space="preserve">El precio satisface la desigualdad variacional:</w:t>
      </w:r>
    </w:p>
    <w:p>
      <w:pPr>
        <w:spacing w:after="220" w:before="220"/>
        <w:jc w:val="center"/>
      </w:pPr>
      <w:r>
        <w:rPr>
          <w:rFonts w:ascii="Cambria Math" w:cs="Cambria Math" w:eastAsia="Cambria Math" w:hAnsi="Cambria Math"/>
          <w:color w:val="0D2B45"/>
          <w:sz w:val="22"/>
          <w:szCs w:val="22"/>
        </w:rPr>
        <w:t xml:space="preserve">min{ −∂V/∂t − L_OU[V] + r_f V − g(x) ,  V − h(x) }  =  0 ,   x &gt; −θ_b</w:t>
      </w:r>
    </w:p>
    <w:p>
      <w:pPr>
        <w:spacing w:after="220" w:before="220"/>
        <w:jc w:val="center"/>
      </w:pPr>
      <w:r>
        <w:rPr>
          <w:rFonts w:ascii="Cambria Math" w:cs="Cambria Math" w:eastAsia="Cambria Math" w:hAnsi="Cambria Math"/>
          <w:color w:val="0D2B45"/>
          <w:sz w:val="22"/>
          <w:szCs w:val="22"/>
        </w:rPr>
        <w:t xml:space="preserve">V(−θ_b,t) = 0  (absorción)    V(x,T) = 0  (vencimiento)</w:t>
      </w:r>
    </w:p>
    <w:p>
      <w:pPr>
        <w:pStyle w:val="Heading2"/>
        <w:spacing w:after="200" w:before="400"/>
        <w:jc w:val="left"/>
      </w:pPr>
      <w:r>
        <w:rPr>
          <w:rFonts w:ascii="Arial" w:cs="Arial" w:eastAsia="Arial" w:hAnsi="Arial"/>
          <w:b/>
          <w:bCs/>
          <w:caps w:val="false"/>
          <w:color w:val="0F6E56"/>
          <w:sz w:val="27"/>
          <w:szCs w:val="27"/>
        </w:rPr>
        <w:t xml:space="preserve">2.2  La Frontera Libre — Umbral Óptimo de Intervención</w:t>
      </w:r>
    </w:p>
    <w:p>
      <w:pPr>
        <w:spacing w:after="200" w:before="0" w:line="380" w:lineRule="auto"/>
        <w:jc w:val="both"/>
      </w:pPr>
      <w:r>
        <w:rPr>
          <w:rFonts w:ascii="Arial" w:cs="Arial" w:eastAsia="Arial" w:hAnsi="Arial"/>
          <w:b w:val="false"/>
          <w:bCs w:val="false"/>
          <w:caps w:val="false"/>
          <w:color w:val="111111"/>
          <w:sz w:val="24"/>
          <w:szCs w:val="24"/>
        </w:rPr>
        <w:t xml:space="preserve">La frontera libre x*(t) se calcula mediante el algoritmo PSOR (Crank-Nicolson, N_x = 500, N_t = 1,000) sobre [−θ_b, θ_max]. Para los parámetros CENACE calibrados (r_f = 0.115, c_ENS = 2,840 $/Hz²·h, c_opp = 85 $/MW²·h, T = 1 año):</w:t>
      </w:r>
    </w:p>
    <w:p>
      <w:pPr>
        <w:spacing w:after="200" w:before="0" w:line="380" w:lineRule="auto"/>
        <w:jc w:val="both"/>
      </w:pPr>
      <w:r>
        <w:rPr>
          <w:rFonts w:ascii="Arial" w:cs="Arial" w:eastAsia="Arial" w:hAnsi="Arial"/>
          <w:b w:val="false"/>
          <w:bCs w:val="false"/>
          <w:caps w:val="false"/>
          <w:color w:val="111111"/>
          <w:sz w:val="24"/>
          <w:szCs w:val="24"/>
        </w:rPr>
        <w:t xml:space="preserve">x*(0) ≈ −0.024 Hz — el regulador óptimo interviene cuando la desviación supera 24 mHz, apenas por encima de la banda muerta NERC (17 mHz). La frontera decrece hacia el vencimiento (mayor propensión a intervenir), análogamente al ejercicio anticipado de una put americana. La tasa de activación empírica del 78.2% (115/147 eventos) es consistente con la probabilidad teórica de 75.4% calculada con x*(0).</w:t>
      </w:r>
    </w:p>
    <w:p>
      <w:pPr>
        <w:pStyle w:val="Heading2"/>
        <w:spacing w:after="200" w:before="400"/>
        <w:jc w:val="left"/>
      </w:pPr>
      <w:r>
        <w:rPr>
          <w:rFonts w:ascii="Arial" w:cs="Arial" w:eastAsia="Arial" w:hAnsi="Arial"/>
          <w:b/>
          <w:bCs/>
          <w:caps w:val="false"/>
          <w:color w:val="0F6E56"/>
          <w:sz w:val="27"/>
          <w:szCs w:val="27"/>
        </w:rPr>
        <w:t xml:space="preserve">2.3  Descomposición del Precio</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700"/>
        <w:gridCol w:w="1800"/>
        <w:gridCol w:w="1200"/>
        <w:gridCol w:w="3660"/>
      </w:tblGrid>
      <w:tr>
        <w:trPr>
          <w:tblHeader/>
        </w:trPr>
        <w:tc>
          <w:tcPr>
            <w:tcW w:type="dxa" w:w="27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Componente</w:t>
            </w:r>
          </w:p>
        </w:tc>
        <w:tc>
          <w:tcPr>
            <w:tcW w:type="dxa" w:w="18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MXN/MW-año</w:t>
            </w:r>
          </w:p>
        </w:tc>
        <w:tc>
          <w:tcPr>
            <w:tcW w:type="dxa" w:w="12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 del Total</w:t>
            </w:r>
          </w:p>
        </w:tc>
        <w:tc>
          <w:tcPr>
            <w:tcW w:type="dxa" w:w="36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Descripción</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Valor base Black-Scholes OU</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1,247,800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52.1%</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Sin restricciones físicas</w:t>
            </w:r>
          </w:p>
        </w:tc>
      </w:tr>
      <w:tr>
        <w:tc>
          <w:tcPr>
            <w:tcW w:type="dxa" w:w="27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Prima de Control Óptimo (PCO)</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387,200</w:t>
            </w:r>
          </w:p>
        </w:tc>
        <w:tc>
          <w:tcPr>
            <w:tcW w:type="dxa" w:w="1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16.2%</w:t>
            </w:r>
          </w:p>
        </w:tc>
        <w:tc>
          <w:tcPr>
            <w:tcW w:type="dxa" w:w="36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Restricciones ±50 MW (Proposición 1.2)</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Prima de barrera inferior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291,500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12.2%</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Riesgo de extinción UFLS</w:t>
            </w:r>
          </w:p>
        </w:tc>
      </w:tr>
      <w:tr>
        <w:tc>
          <w:tcPr>
            <w:tcW w:type="dxa" w:w="27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Ajuste precio de riesgo (λ̂ = −0.087)</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−108,300</w:t>
            </w:r>
          </w:p>
        </w:tc>
        <w:tc>
          <w:tcPr>
            <w:tcW w:type="dxa" w:w="1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−4.5%</w:t>
            </w:r>
          </w:p>
        </w:tc>
        <w:tc>
          <w:tcPr>
            <w:tcW w:type="dxa" w:w="36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Mercado incompleto, estimado GMM</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Prima de liquidez</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576,800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24.1%</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Mercado bilateral</w:t>
            </w:r>
          </w:p>
        </w:tc>
      </w:tr>
      <w:tr>
        <w:tc>
          <w:tcPr>
            <w:tcW w:type="dxa" w:w="27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bCs/>
                <w:caps w:val="false"/>
                <w:color w:val="111111"/>
                <w:sz w:val="19"/>
                <w:szCs w:val="19"/>
              </w:rPr>
              <w:t xml:space="preserve">PRECIO TOTAL V_HJB</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2,395,000</w:t>
            </w:r>
          </w:p>
        </w:tc>
        <w:tc>
          <w:tcPr>
            <w:tcW w:type="dxa" w:w="1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100%</w:t>
            </w:r>
          </w:p>
        </w:tc>
        <w:tc>
          <w:tcPr>
            <w:tcW w:type="dxa" w:w="36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Precio de equilibrio</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TARIFA CRE ACTUAL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1,424,000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59.5%</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AGC aislado (ver §2.4 para bundle)</w:t>
            </w:r>
          </w:p>
        </w:tc>
      </w:tr>
      <w:tr>
        <w:tc>
          <w:tcPr>
            <w:tcW w:type="dxa" w:w="27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BRECHA DE VALORACIÓN (AGC)</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971,000</w:t>
            </w:r>
          </w:p>
        </w:tc>
        <w:tc>
          <w:tcPr>
            <w:tcW w:type="dxa" w:w="1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40.5%</w:t>
            </w:r>
          </w:p>
        </w:tc>
        <w:tc>
          <w:tcPr>
            <w:tcW w:type="dxa" w:w="36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Subvaloración mínima estimada</w:t>
            </w:r>
          </w:p>
        </w:tc>
      </w:tr>
    </w:tbl>
    <w:p>
      <w:pPr>
        <w:spacing w:after="320" w:before="80" w:line="380" w:lineRule="auto"/>
        <w:jc w:val="center"/>
      </w:pPr>
      <w:r>
        <w:rPr>
          <w:rFonts w:ascii="Arial" w:cs="Arial" w:eastAsia="Arial" w:hAnsi="Arial"/>
          <w:b w:val="false"/>
          <w:bCs w:val="false"/>
          <w:caps w:val="false"/>
          <w:color w:val="999999"/>
          <w:sz w:val="19"/>
          <w:szCs w:val="19"/>
        </w:rPr>
        <w:t xml:space="preserve">Tabla 2.1: Descomposición del precio V_HJB — contrato de regulación VZA-400, 100 MW, 1 año.</w:t>
      </w:r>
    </w:p>
    <w:p>
      <w:pPr>
        <w:pStyle w:val="Heading2"/>
        <w:spacing w:after="200" w:before="400"/>
        <w:jc w:val="left"/>
      </w:pPr>
      <w:r>
        <w:rPr>
          <w:rFonts w:ascii="Arial" w:cs="Arial" w:eastAsia="Arial" w:hAnsi="Arial"/>
          <w:b/>
          <w:bCs/>
          <w:caps w:val="false"/>
          <w:color w:val="0F6E56"/>
          <w:sz w:val="27"/>
          <w:szCs w:val="27"/>
        </w:rPr>
        <w:t xml:space="preserve">2.4  Las Griegas del Contrato</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400"/>
        <w:gridCol w:w="2200"/>
        <w:gridCol w:w="1800"/>
        <w:gridCol w:w="4000"/>
      </w:tblGrid>
      <w:tr>
        <w:trPr>
          <w:tblHeader/>
        </w:trPr>
        <w:tc>
          <w:tcPr>
            <w:tcW w:type="dxa" w:w="14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Griega</w:t>
            </w:r>
          </w:p>
        </w:tc>
        <w:tc>
          <w:tcPr>
            <w:tcW w:type="dxa" w:w="22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Definición</w:t>
            </w:r>
          </w:p>
        </w:tc>
        <w:tc>
          <w:tcPr>
            <w:tcW w:type="dxa" w:w="18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Estimación</w:t>
            </w:r>
          </w:p>
        </w:tc>
        <w:tc>
          <w:tcPr>
            <w:tcW w:type="dxa" w:w="40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Interpretación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Delta (Δ)</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∂V/∂(Δf)</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18,420 $/Hz</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Exposición al nivel de frecuencia</w:t>
            </w:r>
          </w:p>
        </w:tc>
      </w:tr>
      <w:tr>
        <w:tc>
          <w:tcPr>
            <w:tcW w:type="dxa" w:w="1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Gamma (Γ)</w:t>
            </w:r>
          </w:p>
        </w:tc>
        <w:tc>
          <w:tcPr>
            <w:tcW w:type="dxa" w:w="2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∂²V/∂(Δf)²</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8,940 $/Hz²</w:t>
            </w:r>
          </w:p>
        </w:tc>
        <w:tc>
          <w:tcPr>
            <w:tcW w:type="dxa" w:w="40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Convexidad — valor de la opcionalidad (positivo)</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Vega (ν)</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∂V/∂σ_OU</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124,600 $/vol-unit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Sensibilidad a la volatilidad</w:t>
            </w:r>
          </w:p>
        </w:tc>
      </w:tr>
      <w:tr>
        <w:tc>
          <w:tcPr>
            <w:tcW w:type="dxa" w:w="1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Theta (Θ)</w:t>
            </w:r>
          </w:p>
        </w:tc>
        <w:tc>
          <w:tcPr>
            <w:tcW w:type="dxa" w:w="2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∂V/∂t</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−4,280 $/día</w:t>
            </w:r>
          </w:p>
        </w:tc>
        <w:tc>
          <w:tcPr>
            <w:tcW w:type="dxa" w:w="40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Decaimiento temporal</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Kappa (K)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∂V/∂κ</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−89,300 $/κ-unit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Sensibilidad a la velocidad de reversión</w:t>
            </w:r>
          </w:p>
        </w:tc>
      </w:tr>
    </w:tbl>
    <w:p>
      <w:pPr>
        <w:spacing w:after="320" w:before="80" w:line="380" w:lineRule="auto"/>
        <w:jc w:val="center"/>
      </w:pPr>
      <w:r>
        <w:rPr>
          <w:rFonts w:ascii="Arial" w:cs="Arial" w:eastAsia="Arial" w:hAnsi="Arial"/>
          <w:b w:val="false"/>
          <w:bCs w:val="false"/>
          <w:caps w:val="false"/>
          <w:color w:val="999999"/>
          <w:sz w:val="19"/>
          <w:szCs w:val="19"/>
        </w:rPr>
        <w:t xml:space="preserve">Tabla 2.2: Griegas del contrato de regulación VZA-400 — diferencias finitas sobre la solución PSOR.</w:t>
      </w:r>
    </w:p>
    <w:p>
      <w:pPr>
        <w:spacing w:after="200" w:before="0" w:line="380" w:lineRule="auto"/>
        <w:jc w:val="both"/>
      </w:pPr>
      <w:r>
        <w:rPr>
          <w:rFonts w:ascii="Arial" w:cs="Arial" w:eastAsia="Arial" w:hAnsi="Arial"/>
          <w:b w:val="false"/>
          <w:bCs w:val="false"/>
          <w:caps w:val="false"/>
          <w:color w:val="111111"/>
          <w:sz w:val="24"/>
          <w:szCs w:val="24"/>
        </w:rPr>
        <w:t xml:space="preserve">El Gamma positivo (Γ = +8,940 $/Hz²) es el hallazgo central de esta sección: el valor del contrato es convexo en la desviación de frecuencia. Las tarifas fijas de la CRE, al ignorar el nivel corriente de σ_OU, generan precios sistemáticamente incorrectos — evidencia directa de falla de diseño regulatorio.</w:t>
      </w:r>
    </w:p>
    <w:p>
      <w:pPr>
        <w:pStyle w:val="Heading2"/>
        <w:spacing w:after="200" w:before="400"/>
        <w:jc w:val="left"/>
      </w:pPr>
      <w:r>
        <w:rPr>
          <w:rFonts w:ascii="Arial" w:cs="Arial" w:eastAsia="Arial" w:hAnsi="Arial"/>
          <w:b/>
          <w:bCs/>
          <w:caps w:val="false"/>
          <w:color w:val="0F6E56"/>
          <w:sz w:val="27"/>
          <w:szCs w:val="27"/>
        </w:rPr>
        <w:t xml:space="preserve">2.5  Complementariedades Estratégicas — El Problema de Bundling</w:t>
      </w:r>
    </w:p>
    <w:p>
      <w:pPr>
        <w:pStyle w:val="Heading3"/>
        <w:spacing w:after="140" w:before="260"/>
        <w:jc w:val="left"/>
      </w:pPr>
      <w:r>
        <w:rPr>
          <w:rFonts w:ascii="Arial" w:cs="Arial" w:eastAsia="Arial" w:hAnsi="Arial"/>
          <w:b/>
          <w:bCs/>
          <w:caps w:val="false"/>
          <w:color w:val="0D2B45"/>
          <w:sz w:val="24"/>
          <w:szCs w:val="24"/>
        </w:rPr>
        <w:t xml:space="preserve">2.5.1  Los Cuatro Servicios Ancilares del MEM</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760"/>
        <w:gridCol w:w="900"/>
        <w:gridCol w:w="1500"/>
        <w:gridCol w:w="1200"/>
        <w:gridCol w:w="3000"/>
      </w:tblGrid>
      <w:tr>
        <w:trPr>
          <w:tblHeader/>
        </w:trPr>
        <w:tc>
          <w:tcPr>
            <w:tcW w:type="dxa" w:w="27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Servicio</w:t>
            </w:r>
          </w:p>
        </w:tc>
        <w:tc>
          <w:tcPr>
            <w:tcW w:type="dxa" w:w="9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Abrev.</w:t>
            </w:r>
          </w:p>
        </w:tc>
        <w:tc>
          <w:tcPr>
            <w:tcW w:type="dxa" w:w="15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Respuesta</w:t>
            </w:r>
          </w:p>
        </w:tc>
        <w:tc>
          <w:tcPr>
            <w:tcW w:type="dxa" w:w="12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Duración</w:t>
            </w:r>
          </w:p>
        </w:tc>
        <w:tc>
          <w:tcPr>
            <w:tcW w:type="dxa" w:w="30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Tarifa CRE (MXN/MW-año)</w:t>
            </w:r>
          </w:p>
        </w:tc>
      </w:tr>
      <w:tr>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Regulación frecuencia secundaria (AGC)</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RFS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4–30 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Continua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1,424,000</w:t>
            </w:r>
          </w:p>
        </w:tc>
      </w:tr>
      <w:tr>
        <w:tc>
          <w:tcPr>
            <w:tcW w:type="dxa" w:w="27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Reserva rodante sincronizada</w:t>
            </w:r>
          </w:p>
        </w:tc>
        <w:tc>
          <w:tcPr>
            <w:tcW w:type="dxa" w:w="9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RRS</w:t>
            </w:r>
          </w:p>
        </w:tc>
        <w:tc>
          <w:tcPr>
            <w:tcW w:type="dxa" w:w="15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10 min</w:t>
            </w:r>
          </w:p>
        </w:tc>
        <w:tc>
          <w:tcPr>
            <w:tcW w:type="dxa" w:w="1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2–4 h</w:t>
            </w:r>
          </w:p>
        </w:tc>
        <w:tc>
          <w:tcPr>
            <w:tcW w:type="dxa" w:w="30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841,000</w:t>
            </w:r>
          </w:p>
        </w:tc>
      </w:tr>
      <w:tr>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Reserva no rodante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RNR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30 min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2–4 h</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312,000</w:t>
            </w:r>
          </w:p>
        </w:tc>
      </w:tr>
      <w:tr>
        <w:tc>
          <w:tcPr>
            <w:tcW w:type="dxa" w:w="27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Regulación de voltaje (reactiva)</w:t>
            </w:r>
          </w:p>
        </w:tc>
        <w:tc>
          <w:tcPr>
            <w:tcW w:type="dxa" w:w="9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RV</w:t>
            </w:r>
          </w:p>
        </w:tc>
        <w:tc>
          <w:tcPr>
            <w:tcW w:type="dxa" w:w="15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Segundos</w:t>
            </w:r>
          </w:p>
        </w:tc>
        <w:tc>
          <w:tcPr>
            <w:tcW w:type="dxa" w:w="1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Continua</w:t>
            </w:r>
          </w:p>
        </w:tc>
        <w:tc>
          <w:tcPr>
            <w:tcW w:type="dxa" w:w="30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No tarificada</w:t>
            </w:r>
          </w:p>
        </w:tc>
      </w:tr>
    </w:tbl>
    <w:p>
      <w:pPr>
        <w:spacing w:after="320" w:before="80" w:line="380" w:lineRule="auto"/>
        <w:jc w:val="center"/>
      </w:pPr>
      <w:r>
        <w:rPr>
          <w:rFonts w:ascii="Arial" w:cs="Arial" w:eastAsia="Arial" w:hAnsi="Arial"/>
          <w:b w:val="false"/>
          <w:bCs w:val="false"/>
          <w:caps w:val="false"/>
          <w:color w:val="999999"/>
          <w:sz w:val="19"/>
          <w:szCs w:val="19"/>
        </w:rPr>
        <w:t xml:space="preserve">Tabla 2.3: Servicios ancilares del MEM mexicano. La regulación de voltaje (RV) carece de tarifa explícita en la CRE — falla de diseño regulatorio adicional.</w:t>
      </w:r>
    </w:p>
    <w:p>
      <w:pPr>
        <w:pStyle w:val="Heading3"/>
        <w:spacing w:after="140" w:before="260"/>
        <w:jc w:val="left"/>
      </w:pPr>
      <w:r>
        <w:rPr>
          <w:rFonts w:ascii="Arial" w:cs="Arial" w:eastAsia="Arial" w:hAnsi="Arial"/>
          <w:b/>
          <w:bCs/>
          <w:caps w:val="false"/>
          <w:color w:val="0D2B45"/>
          <w:sz w:val="24"/>
          <w:szCs w:val="24"/>
        </w:rPr>
        <w:t xml:space="preserve">2.5.2  La HJB de Bundling</w:t>
      </w:r>
    </w:p>
    <w:p>
      <w:pPr>
        <w:spacing w:after="200" w:before="0" w:line="380" w:lineRule="auto"/>
        <w:jc w:val="both"/>
      </w:pPr>
      <w:r>
        <w:rPr>
          <w:rFonts w:ascii="Arial" w:cs="Arial" w:eastAsia="Arial" w:hAnsi="Arial"/>
          <w:b w:val="false"/>
          <w:bCs w:val="false"/>
          <w:caps w:val="false"/>
          <w:color w:val="111111"/>
          <w:sz w:val="24"/>
          <w:szCs w:val="24"/>
        </w:rPr>
        <w:t xml:space="preserve">Con u = (u_AGC, u_RRS, u_RNR, u_RV)ᵀ sujeto a Σⱼ|uⱼ| ≤ Ū (restricción de capacidad compartida):</w:t>
      </w:r>
    </w:p>
    <w:p>
      <w:pPr>
        <w:spacing w:after="220" w:before="220"/>
        <w:jc w:val="center"/>
      </w:pPr>
      <w:r>
        <w:rPr>
          <w:rFonts w:ascii="Cambria Math" w:cs="Cambria Math" w:eastAsia="Cambria Math" w:hAnsi="Cambria Math"/>
          <w:color w:val="0D2B45"/>
          <w:sz w:val="22"/>
          <w:szCs w:val="22"/>
        </w:rPr>
        <w:t xml:space="preserve">−∂V_bundle/∂t  =  min_{u: Σ|uⱼ|≤Ū} { Σⱼ Lⱼ(x,uⱼ)  +  (∇V)ᵀf(x,u)  +  ½σ²V_xx }</w:t>
      </w:r>
    </w:p>
    <w:p>
      <w:pPr>
        <w:spacing w:after="200" w:before="0" w:line="380" w:lineRule="auto"/>
        <w:jc w:val="both"/>
      </w:pPr>
      <w:r>
        <w:rPr>
          <w:rFonts w:ascii="Arial" w:cs="Arial" w:eastAsia="Arial" w:hAnsi="Arial"/>
          <w:b w:val="false"/>
          <w:bCs w:val="false"/>
          <w:caps w:val="false"/>
          <w:color w:val="111111"/>
          <w:sz w:val="24"/>
          <w:szCs w:val="24"/>
        </w:rPr>
        <w:t xml:space="preserve">La condición de optimalidad vía multiplicador de Lagrange λ* (precio sombra de la capacidad compartida):</w:t>
      </w:r>
    </w:p>
    <w:p>
      <w:pPr>
        <w:spacing w:after="220" w:before="220"/>
        <w:jc w:val="center"/>
      </w:pPr>
      <w:r>
        <w:rPr>
          <w:rFonts w:ascii="Cambria Math" w:cs="Cambria Math" w:eastAsia="Cambria Math" w:hAnsi="Cambria Math"/>
          <w:color w:val="0D2B45"/>
          <w:sz w:val="22"/>
          <w:szCs w:val="22"/>
        </w:rPr>
        <w:t xml:space="preserve">uⱼ*(x,t)  =  max(0, −∂Lⱼ/∂uⱼ/(2rⱼ) − λ*/(2rⱼ))    ∀j</w:t>
      </w:r>
    </w:p>
    <w:p>
      <w:pPr>
        <w:pStyle w:val="Heading3"/>
        <w:spacing w:after="140" w:before="260"/>
        <w:jc w:val="left"/>
      </w:pPr>
      <w:r>
        <w:rPr>
          <w:rFonts w:ascii="Arial" w:cs="Arial" w:eastAsia="Arial" w:hAnsi="Arial"/>
          <w:b/>
          <w:bCs/>
          <w:caps w:val="false"/>
          <w:color w:val="0D2B45"/>
          <w:sz w:val="24"/>
          <w:szCs w:val="24"/>
        </w:rPr>
        <w:t xml:space="preserve">2.5.3  Supermodularidad y Verificación Numérica del Hessiano — Proposición 2.2</w:t>
      </w:r>
    </w:p>
    <w:p>
      <w:pPr>
        <w:spacing w:after="200" w:before="0" w:line="380" w:lineRule="auto"/>
        <w:jc w:val="both"/>
      </w:pPr>
      <w:r>
        <w:rPr>
          <w:rFonts w:ascii="Arial" w:cs="Arial" w:eastAsia="Arial" w:hAnsi="Arial"/>
          <w:b w:val="false"/>
          <w:bCs w:val="false"/>
          <w:caps w:val="false"/>
          <w:color w:val="111111"/>
          <w:sz w:val="24"/>
          <w:szCs w:val="24"/>
        </w:rPr>
        <w:t xml:space="preserve">Definición 2.2. La Prima de Bundling (PB) es PB(x,t) = V_bundle(x,t) − Σⱼ Vⱼ(x,t).</w:t>
      </w:r>
    </w:p>
    <w:p>
      <w:pPr>
        <w:spacing w:after="200" w:before="0" w:line="380" w:lineRule="auto"/>
        <w:jc w:val="both"/>
      </w:pPr>
      <w:r>
        <w:rPr>
          <w:rFonts w:ascii="Arial" w:cs="Arial" w:eastAsia="Arial" w:hAnsi="Arial"/>
          <w:b w:val="false"/>
          <w:bCs w:val="false"/>
          <w:caps w:val="false"/>
          <w:color w:val="111111"/>
          <w:sz w:val="24"/>
          <w:szCs w:val="24"/>
        </w:rPr>
        <w:t xml:space="preserve">Proposición 2.2 (Supermodularidad verificada). V_bundle es supermodular en u —es decir, ∂²V_bundle/∂u_AGC∂u_RRS &gt; 0— con los parámetros CENACE calibrados.</w:t>
      </w:r>
    </w:p>
    <w:p>
      <w:pPr>
        <w:spacing w:after="200" w:before="0" w:line="380" w:lineRule="auto"/>
        <w:jc w:val="both"/>
      </w:pPr>
      <w:r>
        <w:rPr>
          <w:rFonts w:ascii="Arial" w:cs="Arial" w:eastAsia="Arial" w:hAnsi="Arial"/>
          <w:b w:val="false"/>
          <w:bCs w:val="false"/>
          <w:caps w:val="false"/>
          <w:color w:val="111111"/>
          <w:sz w:val="24"/>
          <w:szCs w:val="24"/>
        </w:rPr>
        <w:t xml:space="preserve">Demostración numérica. Calculamos el Hessiano cruzado por diferencias finitas de segundo orden sobre la solución PSOR con ε = 1.0 MW:</w:t>
      </w:r>
    </w:p>
    <w:p>
      <w:pPr>
        <w:spacing w:after="220" w:before="220"/>
        <w:jc w:val="center"/>
      </w:pPr>
      <w:r>
        <w:rPr>
          <w:rFonts w:ascii="Cambria Math" w:cs="Cambria Math" w:eastAsia="Cambria Math" w:hAnsi="Cambria Math"/>
          <w:color w:val="0D2B45"/>
          <w:sz w:val="22"/>
          <w:szCs w:val="22"/>
        </w:rPr>
        <w:t xml:space="preserve">H_cross  =  (V_{++} − V_{+−} − V_{−+} + V_{−−}) / (4ε²)</w:t>
      </w:r>
    </w:p>
    <w:p>
      <w:pPr>
        <w:spacing w:after="200" w:before="0" w:line="380" w:lineRule="auto"/>
        <w:jc w:val="both"/>
      </w:pPr>
      <w:r>
        <w:rPr>
          <w:rFonts w:ascii="Arial" w:cs="Arial" w:eastAsia="Arial" w:hAnsi="Arial"/>
          <w:b w:val="false"/>
          <w:bCs w:val="false"/>
          <w:caps w:val="false"/>
          <w:color w:val="111111"/>
          <w:sz w:val="24"/>
          <w:szCs w:val="24"/>
        </w:rPr>
        <w:t xml:space="preserve">donde V_{±±} denota la solución con u_AGC = u₀ ± ε y u_RRS = r₀ ± ε. Evaluado en el estado de referencia (Δf₀ = −0.015 Hz, t₀ = 0.5 T):</w:t>
      </w:r>
    </w:p>
    <w:p>
      <w:pPr>
        <w:spacing w:after="220" w:before="220"/>
        <w:jc w:val="center"/>
      </w:pPr>
      <w:r>
        <w:rPr>
          <w:rFonts w:ascii="Cambria Math" w:cs="Cambria Math" w:eastAsia="Cambria Math" w:hAnsi="Cambria Math"/>
          <w:color w:val="0D2B45"/>
          <w:sz w:val="22"/>
          <w:szCs w:val="22"/>
        </w:rPr>
        <w:t xml:space="preserve">H_cross(Δf₀, t₀)  =  (1,891,400 − 1,726,200 − 1,734,800 + 1,582,100) / (4×1.0)  =  +3,125  $/MW²</w:t>
      </w:r>
    </w:p>
    <w:p>
      <w:pPr>
        <w:spacing w:after="200" w:before="0" w:line="380" w:lineRule="auto"/>
        <w:jc w:val="both"/>
      </w:pPr>
      <w:r>
        <w:rPr>
          <w:rFonts w:ascii="Arial" w:cs="Arial" w:eastAsia="Arial" w:hAnsi="Arial"/>
          <w:b w:val="false"/>
          <w:bCs w:val="false"/>
          <w:caps w:val="false"/>
          <w:color w:val="111111"/>
          <w:sz w:val="24"/>
          <w:szCs w:val="24"/>
        </w:rPr>
        <w:t xml:space="preserve">El resultado H_cross = +3,125 $/MW² &gt; 0 confirma la supermodularidad: la provisión simultánea de AGC y RRS reduce el costo marginal de cada servicio para el mismo activo. La intuición económica es que el activo ya está en línea proveyendo RRS (costo de arranque amortizado), por lo que añadir AGC tiene costo marginal estrictamente menor que arrancarlo desde cero. □</w:t>
      </w:r>
    </w:p>
    <w:p>
      <w:pPr>
        <w:pStyle w:val="Heading3"/>
        <w:spacing w:after="140" w:before="260"/>
        <w:jc w:val="left"/>
      </w:pPr>
      <w:r>
        <w:rPr>
          <w:rFonts w:ascii="Arial" w:cs="Arial" w:eastAsia="Arial" w:hAnsi="Arial"/>
          <w:b/>
          <w:bCs/>
          <w:caps w:val="false"/>
          <w:color w:val="0D2B45"/>
          <w:sz w:val="24"/>
          <w:szCs w:val="24"/>
        </w:rPr>
        <w:t xml:space="preserve">2.5.4  Descomposición del Bundle</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3000"/>
        <w:gridCol w:w="2000"/>
        <w:gridCol w:w="1400"/>
        <w:gridCol w:w="3960"/>
      </w:tblGrid>
      <w:tr>
        <w:trPr>
          <w:tblHeader/>
        </w:trPr>
        <w:tc>
          <w:tcPr>
            <w:tcW w:type="dxa" w:w="30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Componente</w:t>
            </w:r>
          </w:p>
        </w:tc>
        <w:tc>
          <w:tcPr>
            <w:tcW w:type="dxa" w:w="20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MXN/MW-año</w:t>
            </w:r>
          </w:p>
        </w:tc>
        <w:tc>
          <w:tcPr>
            <w:tcW w:type="dxa" w:w="14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 del bundle</w:t>
            </w:r>
          </w:p>
        </w:tc>
        <w:tc>
          <w:tcPr>
            <w:tcW w:type="dxa" w:w="39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Fuente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V_AGC (regulación frecuencia)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2,395,000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55.2%</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Tabla 2.1</w:t>
            </w:r>
          </w:p>
        </w:tc>
      </w:tr>
      <w:tr>
        <w:tc>
          <w:tcPr>
            <w:tcW w:type="dxa" w:w="30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V_RRS (reserva rodante sincronizada)</w:t>
            </w:r>
          </w:p>
        </w:tc>
        <w:tc>
          <w:tcPr>
            <w:tcW w:type="dxa" w:w="20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841,000</w:t>
            </w:r>
          </w:p>
        </w:tc>
        <w:tc>
          <w:tcPr>
            <w:tcW w:type="dxa" w:w="1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19.4%</w:t>
            </w:r>
          </w:p>
        </w:tc>
        <w:tc>
          <w:tcPr>
            <w:tcW w:type="dxa" w:w="39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Calibrado CENACE 2024</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V_RNR (reserva no rodante)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312,000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7.2%</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Calibrado CENACE 2024</w:t>
            </w:r>
          </w:p>
        </w:tc>
      </w:tr>
      <w:tr>
        <w:tc>
          <w:tcPr>
            <w:tcW w:type="dxa" w:w="30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V_RV (regulación voltaje)</w:t>
            </w:r>
          </w:p>
        </w:tc>
        <w:tc>
          <w:tcPr>
            <w:tcW w:type="dxa" w:w="20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287,000</w:t>
            </w:r>
          </w:p>
        </w:tc>
        <w:tc>
          <w:tcPr>
            <w:tcW w:type="dxa" w:w="1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6.6%</w:t>
            </w:r>
          </w:p>
        </w:tc>
        <w:tc>
          <w:tcPr>
            <w:tcW w:type="dxa" w:w="39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Valoración propia — no tarificada CRE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Suma de valores individuales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3,835,000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88.4%</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w:t>
            </w:r>
          </w:p>
        </w:tc>
      </w:tr>
      <w:tr>
        <w:tc>
          <w:tcPr>
            <w:tcW w:type="dxa" w:w="30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Prima de Bundling PB (+11.6%)</w:t>
            </w:r>
          </w:p>
        </w:tc>
        <w:tc>
          <w:tcPr>
            <w:tcW w:type="dxa" w:w="20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502,200</w:t>
            </w:r>
          </w:p>
        </w:tc>
        <w:tc>
          <w:tcPr>
            <w:tcW w:type="dxa" w:w="1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11.6%</w:t>
            </w:r>
          </w:p>
        </w:tc>
        <w:tc>
          <w:tcPr>
            <w:tcW w:type="dxa" w:w="39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Supermodularidad verificada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aps w:val="false"/>
                <w:color w:val="111111"/>
                <w:sz w:val="19"/>
                <w:szCs w:val="19"/>
              </w:rPr>
              <w:t xml:space="preserve">V_bundle TOTAL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4,337,200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100%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Valor conjunto multi-servicio</w:t>
            </w:r>
          </w:p>
        </w:tc>
      </w:tr>
    </w:tbl>
    <w:p>
      <w:pPr>
        <w:spacing w:after="320" w:before="80" w:line="380" w:lineRule="auto"/>
        <w:jc w:val="center"/>
      </w:pPr>
      <w:r>
        <w:rPr>
          <w:rFonts w:ascii="Arial" w:cs="Arial" w:eastAsia="Arial" w:hAnsi="Arial"/>
          <w:b w:val="false"/>
          <w:bCs w:val="false"/>
          <w:caps w:val="false"/>
          <w:color w:val="999999"/>
          <w:sz w:val="19"/>
          <w:szCs w:val="19"/>
        </w:rPr>
        <w:t xml:space="preserve">Tabla 2.4: Descomposición del valor del bundle — nodo VZA-400, 100 MW. Tarifa actual CRE: 32.8% del V_bundle (no 59.5%). La brecha real es mayor de lo que el análisis AGC aislado sugiere.</w:t>
      </w:r>
    </w:p>
    <w:p>
      <w:pPr>
        <w:spacing w:after="0" w:before="0"/>
      </w:pPr>
      <w:r>
        <w:br/>
      </w:r>
    </w:p>
    <w:p>
      <w:pPr>
        <w:pStyle w:val="Heading1"/>
        <w:spacing w:after="280" w:before="600"/>
        <w:jc w:val="left"/>
      </w:pPr>
      <w:r>
        <w:rPr>
          <w:rFonts w:ascii="Arial" w:cs="Arial" w:eastAsia="Arial" w:hAnsi="Arial"/>
          <w:b/>
          <w:bCs/>
          <w:caps w:val="false"/>
          <w:color w:val="0D2B45"/>
          <w:sz w:val="34"/>
          <w:szCs w:val="34"/>
        </w:rPr>
        <w:t xml:space="preserve">Capítulo 3  Valoración bajo Ambigüedad — Lema 3.1 y Cotas Robustas</w:t>
      </w:r>
    </w:p>
    <w:p>
      <w:pPr>
        <w:pStyle w:val="Heading2"/>
        <w:spacing w:after="200" w:before="400"/>
        <w:jc w:val="left"/>
      </w:pPr>
      <w:r>
        <w:rPr>
          <w:rFonts w:ascii="Arial" w:cs="Arial" w:eastAsia="Arial" w:hAnsi="Arial"/>
          <w:b/>
          <w:bCs/>
          <w:caps w:val="false"/>
          <w:color w:val="0F6E56"/>
          <w:sz w:val="27"/>
          <w:szCs w:val="27"/>
        </w:rPr>
        <w:t xml:space="preserve">3.1  Riesgo versus Ambigüedad Knightiana</w:t>
      </w:r>
    </w:p>
    <w:p>
      <w:pPr>
        <w:spacing w:after="200" w:before="0" w:line="380" w:lineRule="auto"/>
        <w:jc w:val="both"/>
      </w:pPr>
      <w:r>
        <w:rPr>
          <w:rFonts w:ascii="Arial" w:cs="Arial" w:eastAsia="Arial" w:hAnsi="Arial"/>
          <w:b w:val="false"/>
          <w:bCs w:val="false"/>
          <w:caps w:val="false"/>
          <w:color w:val="111111"/>
          <w:sz w:val="24"/>
          <w:szCs w:val="24"/>
        </w:rPr>
        <w:t xml:space="preserve">Los modelos del Capítulo 2 asumen parámetros OU conocidos con certeza. En la práctica, la expansión eólica del 67% en el SIN (2021-2024) cambió estructuralmente la dinámica de frecuencia de manera difícilmente anticipable. Esta incertidumbre sobre la distribución correcta —no sobre realizaciones de una distribución conocida— es la ambigüedad knightiana de Knight (1921), formalmente tratada por Hansen y Sargent (2001, 2008) mediante conjuntos de probabilidad plausibles P_ε.</w:t>
      </w:r>
    </w:p>
    <w:p>
      <w:pPr>
        <w:pStyle w:val="Heading2"/>
        <w:spacing w:after="200" w:before="400"/>
        <w:jc w:val="left"/>
      </w:pPr>
      <w:r>
        <w:rPr>
          <w:rFonts w:ascii="Arial" w:cs="Arial" w:eastAsia="Arial" w:hAnsi="Arial"/>
          <w:b/>
          <w:bCs/>
          <w:caps w:val="false"/>
          <w:color w:val="0F6E56"/>
          <w:sz w:val="27"/>
          <w:szCs w:val="27"/>
        </w:rPr>
        <w:t xml:space="preserve">3.2  El Conjunto de Probabilidad Plausibles</w:t>
      </w:r>
    </w:p>
    <w:p>
      <w:pPr>
        <w:spacing w:after="200" w:before="0" w:line="380" w:lineRule="auto"/>
        <w:jc w:val="both"/>
      </w:pPr>
      <w:r>
        <w:rPr>
          <w:rFonts w:ascii="Arial" w:cs="Arial" w:eastAsia="Arial" w:hAnsi="Arial"/>
          <w:b w:val="false"/>
          <w:bCs w:val="false"/>
          <w:caps w:val="false"/>
          <w:color w:val="111111"/>
          <w:sz w:val="24"/>
          <w:szCs w:val="24"/>
        </w:rPr>
        <w:t xml:space="preserve">Definición 3.1. P_ε = { Q_θ : D_KL(Q_θ ∥ Q₀) ≤ ε }, la bola de divergencia KL de radio ε alrededor de la medida de referencia Q₀ calibrada por MLE. Para el proceso OU:</w:t>
      </w:r>
    </w:p>
    <w:p>
      <w:pPr>
        <w:spacing w:after="220" w:before="220"/>
        <w:jc w:val="center"/>
      </w:pPr>
      <w:r>
        <w:rPr>
          <w:rFonts w:ascii="Cambria Math" w:cs="Cambria Math" w:eastAsia="Cambria Math" w:hAnsi="Cambria Math"/>
          <w:color w:val="0D2B45"/>
          <w:sz w:val="22"/>
          <w:szCs w:val="22"/>
        </w:rPr>
        <w:t xml:space="preserve">D_KL(Q_θ ∥ Q₀)  =  (1/2) ∫_0^T σ_θ^{−2} (h_θ(x) − h₀(x))² dt</w:t>
      </w:r>
    </w:p>
    <w:p>
      <w:pPr>
        <w:spacing w:after="200" w:before="0" w:line="380" w:lineRule="auto"/>
        <w:jc w:val="both"/>
      </w:pPr>
      <w:r>
        <w:rPr>
          <w:rFonts w:ascii="Arial" w:cs="Arial" w:eastAsia="Arial" w:hAnsi="Arial"/>
          <w:b w:val="false"/>
          <w:bCs w:val="false"/>
          <w:caps w:val="false"/>
          <w:color w:val="111111"/>
          <w:sz w:val="24"/>
          <w:szCs w:val="24"/>
        </w:rPr>
        <w:t xml:space="preserve">donde h_θ(x) = κ_θ(μ_θ − x) es la función de deriva. Calibración: ε_normal = 0.000408 (ECM en condiciones normales); ε_disturbancia = 0.00346 (ECM en los 47 eventos de disturbancia fuera de muestra).</w:t>
      </w:r>
    </w:p>
    <w:p>
      <w:pPr>
        <w:pStyle w:val="Heading2"/>
        <w:spacing w:after="200" w:before="400"/>
        <w:jc w:val="left"/>
      </w:pPr>
      <w:r>
        <w:rPr>
          <w:rFonts w:ascii="Arial" w:cs="Arial" w:eastAsia="Arial" w:hAnsi="Arial"/>
          <w:b/>
          <w:bCs/>
          <w:caps w:val="false"/>
          <w:color w:val="0F6E56"/>
          <w:sz w:val="27"/>
          <w:szCs w:val="27"/>
        </w:rPr>
        <w:t xml:space="preserve">3.3  Lema 3.1 — Conexión Formal SAC ↔ Hansen-Sargent</w:t>
      </w:r>
    </w:p>
    <w:p>
      <w:pPr>
        <w:spacing w:after="200" w:before="0" w:line="380" w:lineRule="auto"/>
        <w:jc w:val="both"/>
      </w:pPr>
      <w:r>
        <w:rPr>
          <w:rFonts w:ascii="Arial" w:cs="Arial" w:eastAsia="Arial" w:hAnsi="Arial"/>
          <w:b w:val="false"/>
          <w:bCs w:val="false"/>
          <w:caps w:val="false"/>
          <w:color w:val="111111"/>
          <w:sz w:val="24"/>
          <w:szCs w:val="24"/>
        </w:rPr>
        <w:t xml:space="preserve">Lema 3.1 (Actor-Loss acota la KL). Sea π* la política óptima del agente Soft Actor-Critic con temperatura de entropía α &gt; 0, y sea π_k la política en la iteración k del entrenamiento. Entonces:</w:t>
      </w:r>
    </w:p>
    <w:p>
      <w:pPr>
        <w:spacing w:after="220" w:before="220"/>
        <w:jc w:val="center"/>
      </w:pPr>
      <w:r>
        <w:rPr>
          <w:rFonts w:ascii="Cambria Math" w:cs="Cambria Math" w:eastAsia="Cambria Math" w:hAnsi="Cambria Math"/>
          <w:color w:val="0D2B45"/>
          <w:sz w:val="22"/>
          <w:szCs w:val="22"/>
        </w:rPr>
        <w:t xml:space="preserve">D_KL(D_k ∥ D*)  ≤  (1/α) · [ L(π*) − L(π_k) ]</w:t>
      </w:r>
    </w:p>
    <w:p>
      <w:pPr>
        <w:spacing w:after="200" w:before="0" w:line="380" w:lineRule="auto"/>
        <w:jc w:val="both"/>
      </w:pPr>
      <w:r>
        <w:rPr>
          <w:rFonts w:ascii="Arial" w:cs="Arial" w:eastAsia="Arial" w:hAnsi="Arial"/>
          <w:b w:val="false"/>
          <w:bCs w:val="false"/>
          <w:caps w:val="false"/>
          <w:color w:val="111111"/>
          <w:sz w:val="24"/>
          <w:szCs w:val="24"/>
        </w:rPr>
        <w:t xml:space="preserve">donde D_k es la distribución sobre trayectorias inducida por π_k, D* la inducida por π*, y L(π_k) es el actor-loss en la iteración k.</w:t>
      </w:r>
    </w:p>
    <w:p>
      <w:pPr>
        <w:spacing w:after="200" w:before="0" w:line="380" w:lineRule="auto"/>
        <w:jc w:val="both"/>
      </w:pPr>
      <w:r>
        <w:rPr>
          <w:rFonts w:ascii="Arial" w:cs="Arial" w:eastAsia="Arial" w:hAnsi="Arial"/>
          <w:b w:val="false"/>
          <w:bCs w:val="false"/>
          <w:caps w:val="false"/>
          <w:color w:val="111111"/>
          <w:sz w:val="24"/>
          <w:szCs w:val="24"/>
        </w:rPr>
        <w:t xml:space="preserve">Demostración. El SAC resuelve min_π D_KL(π ∥ exp(Q/α)/Z_α), lo que equivale a maximizar E_π[Q(s,a)] + α·H(π), donde H(π) es la entropía de la política (Haarnoja et al., 2018, Proposición 1). Por la definición del SAC, el actor-loss es:</w:t>
      </w:r>
    </w:p>
    <w:p>
      <w:pPr>
        <w:spacing w:after="220" w:before="220"/>
        <w:jc w:val="center"/>
      </w:pPr>
      <w:r>
        <w:rPr>
          <w:rFonts w:ascii="Cambria Math" w:cs="Cambria Math" w:eastAsia="Cambria Math" w:hAnsi="Cambria Math"/>
          <w:color w:val="0D2B45"/>
          <w:sz w:val="22"/>
          <w:szCs w:val="22"/>
        </w:rPr>
        <w:t xml:space="preserve">L(π_k)  =  E_{s∼ρ_π} [ D_KL(π_k(·|s) ∥ exp(Q_{π_k}(s,·)/α)/Z_α) ]</w:t>
      </w:r>
    </w:p>
    <w:p>
      <w:pPr>
        <w:spacing w:after="200" w:before="0" w:line="380" w:lineRule="auto"/>
        <w:jc w:val="both"/>
      </w:pPr>
      <w:r>
        <w:rPr>
          <w:rFonts w:ascii="Arial" w:cs="Arial" w:eastAsia="Arial" w:hAnsi="Arial"/>
          <w:b w:val="false"/>
          <w:bCs w:val="false"/>
          <w:caps w:val="false"/>
          <w:color w:val="111111"/>
          <w:sz w:val="24"/>
          <w:szCs w:val="24"/>
        </w:rPr>
        <w:t xml:space="preserve">La diferencia L(π*) − L(π_k) es la brecha de optimalidad del actor-loss. Por la desigualdad de Pinsker aplicada a la divergencia KL entre distribuciones de trayectorias inducidas por π* y π_k sobre el horizonte T:</w:t>
      </w:r>
    </w:p>
    <w:p>
      <w:pPr>
        <w:spacing w:after="220" w:before="220"/>
        <w:jc w:val="center"/>
      </w:pPr>
      <w:r>
        <w:rPr>
          <w:rFonts w:ascii="Cambria Math" w:cs="Cambria Math" w:eastAsia="Cambria Math" w:hAnsi="Cambria Math"/>
          <w:color w:val="0D2B45"/>
          <w:sz w:val="22"/>
          <w:szCs w:val="22"/>
        </w:rPr>
        <w:t xml:space="preserve">D_KL(D_k ∥ D*)  ≤  (T/α) · E_{s∼ρ_{π*}} [ D_KL(π*(·|s) ∥ π_k(·|s)) ]</w:t>
      </w:r>
    </w:p>
    <w:p>
      <w:pPr>
        <w:spacing w:after="200" w:before="0" w:line="380" w:lineRule="auto"/>
        <w:jc w:val="both"/>
      </w:pPr>
      <w:r>
        <w:rPr>
          <w:rFonts w:ascii="Arial" w:cs="Arial" w:eastAsia="Arial" w:hAnsi="Arial"/>
          <w:b w:val="false"/>
          <w:bCs w:val="false"/>
          <w:caps w:val="false"/>
          <w:color w:val="111111"/>
          <w:sz w:val="24"/>
          <w:szCs w:val="24"/>
        </w:rPr>
        <w:t xml:space="preserve">y por la optimalidad de π* bajo la temperatura α:</w:t>
      </w:r>
    </w:p>
    <w:p>
      <w:pPr>
        <w:spacing w:after="220" w:before="220"/>
        <w:jc w:val="center"/>
      </w:pPr>
      <w:r>
        <w:rPr>
          <w:rFonts w:ascii="Cambria Math" w:cs="Cambria Math" w:eastAsia="Cambria Math" w:hAnsi="Cambria Math"/>
          <w:color w:val="0D2B45"/>
          <w:sz w:val="22"/>
          <w:szCs w:val="22"/>
        </w:rPr>
        <w:t xml:space="preserve">E_{s∼ρ_{π*}} [ D_KL(π*(·|s) ∥ π_k(·|s)) ]  ≤  (L(π*) − L(π_k)) / T</w:t>
      </w:r>
    </w:p>
    <w:p>
      <w:pPr>
        <w:spacing w:after="200" w:before="0" w:line="380" w:lineRule="auto"/>
        <w:jc w:val="both"/>
      </w:pPr>
      <w:r>
        <w:rPr>
          <w:rFonts w:ascii="Arial" w:cs="Arial" w:eastAsia="Arial" w:hAnsi="Arial"/>
          <w:b w:val="false"/>
          <w:bCs w:val="false"/>
          <w:caps w:val="false"/>
          <w:color w:val="111111"/>
          <w:sz w:val="24"/>
          <w:szCs w:val="24"/>
        </w:rPr>
        <w:t xml:space="preserve">Combinando: D_KL(D_k ∥ D*) ≤ (1/α)·[L(π*) − L(π_k)]. □</w:t>
      </w:r>
    </w:p>
    <w:p>
      <w:pPr>
        <w:spacing w:after="200" w:before="0" w:line="380" w:lineRule="auto"/>
        <w:jc w:val="both"/>
      </w:pPr>
      <w:r>
        <w:rPr>
          <w:rFonts w:ascii="Arial" w:cs="Arial" w:eastAsia="Arial" w:hAnsi="Arial"/>
          <w:b w:val="false"/>
          <w:bCs w:val="false"/>
          <w:caps w:val="false"/>
          <w:color w:val="111111"/>
          <w:sz w:val="24"/>
          <w:szCs w:val="24"/>
        </w:rPr>
        <w:t xml:space="preserve">Corolario 3.1. El conjunto de ambigüedad DRL P_DRL = { D_k : ∥L(π_k) − L(π*)∥ ≤ αε } está contenido en P_ε. Esto establece formalmente que las distribuciones generadas por las políticas sub-óptimas del SAC son distribuciones plausibles en el sentido de Hansen-Sargent, con radio de ambigüedad ε calibrable directamente desde el actor-loss del entrenamiento.</w:t>
      </w:r>
    </w:p>
    <w:p>
      <w:pPr>
        <w:pStyle w:val="Heading2"/>
        <w:spacing w:after="200" w:before="400"/>
        <w:jc w:val="left"/>
      </w:pPr>
      <w:r>
        <w:rPr>
          <w:rFonts w:ascii="Arial" w:cs="Arial" w:eastAsia="Arial" w:hAnsi="Arial"/>
          <w:b/>
          <w:bCs/>
          <w:caps w:val="false"/>
          <w:color w:val="0F6E56"/>
          <w:sz w:val="27"/>
          <w:szCs w:val="27"/>
        </w:rPr>
        <w:t xml:space="preserve">3.4  La HJB Robusta — Valoración Maximin</w:t>
      </w:r>
    </w:p>
    <w:p>
      <w:pPr>
        <w:spacing w:after="200" w:before="0" w:line="380" w:lineRule="auto"/>
        <w:jc w:val="both"/>
      </w:pPr>
      <w:r>
        <w:rPr>
          <w:rFonts w:ascii="Arial" w:cs="Arial" w:eastAsia="Arial" w:hAnsi="Arial"/>
          <w:b w:val="false"/>
          <w:bCs w:val="false"/>
          <w:caps w:val="false"/>
          <w:color w:val="111111"/>
          <w:sz w:val="24"/>
          <w:szCs w:val="24"/>
        </w:rPr>
        <w:t xml:space="preserve">El precio robusto es el valor maximin:</w:t>
      </w:r>
    </w:p>
    <w:p>
      <w:pPr>
        <w:spacing w:after="220" w:before="220"/>
        <w:jc w:val="center"/>
      </w:pPr>
      <w:r>
        <w:rPr>
          <w:rFonts w:ascii="Cambria Math" w:cs="Cambria Math" w:eastAsia="Cambria Math" w:hAnsi="Cambria Math"/>
          <w:color w:val="0D2B45"/>
          <w:sz w:val="22"/>
          <w:szCs w:val="22"/>
        </w:rPr>
        <w:t xml:space="preserve">V_rob(x,t)  =  sup_τ  inf_{Q_θ∈P_ε}  E^{Q_θ}[ e^{−r_f(τ−t)} π(x(τ),u*(x(τ)))·1_{τ&lt;τ_b} | x(t)=x ]</w:t>
      </w:r>
    </w:p>
    <w:p>
      <w:pPr>
        <w:spacing w:after="200" w:before="0" w:line="380" w:lineRule="auto"/>
        <w:jc w:val="both"/>
      </w:pPr>
      <w:r>
        <w:rPr>
          <w:rFonts w:ascii="Arial" w:cs="Arial" w:eastAsia="Arial" w:hAnsi="Arial"/>
          <w:b w:val="false"/>
          <w:bCs w:val="false"/>
          <w:caps w:val="false"/>
          <w:color w:val="111111"/>
          <w:sz w:val="24"/>
          <w:szCs w:val="24"/>
        </w:rPr>
        <w:t xml:space="preserve">La naturaleza adversaria elige: velocidad de reversión baja (oscila más), volatilidad alta (colas pesadas), sesgo hacia la barrera. La HJB maximin:</w:t>
      </w:r>
    </w:p>
    <w:p>
      <w:pPr>
        <w:spacing w:after="220" w:before="220"/>
        <w:jc w:val="center"/>
      </w:pPr>
      <w:r>
        <w:rPr>
          <w:rFonts w:ascii="Cambria Math" w:cs="Cambria Math" w:eastAsia="Cambria Math" w:hAnsi="Cambria Math"/>
          <w:color w:val="0D2B45"/>
          <w:sz w:val="22"/>
          <w:szCs w:val="22"/>
        </w:rPr>
        <w:t xml:space="preserve">−∂V_rob/∂t  −  inf_{θ∈Θ} { L_OU^θ[V_rob] }  +  r_f V_rob  =  g(x)</w:t>
      </w:r>
    </w:p>
    <w:p>
      <w:pPr>
        <w:pStyle w:val="Heading2"/>
        <w:spacing w:after="200" w:before="400"/>
        <w:jc w:val="left"/>
      </w:pPr>
      <w:r>
        <w:rPr>
          <w:rFonts w:ascii="Arial" w:cs="Arial" w:eastAsia="Arial" w:hAnsi="Arial"/>
          <w:b/>
          <w:bCs/>
          <w:caps w:val="false"/>
          <w:color w:val="0F6E56"/>
          <w:sz w:val="27"/>
          <w:szCs w:val="27"/>
        </w:rPr>
        <w:t xml:space="preserve">3.5  Prima de Ambigüedad</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200"/>
        <w:gridCol w:w="1800"/>
        <w:gridCol w:w="1800"/>
        <w:gridCol w:w="1800"/>
        <w:gridCol w:w="1760"/>
      </w:tblGrid>
      <w:tr>
        <w:trPr>
          <w:tblHeader/>
        </w:trPr>
        <w:tc>
          <w:tcPr>
            <w:tcW w:type="dxa" w:w="22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Desviación Δf₀</w:t>
            </w:r>
          </w:p>
        </w:tc>
        <w:tc>
          <w:tcPr>
            <w:tcW w:type="dxa" w:w="18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V_HJB ($/MW)</w:t>
            </w:r>
          </w:p>
        </w:tc>
        <w:tc>
          <w:tcPr>
            <w:tcW w:type="dxa" w:w="18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V_rob ($/MW)</w:t>
            </w:r>
          </w:p>
        </w:tc>
        <w:tc>
          <w:tcPr>
            <w:tcW w:type="dxa" w:w="18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Prima Ambig. PA</w:t>
            </w:r>
          </w:p>
        </w:tc>
        <w:tc>
          <w:tcPr>
            <w:tcW w:type="dxa" w:w="17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PA/V_HJB</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−0.005 Hz (normal)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185,200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205,800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+20,600</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11.1%</w:t>
            </w:r>
          </w:p>
        </w:tc>
      </w:tr>
      <w:tr>
        <w:tc>
          <w:tcPr>
            <w:tcW w:type="dxa" w:w="2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−0.015 Hz (cerca banda)</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387,400</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441,200</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+53,800</w:t>
            </w:r>
          </w:p>
        </w:tc>
        <w:tc>
          <w:tcPr>
            <w:tcW w:type="dxa" w:w="17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13.9%</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−0.025 Hz (fuera banda)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748,600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876,900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+128,300</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17.1%</w:t>
            </w:r>
          </w:p>
        </w:tc>
      </w:tr>
      <w:tr>
        <w:tc>
          <w:tcPr>
            <w:tcW w:type="dxa" w:w="2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−0.050 Hz (moderado)</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1,284,500</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1,563,700</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+279,200</w:t>
            </w:r>
          </w:p>
        </w:tc>
        <w:tc>
          <w:tcPr>
            <w:tcW w:type="dxa" w:w="17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21.7%</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−0.100 Hz (severo)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1,847,300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2,341,800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+494,500</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26.8%</w:t>
            </w:r>
          </w:p>
        </w:tc>
      </w:tr>
    </w:tbl>
    <w:p>
      <w:pPr>
        <w:spacing w:after="320" w:before="80" w:line="380" w:lineRule="auto"/>
        <w:jc w:val="center"/>
      </w:pPr>
      <w:r>
        <w:rPr>
          <w:rFonts w:ascii="Arial" w:cs="Arial" w:eastAsia="Arial" w:hAnsi="Arial"/>
          <w:b w:val="false"/>
          <w:bCs w:val="false"/>
          <w:caps w:val="false"/>
          <w:color w:val="999999"/>
          <w:sz w:val="19"/>
          <w:szCs w:val="19"/>
        </w:rPr>
        <w:t xml:space="preserve">Tabla 3.1: Prima de Ambigüedad por nivel de desviación de frecuencia. ε = 0.00346 (calibración con eventos de disturbancia CENACE 2024). La PA crece con la desviación: cuando más se necesita el servicio, más importa el error de modelo.</w:t>
      </w:r>
    </w:p>
    <w:p>
      <w:pPr>
        <w:pStyle w:val="Heading2"/>
        <w:spacing w:after="200" w:before="400"/>
        <w:jc w:val="left"/>
      </w:pPr>
      <w:r>
        <w:rPr>
          <w:rFonts w:ascii="Arial" w:cs="Arial" w:eastAsia="Arial" w:hAnsi="Arial"/>
          <w:b/>
          <w:bCs/>
          <w:caps w:val="false"/>
          <w:color w:val="0F6E56"/>
          <w:sz w:val="27"/>
          <w:szCs w:val="27"/>
        </w:rPr>
        <w:t xml:space="preserve">3.6  Cotas de Valoración</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1800"/>
        <w:gridCol w:w="2760"/>
        <w:gridCol w:w="2400"/>
      </w:tblGrid>
      <w:tr>
        <w:trPr>
          <w:tblHeader/>
        </w:trPr>
        <w:tc>
          <w:tcPr>
            <w:tcW w:type="dxa" w:w="24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Cota</w:t>
            </w:r>
          </w:p>
        </w:tc>
        <w:tc>
          <w:tcPr>
            <w:tcW w:type="dxa" w:w="18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MXN/MW-año</w:t>
            </w:r>
          </w:p>
        </w:tc>
        <w:tc>
          <w:tcPr>
            <w:tcW w:type="dxa" w:w="27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Supuesto</w:t>
            </w:r>
          </w:p>
        </w:tc>
        <w:tc>
          <w:tcPr>
            <w:tcW w:type="dxa" w:w="24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Uso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V_BS clásico (piso)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1,247,800</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Sin restricciones físicas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Piso absoluto</w:t>
            </w:r>
          </w:p>
        </w:tc>
      </w:tr>
      <w:tr>
        <w:tc>
          <w:tcPr>
            <w:tcW w:type="dxa" w:w="2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V_HJB central</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2,395,000</w:t>
            </w:r>
          </w:p>
        </w:tc>
        <w:tc>
          <w:tcPr>
            <w:tcW w:type="dxa" w:w="27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HJB + restricciones, sin ambigüedad</w:t>
            </w:r>
          </w:p>
        </w:tc>
        <w:tc>
          <w:tcPr>
            <w:tcW w:type="dxa" w:w="2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Precio eficiente en certeza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V_rob (ε = 0.00346)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2,836,200</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HJB robusto, ambigüedad disturbancia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Precio prudente recomendado</w:t>
            </w:r>
          </w:p>
        </w:tc>
      </w:tr>
      <w:tr>
        <w:tc>
          <w:tcPr>
            <w:tcW w:type="dxa" w:w="2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V_max (+ prima liquidez 20%)</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3,412,700</w:t>
            </w:r>
          </w:p>
        </w:tc>
        <w:tc>
          <w:tcPr>
            <w:tcW w:type="dxa" w:w="27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V_rob + mercado incompleto</w:t>
            </w:r>
          </w:p>
        </w:tc>
        <w:tc>
          <w:tcPr>
            <w:tcW w:type="dxa" w:w="2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Techo contrato bilateral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TARIFA CRE 2024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1,424,000</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Tarifa administrativa fija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Referencia — 41.7% de V_rob</w:t>
            </w:r>
          </w:p>
        </w:tc>
      </w:tr>
    </w:tbl>
    <w:p>
      <w:pPr>
        <w:spacing w:after="320" w:before="80" w:line="380" w:lineRule="auto"/>
        <w:jc w:val="center"/>
      </w:pPr>
      <w:r>
        <w:rPr>
          <w:rFonts w:ascii="Arial" w:cs="Arial" w:eastAsia="Arial" w:hAnsi="Arial"/>
          <w:b w:val="false"/>
          <w:bCs w:val="false"/>
          <w:caps w:val="false"/>
          <w:color w:val="999999"/>
          <w:sz w:val="19"/>
          <w:szCs w:val="19"/>
        </w:rPr>
        <w:t xml:space="preserve">Tabla 3.2: Intervalo de valoración completo — contrato de regulación VZA-400.</w:t>
      </w:r>
    </w:p>
    <w:p>
      <w:pPr>
        <w:spacing w:after="0" w:before="0"/>
      </w:pPr>
      <w:r>
        <w:br/>
      </w:r>
    </w:p>
    <w:p>
      <w:pPr>
        <w:pStyle w:val="Heading1"/>
        <w:spacing w:after="280" w:before="600"/>
        <w:jc w:val="left"/>
      </w:pPr>
      <w:r>
        <w:rPr>
          <w:rFonts w:ascii="Arial" w:cs="Arial" w:eastAsia="Arial" w:hAnsi="Arial"/>
          <w:b/>
          <w:bCs/>
          <w:caps w:val="false"/>
          <w:color w:val="0D2B45"/>
          <w:sz w:val="34"/>
          <w:szCs w:val="34"/>
        </w:rPr>
        <w:t xml:space="preserve">Capítulo 4  Diseño del Mecanismo Óptimo — El Marco HJB-Myerson</w:t>
      </w:r>
    </w:p>
    <w:p>
      <w:pPr>
        <w:pStyle w:val="Heading2"/>
        <w:spacing w:after="200" w:before="400"/>
        <w:jc w:val="left"/>
      </w:pPr>
      <w:r>
        <w:rPr>
          <w:rFonts w:ascii="Arial" w:cs="Arial" w:eastAsia="Arial" w:hAnsi="Arial"/>
          <w:b/>
          <w:bCs/>
          <w:caps w:val="false"/>
          <w:color w:val="0F6E56"/>
          <w:sz w:val="27"/>
          <w:szCs w:val="27"/>
        </w:rPr>
        <w:t xml:space="preserve">4.1  El Problema de Diseño</w:t>
      </w:r>
    </w:p>
    <w:p>
      <w:pPr>
        <w:spacing w:after="200" w:before="0" w:line="380" w:lineRule="auto"/>
        <w:jc w:val="both"/>
      </w:pPr>
      <w:r>
        <w:rPr>
          <w:rFonts w:ascii="Arial" w:cs="Arial" w:eastAsia="Arial" w:hAnsi="Arial"/>
          <w:b w:val="false"/>
          <w:bCs w:val="false"/>
          <w:caps w:val="false"/>
          <w:color w:val="111111"/>
          <w:sz w:val="24"/>
          <w:szCs w:val="24"/>
        </w:rPr>
        <w:t xml:space="preserve">El precio V_HJB del Capítulo 2 es la valuación del contrato. La pregunta complementaria es: ¿cómo diseñar el mecanismo de mercado para que ese precio emerja en equilibrio con revelación veraz de los costos privados de los proveedores? Esta es la pregunta de Myerson (1981). En el mercado de regulación de frecuencia, la respuesta no es trivial porque el contexto tiene cuatro características que rompen el Teorema de Equivalencia de Ingresos (TEI) de Vickrey-Myerson.</w:t>
      </w:r>
    </w:p>
    <w:p>
      <w:pPr>
        <w:pStyle w:val="Heading2"/>
        <w:spacing w:after="200" w:before="400"/>
        <w:jc w:val="left"/>
      </w:pPr>
      <w:r>
        <w:rPr>
          <w:rFonts w:ascii="Arial" w:cs="Arial" w:eastAsia="Arial" w:hAnsi="Arial"/>
          <w:b/>
          <w:bCs/>
          <w:caps w:val="false"/>
          <w:color w:val="0F6E56"/>
          <w:sz w:val="27"/>
          <w:szCs w:val="27"/>
        </w:rPr>
        <w:t xml:space="preserve">4.2  Los Cuatro Factores de Ruptura del TEI</w:t>
      </w:r>
    </w:p>
    <w:p>
      <w:pPr>
        <w:pStyle w:val="Heading3"/>
        <w:spacing w:after="140" w:before="260"/>
        <w:jc w:val="left"/>
      </w:pPr>
      <w:r>
        <w:rPr>
          <w:rFonts w:ascii="Arial" w:cs="Arial" w:eastAsia="Arial" w:hAnsi="Arial"/>
          <w:b/>
          <w:bCs/>
          <w:caps w:val="false"/>
          <w:color w:val="0D2B45"/>
          <w:sz w:val="24"/>
          <w:szCs w:val="24"/>
        </w:rPr>
        <w:t xml:space="preserve">4.2.1  Tipos No-IID</w:t>
      </w:r>
    </w:p>
    <w:p>
      <w:pPr>
        <w:spacing w:after="200" w:before="0" w:line="380" w:lineRule="auto"/>
        <w:jc w:val="both"/>
      </w:pPr>
      <w:r>
        <w:rPr>
          <w:rFonts w:ascii="Arial" w:cs="Arial" w:eastAsia="Arial" w:hAnsi="Arial"/>
          <w:b w:val="false"/>
          <w:bCs w:val="false"/>
          <w:caps w:val="false"/>
          <w:color w:val="111111"/>
          <w:sz w:val="24"/>
          <w:szCs w:val="24"/>
        </w:rPr>
        <w:t xml:space="preserve">Los proveedores de regulación son heterogéneos estructuralmente: CFE tiene costos distintos a un operador de BESS, que difiere a su vez de un agregador de demanda industrial. La distribución de costos F_i varía entre proveedores, rompiendo la simetría que el TEI requiere.</w:t>
      </w:r>
    </w:p>
    <w:p>
      <w:pPr>
        <w:pStyle w:val="Heading3"/>
        <w:spacing w:after="140" w:before="260"/>
        <w:jc w:val="left"/>
      </w:pPr>
      <w:r>
        <w:rPr>
          <w:rFonts w:ascii="Arial" w:cs="Arial" w:eastAsia="Arial" w:hAnsi="Arial"/>
          <w:b/>
          <w:bCs/>
          <w:caps w:val="false"/>
          <w:color w:val="0D2B45"/>
          <w:sz w:val="24"/>
          <w:szCs w:val="24"/>
        </w:rPr>
        <w:t xml:space="preserve">4.2.2  Componente de Valor Común (α = 0.35)</w:t>
      </w:r>
    </w:p>
    <w:p>
      <w:pPr>
        <w:spacing w:after="200" w:before="0" w:line="380" w:lineRule="auto"/>
        <w:jc w:val="both"/>
      </w:pPr>
      <w:r>
        <w:rPr>
          <w:rFonts w:ascii="Arial" w:cs="Arial" w:eastAsia="Arial" w:hAnsi="Arial"/>
          <w:b w:val="false"/>
          <w:bCs w:val="false"/>
          <w:caps w:val="false"/>
          <w:color w:val="111111"/>
          <w:sz w:val="24"/>
          <w:szCs w:val="24"/>
        </w:rPr>
        <w:t xml:space="preserve">El valor del contrato de regulación depende parcialmente del proceso de frecuencia OU del SIN —que todos los proveedores observan o pueden estimar. La componente de valor común α = 0.35 se calibra sobre los 47 contratos bilaterales de AGC: 35% de la variación en precios es explicada por variaciones en los parámetros OU estimados por las partes. Esto genera la maldición del ganador: el proveedor que más sobreestima el valor del contrato lo gana sistemáticamente, realizando pérdidas ex-post.</w:t>
      </w:r>
    </w:p>
    <w:p>
      <w:pPr>
        <w:pStyle w:val="Heading3"/>
        <w:spacing w:after="140" w:before="260"/>
        <w:jc w:val="left"/>
      </w:pPr>
      <w:r>
        <w:rPr>
          <w:rFonts w:ascii="Arial" w:cs="Arial" w:eastAsia="Arial" w:hAnsi="Arial"/>
          <w:b/>
          <w:bCs/>
          <w:caps w:val="false"/>
          <w:color w:val="0D2B45"/>
          <w:sz w:val="24"/>
          <w:szCs w:val="24"/>
        </w:rPr>
        <w:t xml:space="preserve">4.2.3  Aversión al Riesgo</w:t>
      </w:r>
    </w:p>
    <w:p>
      <w:pPr>
        <w:spacing w:after="200" w:before="0" w:line="380" w:lineRule="auto"/>
        <w:jc w:val="both"/>
      </w:pPr>
      <w:r>
        <w:rPr>
          <w:rFonts w:ascii="Arial" w:cs="Arial" w:eastAsia="Arial" w:hAnsi="Arial"/>
          <w:b w:val="false"/>
          <w:bCs w:val="false"/>
          <w:caps w:val="false"/>
          <w:color w:val="111111"/>
          <w:sz w:val="24"/>
          <w:szCs w:val="24"/>
        </w:rPr>
        <w:t xml:space="preserve">La provisión de regulación implica riesgo de cola: un evento severo puede generar costos de balanceo muy superiores al promedio. Los proveedores con aversión al riesgo hacen shading en subastas de precio sellado de primer precio, deprimiendo los ingresos del comprador.</w:t>
      </w:r>
    </w:p>
    <w:p>
      <w:pPr>
        <w:pStyle w:val="Heading3"/>
        <w:spacing w:after="140" w:before="260"/>
        <w:jc w:val="left"/>
      </w:pPr>
      <w:r>
        <w:rPr>
          <w:rFonts w:ascii="Arial" w:cs="Arial" w:eastAsia="Arial" w:hAnsi="Arial"/>
          <w:b/>
          <w:bCs/>
          <w:caps w:val="false"/>
          <w:color w:val="0D2B45"/>
          <w:sz w:val="24"/>
          <w:szCs w:val="24"/>
        </w:rPr>
        <w:t xml:space="preserve">4.2.4  Correlación entre Tipos</w:t>
      </w:r>
    </w:p>
    <w:p>
      <w:pPr>
        <w:spacing w:after="200" w:before="0" w:line="380" w:lineRule="auto"/>
        <w:jc w:val="both"/>
      </w:pPr>
      <w:r>
        <w:rPr>
          <w:rFonts w:ascii="Arial" w:cs="Arial" w:eastAsia="Arial" w:hAnsi="Arial"/>
          <w:b w:val="false"/>
          <w:bCs w:val="false"/>
          <w:caps w:val="false"/>
          <w:color w:val="111111"/>
          <w:sz w:val="24"/>
          <w:szCs w:val="24"/>
        </w:rPr>
        <w:t xml:space="preserve">Los costos de los proveedores están correlacionados positivamente porque todos responden al mismo shock de volatilidad de frecuencia (expansión eólica del 67%). Esta correlación viola la independencia entre tipos que asume el mecanismo de Vickrey estándar.</w:t>
      </w:r>
    </w:p>
    <w:p>
      <w:pPr>
        <w:pStyle w:val="Heading2"/>
        <w:spacing w:after="200" w:before="400"/>
        <w:jc w:val="left"/>
      </w:pPr>
      <w:r>
        <w:rPr>
          <w:rFonts w:ascii="Arial" w:cs="Arial" w:eastAsia="Arial" w:hAnsi="Arial"/>
          <w:b/>
          <w:bCs/>
          <w:caps w:val="false"/>
          <w:color w:val="0F6E56"/>
          <w:sz w:val="27"/>
          <w:szCs w:val="27"/>
        </w:rPr>
        <w:t xml:space="preserve">4.3  El Principio de Revelación y el Mecanismo VCG</w:t>
      </w:r>
    </w:p>
    <w:p>
      <w:pPr>
        <w:spacing w:after="200" w:before="0" w:line="380" w:lineRule="auto"/>
        <w:jc w:val="both"/>
      </w:pPr>
      <w:r>
        <w:rPr>
          <w:rFonts w:ascii="Arial" w:cs="Arial" w:eastAsia="Arial" w:hAnsi="Arial"/>
          <w:b w:val="false"/>
          <w:bCs w:val="false"/>
          <w:caps w:val="false"/>
          <w:color w:val="111111"/>
          <w:sz w:val="24"/>
          <w:szCs w:val="24"/>
        </w:rPr>
        <w:t xml:space="preserve">Teorema 4.1 (Principio de Revelación, Myerson 1981). Para cualquier mecanismo que implementa una asignación eficiente en equilibrio de Bayes-Nash, existe un mecanismo directo verdad-revelador que implementa la misma asignación y genera los mismos pagos esperados. Las condiciones IC e IR:</w:t>
      </w:r>
    </w:p>
    <w:p>
      <w:pPr>
        <w:spacing w:after="220" w:before="220"/>
        <w:jc w:val="center"/>
      </w:pPr>
      <w:r>
        <w:rPr>
          <w:rFonts w:ascii="Cambria Math" w:cs="Cambria Math" w:eastAsia="Cambria Math" w:hAnsi="Cambria Math"/>
          <w:color w:val="0D2B45"/>
          <w:sz w:val="22"/>
          <w:szCs w:val="22"/>
        </w:rPr>
        <w:t xml:space="preserve">IC:  Uᵢ(θᵢ,θᵢ) ≥ Uᵢ(θ̂ᵢ,θᵢ)    ∀θᵢ,θ̂ᵢ</w:t>
      </w:r>
    </w:p>
    <w:p>
      <w:pPr>
        <w:spacing w:after="220" w:before="220"/>
        <w:jc w:val="center"/>
      </w:pPr>
      <w:r>
        <w:rPr>
          <w:rFonts w:ascii="Cambria Math" w:cs="Cambria Math" w:eastAsia="Cambria Math" w:hAnsi="Cambria Math"/>
          <w:color w:val="0D2B45"/>
          <w:sz w:val="22"/>
          <w:szCs w:val="22"/>
        </w:rPr>
        <w:t xml:space="preserve">IR:  Uᵢ(θᵢ,θᵢ) ≥ 0              ∀θᵢ</w:t>
      </w:r>
    </w:p>
    <w:p>
      <w:pPr>
        <w:spacing w:after="200" w:before="0" w:line="380" w:lineRule="auto"/>
        <w:jc w:val="both"/>
      </w:pPr>
      <w:r>
        <w:rPr>
          <w:rFonts w:ascii="Arial" w:cs="Arial" w:eastAsia="Arial" w:hAnsi="Arial"/>
          <w:b w:val="false"/>
          <w:bCs w:val="false"/>
          <w:caps w:val="false"/>
          <w:color w:val="111111"/>
          <w:sz w:val="24"/>
          <w:szCs w:val="24"/>
        </w:rPr>
        <w:t xml:space="preserve">El pago VCG al proveedor i asignado: pᵢ^{VCG}(θ) = W_{−i}(x*(θ_{−i})) − W_{−i}(x*(θ)), donde W_{−i} es el bienestar de los demás bajo la asignación x. Este pago hace que reportar θᵢ verdadero sea estrategia dominante (DSIC).</w:t>
      </w:r>
    </w:p>
    <w:p>
      <w:pPr>
        <w:pStyle w:val="Heading2"/>
        <w:spacing w:after="200" w:before="400"/>
        <w:jc w:val="left"/>
      </w:pPr>
      <w:r>
        <w:rPr>
          <w:rFonts w:ascii="Arial" w:cs="Arial" w:eastAsia="Arial" w:hAnsi="Arial"/>
          <w:b/>
          <w:bCs/>
          <w:caps w:val="false"/>
          <w:color w:val="0F6E56"/>
          <w:sz w:val="27"/>
          <w:szCs w:val="27"/>
        </w:rPr>
        <w:t xml:space="preserve">4.4  El Linkage Principle — Corrección del Valor Común</w:t>
      </w:r>
    </w:p>
    <w:p>
      <w:pPr>
        <w:spacing w:after="200" w:before="0" w:line="380" w:lineRule="auto"/>
        <w:jc w:val="both"/>
      </w:pPr>
      <w:r>
        <w:rPr>
          <w:rFonts w:ascii="Arial" w:cs="Arial" w:eastAsia="Arial" w:hAnsi="Arial"/>
          <w:b w:val="false"/>
          <w:bCs w:val="false"/>
          <w:caps w:val="false"/>
          <w:color w:val="111111"/>
          <w:sz w:val="24"/>
          <w:szCs w:val="24"/>
        </w:rPr>
        <w:t xml:space="preserve">Teorema 4.2 (Milgrom-Weber, 1982). En subastas con valoraciones afiliadas (α &gt; 0), el subastador puede reducir su costo esperado publicando toda la información común disponible antes de la subasta:</w:t>
      </w:r>
    </w:p>
    <w:p>
      <w:pPr>
        <w:spacing w:after="220" w:before="220"/>
        <w:jc w:val="center"/>
      </w:pPr>
      <w:r>
        <w:rPr>
          <w:rFonts w:ascii="Cambria Math" w:cs="Cambria Math" w:eastAsia="Cambria Math" w:hAnsi="Cambria Math"/>
          <w:color w:val="0D2B45"/>
          <w:sz w:val="22"/>
          <w:szCs w:val="22"/>
        </w:rPr>
        <w:t xml:space="preserve">E[Costo(M^{full info})]  ≤  E[Costo(M^{private info})]</w:t>
      </w:r>
    </w:p>
    <w:p>
      <w:pPr>
        <w:spacing w:after="200" w:before="0" w:line="380" w:lineRule="auto"/>
        <w:jc w:val="both"/>
      </w:pPr>
      <w:r>
        <w:rPr>
          <w:rFonts w:ascii="Arial" w:cs="Arial" w:eastAsia="Arial" w:hAnsi="Arial"/>
          <w:b w:val="false"/>
          <w:bCs w:val="false"/>
          <w:caps w:val="false"/>
          <w:color w:val="111111"/>
          <w:sz w:val="24"/>
          <w:szCs w:val="24"/>
        </w:rPr>
        <w:t xml:space="preserve">Para el mercado de regulación: CENACE debe publicar los parámetros OU calibrados (κ, μ, σ_OU) y la frontera libre x*(t) del Capítulo 2 antes de cada subasta. PRIMEnergeia ya calcula y publica estos parámetros — el modelo convierte ese dato operativo en una ventaja de diseño de mercado que ahorra MXN 95,000/MW-año al comprador.</w:t>
      </w:r>
    </w:p>
    <w:p>
      <w:pPr>
        <w:pStyle w:val="Heading2"/>
        <w:spacing w:after="200" w:before="400"/>
        <w:jc w:val="left"/>
      </w:pPr>
      <w:r>
        <w:rPr>
          <w:rFonts w:ascii="Arial" w:cs="Arial" w:eastAsia="Arial" w:hAnsi="Arial"/>
          <w:b/>
          <w:bCs/>
          <w:caps w:val="false"/>
          <w:color w:val="0F6E56"/>
          <w:sz w:val="27"/>
          <w:szCs w:val="27"/>
        </w:rPr>
        <w:t xml:space="preserve">4.5  El Precio de Reserva Óptimo de Myerson</w:t>
      </w:r>
    </w:p>
    <w:p>
      <w:pPr>
        <w:spacing w:after="200" w:before="0" w:line="380" w:lineRule="auto"/>
        <w:jc w:val="both"/>
      </w:pPr>
      <w:r>
        <w:rPr>
          <w:rFonts w:ascii="Arial" w:cs="Arial" w:eastAsia="Arial" w:hAnsi="Arial"/>
          <w:b w:val="false"/>
          <w:bCs w:val="false"/>
          <w:caps w:val="false"/>
          <w:color w:val="111111"/>
          <w:sz w:val="24"/>
          <w:szCs w:val="24"/>
        </w:rPr>
        <w:t xml:space="preserve">Con distribución de costos de los proveedores F ~ Weibull(shape=2.14, scale=1,870,000 MXN/MW-año) calibrada sobre los 47 contratos bilaterales, el precio de reserva óptimo r* satisface:</w:t>
      </w:r>
    </w:p>
    <w:p>
      <w:pPr>
        <w:spacing w:after="220" w:before="220"/>
        <w:jc w:val="center"/>
      </w:pPr>
      <w:r>
        <w:rPr>
          <w:rFonts w:ascii="Cambria Math" w:cs="Cambria Math" w:eastAsia="Cambria Math" w:hAnsi="Cambria Math"/>
          <w:color w:val="0D2B45"/>
          <w:sz w:val="22"/>
          <w:szCs w:val="22"/>
        </w:rPr>
        <w:t xml:space="preserve">r*  =  θ_h  −  (1−F(r*))/f(r*)</w:t>
      </w:r>
    </w:p>
    <w:p>
      <w:pPr>
        <w:spacing w:after="200" w:before="0" w:line="380" w:lineRule="auto"/>
        <w:jc w:val="both"/>
      </w:pPr>
      <w:r>
        <w:rPr>
          <w:rFonts w:ascii="Arial" w:cs="Arial" w:eastAsia="Arial" w:hAnsi="Arial"/>
          <w:b w:val="false"/>
          <w:bCs w:val="false"/>
          <w:caps w:val="false"/>
          <w:color w:val="111111"/>
          <w:sz w:val="24"/>
          <w:szCs w:val="24"/>
        </w:rPr>
        <w:t xml:space="preserve">Resolviendo numéricamente: r* = MXN 1,900,000/MW-año, un 33.4% mayor a la tarifa CRE actual y 20.7% menor al precio de equilibrio HJB. Es la primera recomendación de política implementable sin reforma legislativa.</w:t>
      </w:r>
    </w:p>
    <w:p>
      <w:pPr>
        <w:pStyle w:val="Heading2"/>
        <w:spacing w:after="200" w:before="400"/>
        <w:jc w:val="left"/>
      </w:pPr>
      <w:r>
        <w:rPr>
          <w:rFonts w:ascii="Arial" w:cs="Arial" w:eastAsia="Arial" w:hAnsi="Arial"/>
          <w:b/>
          <w:bCs/>
          <w:caps w:val="false"/>
          <w:color w:val="0F6E56"/>
          <w:sz w:val="27"/>
          <w:szCs w:val="27"/>
        </w:rPr>
        <w:t xml:space="preserve">4.6  Comparación de Mecanismos</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600"/>
        <w:gridCol w:w="1800"/>
        <w:gridCol w:w="1800"/>
        <w:gridCol w:w="3160"/>
      </w:tblGrid>
      <w:tr>
        <w:trPr>
          <w:tblHeader/>
        </w:trPr>
        <w:tc>
          <w:tcPr>
            <w:tcW w:type="dxa" w:w="26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Dimensión</w:t>
            </w:r>
          </w:p>
        </w:tc>
        <w:tc>
          <w:tcPr>
            <w:tcW w:type="dxa" w:w="18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Tarifa CRE Actual</w:t>
            </w:r>
          </w:p>
        </w:tc>
        <w:tc>
          <w:tcPr>
            <w:tcW w:type="dxa" w:w="18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Subasta PP sellada</w:t>
            </w:r>
          </w:p>
        </w:tc>
        <w:tc>
          <w:tcPr>
            <w:tcW w:type="dxa" w:w="31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Mecanismo VCG+Linkage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Revelación de costos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No — precio fijo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Parcial — bid shading</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Sí — dominancia estricta</w:t>
            </w:r>
          </w:p>
        </w:tc>
      </w:tr>
      <w:tr>
        <w:tc>
          <w:tcPr>
            <w:tcW w:type="dxa" w:w="26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Corrección valor común</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No aplica</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No — maldición ganador</w:t>
            </w:r>
          </w:p>
        </w:tc>
        <w:tc>
          <w:tcPr>
            <w:tcW w:type="dxa" w:w="31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Sí — Linkage Principle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Costo esperado CENACE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MXN 1.424 M/MW-año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MXN 1.81 M/MW-año</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MXN 1.72 M/MW-año</w:t>
            </w:r>
          </w:p>
        </w:tc>
      </w:tr>
      <w:tr>
        <w:tc>
          <w:tcPr>
            <w:tcW w:type="dxa" w:w="26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Eficiencia asignativa</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Baja</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Media</w:t>
            </w:r>
          </w:p>
        </w:tc>
        <w:tc>
          <w:tcPr>
            <w:tcW w:type="dxa" w:w="31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Alta</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MW de regulación inducidos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2,000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2,100–2,200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2,400+</w:t>
            </w:r>
          </w:p>
        </w:tc>
      </w:tr>
      <w:tr>
        <w:tc>
          <w:tcPr>
            <w:tcW w:type="dxa" w:w="26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Riesgo regulatorio</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Alto — precio político</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Medio</w:t>
            </w:r>
          </w:p>
        </w:tc>
        <w:tc>
          <w:tcPr>
            <w:tcW w:type="dxa" w:w="31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Bajo — endógeno y auditable</w:t>
            </w:r>
          </w:p>
        </w:tc>
      </w:tr>
    </w:tbl>
    <w:p>
      <w:pPr>
        <w:spacing w:after="320" w:before="80" w:line="380" w:lineRule="auto"/>
        <w:jc w:val="center"/>
      </w:pPr>
      <w:r>
        <w:rPr>
          <w:rFonts w:ascii="Arial" w:cs="Arial" w:eastAsia="Arial" w:hAnsi="Arial"/>
          <w:b w:val="false"/>
          <w:bCs w:val="false"/>
          <w:caps w:val="false"/>
          <w:color w:val="999999"/>
          <w:sz w:val="19"/>
          <w:szCs w:val="19"/>
        </w:rPr>
        <w:t xml:space="preserve">Tabla 4.1: Comparación de mecanismos. El VCG+Linkage ahorra MXN 95,000/MW-año vs. la subasta PP y MXN 2.3 B en el contrato de 10 años de red completa.</w:t>
      </w:r>
    </w:p>
    <w:p>
      <w:pPr>
        <w:pStyle w:val="Heading2"/>
        <w:spacing w:after="200" w:before="400"/>
        <w:jc w:val="left"/>
      </w:pPr>
      <w:r>
        <w:rPr>
          <w:rFonts w:ascii="Arial" w:cs="Arial" w:eastAsia="Arial" w:hAnsi="Arial"/>
          <w:b/>
          <w:bCs/>
          <w:caps w:val="false"/>
          <w:color w:val="0F6E56"/>
          <w:sz w:val="27"/>
          <w:szCs w:val="27"/>
        </w:rPr>
        <w:t xml:space="preserve">4.7  Hoja de Ruta Regulatoria</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400"/>
        <w:gridCol w:w="1000"/>
        <w:gridCol w:w="3600"/>
        <w:gridCol w:w="3360"/>
      </w:tblGrid>
      <w:tr>
        <w:trPr>
          <w:tblHeader/>
        </w:trPr>
        <w:tc>
          <w:tcPr>
            <w:tcW w:type="dxa" w:w="14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Fase</w:t>
            </w:r>
          </w:p>
        </w:tc>
        <w:tc>
          <w:tcPr>
            <w:tcW w:type="dxa" w:w="10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Año</w:t>
            </w:r>
          </w:p>
        </w:tc>
        <w:tc>
          <w:tcPr>
            <w:tcW w:type="dxa" w:w="36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Acción</w:t>
            </w:r>
          </w:p>
        </w:tc>
        <w:tc>
          <w:tcPr>
            <w:tcW w:type="dxa" w:w="33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Precio esperado</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1 — Publicación informativa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2026-2027</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CRE publica metodología HJB como referencia</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MXN 1,424,000 (sin cambio)</w:t>
            </w:r>
          </w:p>
        </w:tc>
      </w:tr>
      <w:tr>
        <w:tc>
          <w:tcPr>
            <w:tcW w:type="dxa" w:w="1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2 — Precio de reserva Myerson</w:t>
            </w:r>
          </w:p>
        </w:tc>
        <w:tc>
          <w:tcPr>
            <w:tcW w:type="dxa" w:w="10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2027-2028</w:t>
            </w:r>
          </w:p>
        </w:tc>
        <w:tc>
          <w:tcPr>
            <w:tcW w:type="dxa" w:w="36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CRE fija r* = MXN 1.9 M/MW-año vía resolución</w:t>
            </w:r>
          </w:p>
        </w:tc>
        <w:tc>
          <w:tcPr>
            <w:tcW w:type="dxa" w:w="33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MXN 1,900,000 (+33.4%)</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3 — Subasta piloto VCG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2028</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Subasta mensual voluntaria con Linkage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MXN ~1,720,000 (endógeno)</w:t>
            </w:r>
          </w:p>
        </w:tc>
      </w:tr>
      <w:tr>
        <w:tc>
          <w:tcPr>
            <w:tcW w:type="dxa" w:w="1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4 — Mercado pleno</w:t>
            </w:r>
          </w:p>
        </w:tc>
        <w:tc>
          <w:tcPr>
            <w:tcW w:type="dxa" w:w="10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2029+</w:t>
            </w:r>
          </w:p>
        </w:tc>
        <w:tc>
          <w:tcPr>
            <w:tcW w:type="dxa" w:w="36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Subasta obligatoria VCG+Linkage</w:t>
            </w:r>
          </w:p>
        </w:tc>
        <w:tc>
          <w:tcPr>
            <w:tcW w:type="dxa" w:w="33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Precio de mercado</w:t>
            </w:r>
          </w:p>
        </w:tc>
      </w:tr>
    </w:tbl>
    <w:p>
      <w:pPr>
        <w:spacing w:after="320" w:before="80" w:line="380" w:lineRule="auto"/>
        <w:jc w:val="center"/>
      </w:pPr>
      <w:r>
        <w:rPr>
          <w:rFonts w:ascii="Arial" w:cs="Arial" w:eastAsia="Arial" w:hAnsi="Arial"/>
          <w:b w:val="false"/>
          <w:bCs w:val="false"/>
          <w:caps w:val="false"/>
          <w:color w:val="999999"/>
          <w:sz w:val="19"/>
          <w:szCs w:val="19"/>
        </w:rPr>
        <w:t xml:space="preserve">Tabla 4.2: Transición al mecanismo óptimo — propuesta para CRE/CENACE. Las Fases 1-2 no requieren reforma legislativa.</w:t>
      </w:r>
    </w:p>
    <w:p>
      <w:pPr>
        <w:spacing w:after="0" w:before="0"/>
      </w:pPr>
      <w:r>
        <w:br/>
      </w:r>
    </w:p>
    <w:p>
      <w:pPr>
        <w:pStyle w:val="Heading1"/>
        <w:spacing w:after="280" w:before="600"/>
        <w:jc w:val="left"/>
      </w:pPr>
      <w:r>
        <w:rPr>
          <w:rFonts w:ascii="Arial" w:cs="Arial" w:eastAsia="Arial" w:hAnsi="Arial"/>
          <w:b/>
          <w:bCs/>
          <w:caps w:val="false"/>
          <w:color w:val="0D2B45"/>
          <w:sz w:val="34"/>
          <w:szCs w:val="34"/>
        </w:rPr>
        <w:t xml:space="preserve">Capítulo 5  Aplicación Empírica — CENACE, Brecha de Valoración y Bienestar Social</w:t>
      </w:r>
    </w:p>
    <w:p>
      <w:pPr>
        <w:pStyle w:val="Heading2"/>
        <w:spacing w:after="200" w:before="400"/>
        <w:jc w:val="left"/>
      </w:pPr>
      <w:r>
        <w:rPr>
          <w:rFonts w:ascii="Arial" w:cs="Arial" w:eastAsia="Arial" w:hAnsi="Arial"/>
          <w:b/>
          <w:bCs/>
          <w:caps w:val="false"/>
          <w:color w:val="0F6E56"/>
          <w:sz w:val="27"/>
          <w:szCs w:val="27"/>
        </w:rPr>
        <w:t xml:space="preserve">5.1  Los Datos</w:t>
      </w:r>
    </w:p>
    <w:p>
      <w:pPr>
        <w:spacing w:after="200" w:before="0" w:line="380" w:lineRule="auto"/>
        <w:jc w:val="both"/>
      </w:pPr>
      <w:r>
        <w:rPr>
          <w:rFonts w:ascii="Arial" w:cs="Arial" w:eastAsia="Arial" w:hAnsi="Arial"/>
          <w:b w:val="false"/>
          <w:bCs w:val="false"/>
          <w:caps w:val="false"/>
          <w:color w:val="111111"/>
          <w:sz w:val="24"/>
          <w:szCs w:val="24"/>
        </w:rPr>
        <w:t xml:space="preserve">Datos primarios: 23,587,200 observaciones de frecuencia del nodo VZA-400 (4 segundos de resolución, enero 2022–diciembre 2024, limpieza de 0.34% de outliers instrumentales); 47 contratos bilaterales de AGC registrados ante la CRE (2022-2024); 36 resultados de subastas mensuales del CENACE; datos de capacidad renovable por zona del PRODESEN 2024-2038.</w:t>
      </w:r>
    </w:p>
    <w:p>
      <w:pPr>
        <w:pStyle w:val="Heading2"/>
        <w:spacing w:after="200" w:before="400"/>
        <w:jc w:val="left"/>
      </w:pPr>
      <w:r>
        <w:rPr>
          <w:rFonts w:ascii="Arial" w:cs="Arial" w:eastAsia="Arial" w:hAnsi="Arial"/>
          <w:b/>
          <w:bCs/>
          <w:caps w:val="false"/>
          <w:color w:val="0F6E56"/>
          <w:sz w:val="27"/>
          <w:szCs w:val="27"/>
        </w:rPr>
        <w:t xml:space="preserve">5.2  Calibración Empírica</w:t>
      </w:r>
    </w:p>
    <w:p>
      <w:pPr>
        <w:pStyle w:val="Heading3"/>
        <w:spacing w:after="140" w:before="260"/>
        <w:jc w:val="left"/>
      </w:pPr>
      <w:r>
        <w:rPr>
          <w:rFonts w:ascii="Arial" w:cs="Arial" w:eastAsia="Arial" w:hAnsi="Arial"/>
          <w:b/>
          <w:bCs/>
          <w:caps w:val="false"/>
          <w:color w:val="0D2B45"/>
          <w:sz w:val="24"/>
          <w:szCs w:val="24"/>
        </w:rPr>
        <w:t xml:space="preserve">5.2.1  Test de Estacionariedad</w:t>
      </w:r>
    </w:p>
    <w:p>
      <w:pPr>
        <w:spacing w:after="200" w:before="0" w:line="380" w:lineRule="auto"/>
        <w:jc w:val="both"/>
      </w:pPr>
      <w:r>
        <w:rPr>
          <w:rFonts w:ascii="Arial" w:cs="Arial" w:eastAsia="Arial" w:hAnsi="Arial"/>
          <w:b w:val="false"/>
          <w:bCs w:val="false"/>
          <w:caps w:val="false"/>
          <w:color w:val="111111"/>
          <w:sz w:val="24"/>
          <w:szCs w:val="24"/>
        </w:rPr>
        <w:t xml:space="preserve">El test de Dickey-Fuller Aumentado para la serie Δf(t) rechaza la hipótesis nula de raíz unitaria con estadístico ADF = −48.37 (p &lt; 0.001, lags = 12). El test de KPSS no rechaza la hipótesis nula de estacionariedad (estadístico = 0.043 &lt; 0.146 al nivel 5%). Ambos tests confirman que el proceso OU es la especificación correcta.</w:t>
      </w:r>
    </w:p>
    <w:p>
      <w:pPr>
        <w:pStyle w:val="Heading3"/>
        <w:spacing w:after="140" w:before="260"/>
        <w:jc w:val="left"/>
      </w:pPr>
      <w:r>
        <w:rPr>
          <w:rFonts w:ascii="Arial" w:cs="Arial" w:eastAsia="Arial" w:hAnsi="Arial"/>
          <w:b/>
          <w:bCs/>
          <w:caps w:val="false"/>
          <w:color w:val="0D2B45"/>
          <w:sz w:val="24"/>
          <w:szCs w:val="24"/>
        </w:rPr>
        <w:t xml:space="preserve">5.2.2  Los 147 Eventos de Disturbancia</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700"/>
        <w:gridCol w:w="900"/>
        <w:gridCol w:w="1800"/>
        <w:gridCol w:w="1500"/>
        <w:gridCol w:w="2560"/>
      </w:tblGrid>
      <w:tr>
        <w:trPr>
          <w:tblHeader/>
        </w:trPr>
        <w:tc>
          <w:tcPr>
            <w:tcW w:type="dxa" w:w="27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Causa</w:t>
            </w:r>
          </w:p>
        </w:tc>
        <w:tc>
          <w:tcPr>
            <w:tcW w:type="dxa" w:w="9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N</w:t>
            </w:r>
          </w:p>
        </w:tc>
        <w:tc>
          <w:tcPr>
            <w:tcW w:type="dxa" w:w="18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Desv. Máx. Media</w:t>
            </w:r>
          </w:p>
        </w:tc>
        <w:tc>
          <w:tcPr>
            <w:tcW w:type="dxa" w:w="15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Duración Media</w:t>
            </w:r>
          </w:p>
        </w:tc>
        <w:tc>
          <w:tcPr>
            <w:tcW w:type="dxa" w:w="25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Activación Contrato</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Pérdida generación &gt;500 MW</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38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−0.184 Hz</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18.4 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38/38 (100%)</w:t>
            </w:r>
          </w:p>
        </w:tc>
      </w:tr>
      <w:tr>
        <w:tc>
          <w:tcPr>
            <w:tcW w:type="dxa" w:w="27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Desconexión de interconexión</w:t>
            </w:r>
          </w:p>
        </w:tc>
        <w:tc>
          <w:tcPr>
            <w:tcW w:type="dxa" w:w="9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23</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−0.142 Hz</w:t>
            </w:r>
          </w:p>
        </w:tc>
        <w:tc>
          <w:tcPr>
            <w:tcW w:type="dxa" w:w="15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12.7 s</w:t>
            </w:r>
          </w:p>
        </w:tc>
        <w:tc>
          <w:tcPr>
            <w:tcW w:type="dxa" w:w="25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23/23 (100%)</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Falla de línea de transmisión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41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−0.119 Hz</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9.3 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41/41 (100%)</w:t>
            </w:r>
          </w:p>
        </w:tc>
      </w:tr>
      <w:tr>
        <w:tc>
          <w:tcPr>
            <w:tcW w:type="dxa" w:w="27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Rampa de renovables (viento)</w:t>
            </w:r>
          </w:p>
        </w:tc>
        <w:tc>
          <w:tcPr>
            <w:tcW w:type="dxa" w:w="9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29</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+0.087 Hz</w:t>
            </w:r>
          </w:p>
        </w:tc>
        <w:tc>
          <w:tcPr>
            <w:tcW w:type="dxa" w:w="15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5.8 s</w:t>
            </w:r>
          </w:p>
        </w:tc>
        <w:tc>
          <w:tcPr>
            <w:tcW w:type="dxa" w:w="25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14/29 (48%)</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Error pronóstico de demanda</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−0.073 Hz</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4.2 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0/16 (0%)</w:t>
            </w:r>
          </w:p>
        </w:tc>
      </w:tr>
    </w:tbl>
    <w:p>
      <w:pPr>
        <w:spacing w:after="320" w:before="80" w:line="380" w:lineRule="auto"/>
        <w:jc w:val="center"/>
      </w:pPr>
      <w:r>
        <w:rPr>
          <w:rFonts w:ascii="Arial" w:cs="Arial" w:eastAsia="Arial" w:hAnsi="Arial"/>
          <w:b w:val="false"/>
          <w:bCs w:val="false"/>
          <w:caps w:val="false"/>
          <w:color w:val="999999"/>
          <w:sz w:val="19"/>
          <w:szCs w:val="19"/>
        </w:rPr>
        <w:t xml:space="preserve">Tabla 5.1: Clasificación de 147 eventos — VZA-400, CENACE 2022-2024. Tasa de activación: 78.2% (vs. 75.4% teórico con x*(0) = −0.024 Hz).</w:t>
      </w:r>
    </w:p>
    <w:p>
      <w:pPr>
        <w:pStyle w:val="Heading2"/>
        <w:spacing w:after="200" w:before="400"/>
        <w:jc w:val="left"/>
      </w:pPr>
      <w:r>
        <w:rPr>
          <w:rFonts w:ascii="Arial" w:cs="Arial" w:eastAsia="Arial" w:hAnsi="Arial"/>
          <w:b/>
          <w:bCs/>
          <w:caps w:val="false"/>
          <w:color w:val="0F6E56"/>
          <w:sz w:val="27"/>
          <w:szCs w:val="27"/>
        </w:rPr>
        <w:t xml:space="preserve">5.3  La Brecha de Valoración CENACE</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700"/>
        <w:gridCol w:w="1800"/>
        <w:gridCol w:w="1440"/>
        <w:gridCol w:w="900"/>
        <w:gridCol w:w="2520"/>
      </w:tblGrid>
      <w:tr>
        <w:trPr>
          <w:tblHeader/>
        </w:trPr>
        <w:tc>
          <w:tcPr>
            <w:tcW w:type="dxa" w:w="27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Fuente de Precio</w:t>
            </w:r>
          </w:p>
        </w:tc>
        <w:tc>
          <w:tcPr>
            <w:tcW w:type="dxa" w:w="18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MXN/MW-año</w:t>
            </w:r>
          </w:p>
        </w:tc>
        <w:tc>
          <w:tcPr>
            <w:tcW w:type="dxa" w:w="144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Ratio vs. V_HJB</w:t>
            </w:r>
          </w:p>
        </w:tc>
        <w:tc>
          <w:tcPr>
            <w:tcW w:type="dxa" w:w="9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N obs.</w:t>
            </w:r>
          </w:p>
        </w:tc>
        <w:tc>
          <w:tcPr>
            <w:tcW w:type="dxa" w:w="252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Período</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Tarifa AGC regulada CRE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1,424,000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59.5%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2024</w:t>
            </w:r>
          </w:p>
        </w:tc>
      </w:tr>
      <w:tr>
        <w:tc>
          <w:tcPr>
            <w:tcW w:type="dxa" w:w="27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Contratos bilaterales AGC (media)</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1,587,400</w:t>
            </w:r>
          </w:p>
        </w:tc>
        <w:tc>
          <w:tcPr>
            <w:tcW w:type="dxa" w:w="14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66.3%</w:t>
            </w:r>
          </w:p>
        </w:tc>
        <w:tc>
          <w:tcPr>
            <w:tcW w:type="dxa" w:w="9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47</w:t>
            </w:r>
          </w:p>
        </w:tc>
        <w:tc>
          <w:tcPr>
            <w:tcW w:type="dxa" w:w="252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2022−2024</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Subasta mensual CENACE (media)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1,341,200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56.0%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36</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2022−2024</w:t>
            </w:r>
          </w:p>
        </w:tc>
      </w:tr>
      <w:tr>
        <w:tc>
          <w:tcPr>
            <w:tcW w:type="dxa" w:w="27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Precio V_HJB (AGC solo, este estudio)</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2,395,000</w:t>
            </w:r>
          </w:p>
        </w:tc>
        <w:tc>
          <w:tcPr>
            <w:tcW w:type="dxa" w:w="14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100%</w:t>
            </w:r>
          </w:p>
        </w:tc>
        <w:tc>
          <w:tcPr>
            <w:tcW w:type="dxa" w:w="9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w:t>
            </w:r>
          </w:p>
        </w:tc>
        <w:tc>
          <w:tcPr>
            <w:tcW w:type="dxa" w:w="252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Calibrado 2024</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Precio V_bundle (4 servicios)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4,337,200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181.1%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Calibrado 2024</w:t>
            </w:r>
          </w:p>
        </w:tc>
      </w:tr>
      <w:tr>
        <w:tc>
          <w:tcPr>
            <w:tcW w:type="dxa" w:w="27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Precio robusto V_rob</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2,836,200</w:t>
            </w:r>
          </w:p>
        </w:tc>
        <w:tc>
          <w:tcPr>
            <w:tcW w:type="dxa" w:w="14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118.4%</w:t>
            </w:r>
          </w:p>
        </w:tc>
        <w:tc>
          <w:tcPr>
            <w:tcW w:type="dxa" w:w="9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w:t>
            </w:r>
          </w:p>
        </w:tc>
        <w:tc>
          <w:tcPr>
            <w:tcW w:type="dxa" w:w="252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Calibrado 2024</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ERCOT (referencia USD→MXN)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2,108,600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88.0%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52</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2024</w:t>
            </w:r>
          </w:p>
        </w:tc>
      </w:tr>
      <w:tr>
        <w:tc>
          <w:tcPr>
            <w:tcW w:type="dxa" w:w="27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PJM (referencia USD→MXN)</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2,293,700</w:t>
            </w:r>
          </w:p>
        </w:tc>
        <w:tc>
          <w:tcPr>
            <w:tcW w:type="dxa" w:w="14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95.8%</w:t>
            </w:r>
          </w:p>
        </w:tc>
        <w:tc>
          <w:tcPr>
            <w:tcW w:type="dxa" w:w="9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52</w:t>
            </w:r>
          </w:p>
        </w:tc>
        <w:tc>
          <w:tcPr>
            <w:tcW w:type="dxa" w:w="252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2024</w:t>
            </w:r>
          </w:p>
        </w:tc>
      </w:tr>
    </w:tbl>
    <w:p>
      <w:pPr>
        <w:spacing w:after="320" w:before="80" w:line="380" w:lineRule="auto"/>
        <w:jc w:val="center"/>
      </w:pPr>
      <w:r>
        <w:rPr>
          <w:rFonts w:ascii="Arial" w:cs="Arial" w:eastAsia="Arial" w:hAnsi="Arial"/>
          <w:b w:val="false"/>
          <w:bCs w:val="false"/>
          <w:caps w:val="false"/>
          <w:color w:val="999999"/>
          <w:sz w:val="19"/>
          <w:szCs w:val="19"/>
        </w:rPr>
        <w:t xml:space="preserve">Tabla 5.2: Brecha de valoración — CENACE vs. precio teórico y mercados internacionales.</w:t>
      </w:r>
    </w:p>
    <w:p>
      <w:pPr>
        <w:pStyle w:val="Heading2"/>
        <w:spacing w:after="200" w:before="400"/>
        <w:jc w:val="left"/>
      </w:pPr>
      <w:r>
        <w:rPr>
          <w:rFonts w:ascii="Arial" w:cs="Arial" w:eastAsia="Arial" w:hAnsi="Arial"/>
          <w:b/>
          <w:bCs/>
          <w:caps w:val="false"/>
          <w:color w:val="0F6E56"/>
          <w:sz w:val="27"/>
          <w:szCs w:val="27"/>
        </w:rPr>
        <w:t xml:space="preserve">5.4  Análisis de Bienestar Social en Seis Canales — Criterio Kaldor-Hicks</w:t>
      </w:r>
    </w:p>
    <w:p>
      <w:pPr>
        <w:pStyle w:val="Heading3"/>
        <w:spacing w:after="140" w:before="260"/>
        <w:jc w:val="left"/>
      </w:pPr>
      <w:r>
        <w:rPr>
          <w:rFonts w:ascii="Arial" w:cs="Arial" w:eastAsia="Arial" w:hAnsi="Arial"/>
          <w:b/>
          <w:bCs/>
          <w:caps w:val="false"/>
          <w:color w:val="0D2B45"/>
          <w:sz w:val="24"/>
          <w:szCs w:val="24"/>
        </w:rPr>
        <w:t xml:space="preserve">5.4.1  Canal 1 — ENS evitada (USD 0.1 M/año)</w:t>
      </w:r>
    </w:p>
    <w:p>
      <w:pPr>
        <w:spacing w:after="200" w:before="0" w:line="380" w:lineRule="auto"/>
        <w:jc w:val="both"/>
      </w:pPr>
      <w:r>
        <w:rPr>
          <w:rFonts w:ascii="Arial" w:cs="Arial" w:eastAsia="Arial" w:hAnsi="Arial"/>
          <w:b w:val="false"/>
          <w:bCs w:val="false"/>
          <w:caps w:val="false"/>
          <w:color w:val="111111"/>
          <w:sz w:val="24"/>
          <w:szCs w:val="24"/>
        </w:rPr>
        <w:t xml:space="preserve">73% de reducción en duración de eventos via HJB/DRL → 10.6 MWh/año de ENS evitada × VoLL promedio MXN 61,730/MWh × multiplicador de paros encadenados 2.8x (Carlsson y Hammar, 2002) = MXN 1.8 M/año.</w:t>
      </w:r>
    </w:p>
    <w:p>
      <w:pPr>
        <w:pStyle w:val="Heading3"/>
        <w:spacing w:after="140" w:before="260"/>
        <w:jc w:val="left"/>
      </w:pPr>
      <w:r>
        <w:rPr>
          <w:rFonts w:ascii="Arial" w:cs="Arial" w:eastAsia="Arial" w:hAnsi="Arial"/>
          <w:b/>
          <w:bCs/>
          <w:caps w:val="false"/>
          <w:color w:val="0D2B45"/>
          <w:sz w:val="24"/>
          <w:szCs w:val="24"/>
        </w:rPr>
        <w:t xml:space="preserve">5.4.2  Canal 2 — Triángulo de Harberger (USD 7 M/año)</w:t>
      </w:r>
    </w:p>
    <w:p>
      <w:pPr>
        <w:spacing w:after="200" w:before="0" w:line="380" w:lineRule="auto"/>
        <w:jc w:val="both"/>
      </w:pPr>
      <w:r>
        <w:rPr>
          <w:rFonts w:ascii="Arial" w:cs="Arial" w:eastAsia="Arial" w:hAnsi="Arial"/>
          <w:b w:val="false"/>
          <w:bCs w:val="false"/>
          <w:caps w:val="false"/>
          <w:color w:val="111111"/>
          <w:sz w:val="24"/>
          <w:szCs w:val="24"/>
        </w:rPr>
        <w:t xml:space="preserve">ΔP = MXN 971,000/MW-año entre precio eficiente y tarifa actual; ΔQ = 400 MW de capacidad que no se construye. DWL = ½ × 971,000 × 400 = MXN 194 M. Neto después de traslado tarifario: MXN 117 M/año.</w:t>
      </w:r>
    </w:p>
    <w:p>
      <w:pPr>
        <w:pStyle w:val="Heading3"/>
        <w:spacing w:after="140" w:before="260"/>
        <w:jc w:val="left"/>
      </w:pPr>
      <w:r>
        <w:rPr>
          <w:rFonts w:ascii="Arial" w:cs="Arial" w:eastAsia="Arial" w:hAnsi="Arial"/>
          <w:b/>
          <w:bCs/>
          <w:caps w:val="false"/>
          <w:color w:val="0D2B45"/>
          <w:sz w:val="24"/>
          <w:szCs w:val="24"/>
        </w:rPr>
        <w:t xml:space="preserve">5.4.3  Canal 3 — Externalidades de CO2 (USD 80 M/año)</w:t>
      </w:r>
    </w:p>
    <w:p>
      <w:pPr>
        <w:spacing w:after="200" w:before="0" w:line="380" w:lineRule="auto"/>
        <w:jc w:val="both"/>
      </w:pPr>
      <w:r>
        <w:rPr>
          <w:rFonts w:ascii="Arial" w:cs="Arial" w:eastAsia="Arial" w:hAnsi="Arial"/>
          <w:b w:val="false"/>
          <w:bCs w:val="false"/>
          <w:caps w:val="false"/>
          <w:color w:val="111111"/>
          <w:sz w:val="24"/>
          <w:szCs w:val="24"/>
        </w:rPr>
        <w:t xml:space="preserve">800 MW de ciclos combinados en spinning reserve a 35% de eficiencia (vs. 52% nominal). PRIMEnergeia reduce en 40% esa necesidad + permite 2.1 TWh adicionales de renovables. Total: 1 millón de tCO2/año evitadas × USD 80/tCO2 (EPA 2023) = MXN 1,426 M/año. Equivalente a retirar 215,000 automóviles permanentemente.</w:t>
      </w:r>
    </w:p>
    <w:p>
      <w:pPr>
        <w:pStyle w:val="Heading3"/>
        <w:spacing w:after="140" w:before="260"/>
        <w:jc w:val="left"/>
      </w:pPr>
      <w:r>
        <w:rPr>
          <w:rFonts w:ascii="Arial" w:cs="Arial" w:eastAsia="Arial" w:hAnsi="Arial"/>
          <w:b/>
          <w:bCs/>
          <w:caps w:val="false"/>
          <w:color w:val="0D2B45"/>
          <w:sz w:val="24"/>
          <w:szCs w:val="24"/>
        </w:rPr>
        <w:t xml:space="preserve">5.4.4  Canal 4 — Inversión inducida (USD 33 M/año)</w:t>
      </w:r>
    </w:p>
    <w:p>
      <w:pPr>
        <w:spacing w:after="200" w:before="0" w:line="380" w:lineRule="auto"/>
        <w:jc w:val="both"/>
      </w:pPr>
      <w:r>
        <w:rPr>
          <w:rFonts w:ascii="Arial" w:cs="Arial" w:eastAsia="Arial" w:hAnsi="Arial"/>
          <w:b w:val="false"/>
          <w:bCs w:val="false"/>
          <w:caps w:val="false"/>
          <w:color w:val="111111"/>
          <w:sz w:val="24"/>
          <w:szCs w:val="24"/>
        </w:rPr>
        <w:t xml:space="preserve">VAN de BESS 100 MW pasa de −USD 12.4 M a +USD 8.7 M con precio de equilibrio → 600 MW de storage inducidos → MXN 1.98 B de inversión privada × multiplicador keynesiano 1.8x (Banco Mundial, México 2022). 1,440 empleos directos e indirectos (IRENA: 2.4 empleos/MW).</w:t>
      </w:r>
    </w:p>
    <w:p>
      <w:pPr>
        <w:pStyle w:val="Heading3"/>
        <w:spacing w:after="140" w:before="260"/>
        <w:jc w:val="left"/>
      </w:pPr>
      <w:r>
        <w:rPr>
          <w:rFonts w:ascii="Arial" w:cs="Arial" w:eastAsia="Arial" w:hAnsi="Arial"/>
          <w:b/>
          <w:bCs/>
          <w:caps w:val="false"/>
          <w:color w:val="0D2B45"/>
          <w:sz w:val="24"/>
          <w:szCs w:val="24"/>
        </w:rPr>
        <w:t xml:space="preserve">5.4.5  Canal 5 — Spillovers de conocimiento (USD 9 M/año)</w:t>
      </w:r>
    </w:p>
    <w:p>
      <w:pPr>
        <w:spacing w:after="200" w:before="0" w:line="380" w:lineRule="auto"/>
        <w:jc w:val="both"/>
      </w:pPr>
      <w:r>
        <w:rPr>
          <w:rFonts w:ascii="Arial" w:cs="Arial" w:eastAsia="Arial" w:hAnsi="Arial"/>
          <w:b w:val="false"/>
          <w:bCs w:val="false"/>
          <w:caps w:val="false"/>
          <w:color w:val="111111"/>
          <w:sz w:val="24"/>
          <w:szCs w:val="24"/>
        </w:rPr>
        <w:t xml:space="preserve">Publicación de la metodología HJB-Myerson reduce asimetría de información en contratos de AGC: 35% de reducción en litigios y renegociaciones (costo actual estimado MXN 450 M/año) = MXN 158 M/año. Adopción por 3 ISOs de LatAm en 5 años genera spillover adicional.</w:t>
      </w:r>
    </w:p>
    <w:p>
      <w:pPr>
        <w:pStyle w:val="Heading3"/>
        <w:spacing w:after="140" w:before="260"/>
        <w:jc w:val="left"/>
      </w:pPr>
      <w:r>
        <w:rPr>
          <w:rFonts w:ascii="Arial" w:cs="Arial" w:eastAsia="Arial" w:hAnsi="Arial"/>
          <w:b/>
          <w:bCs/>
          <w:caps w:val="false"/>
          <w:color w:val="0D2B45"/>
          <w:sz w:val="24"/>
          <w:szCs w:val="24"/>
        </w:rPr>
        <w:t xml:space="preserve">5.4.6  Canal 6 — Estabilidad macroeconómica (USD 263 M/año — DOMINANTE)</w:t>
      </w:r>
    </w:p>
    <w:p>
      <w:pPr>
        <w:spacing w:after="200" w:before="0" w:line="380" w:lineRule="auto"/>
        <w:jc w:val="both"/>
      </w:pPr>
      <w:r>
        <w:rPr>
          <w:rFonts w:ascii="Arial" w:cs="Arial" w:eastAsia="Arial" w:hAnsi="Arial"/>
          <w:b w:val="false"/>
          <w:bCs w:val="false"/>
          <w:caps w:val="false"/>
          <w:color w:val="111111"/>
          <w:sz w:val="24"/>
          <w:szCs w:val="24"/>
        </w:rPr>
        <w:t xml:space="preserve">Efecto directo: 65% de reducción en interrupciones industriales × 0.0008% PIB/hora de interrupción × PIB sector industrial = MXN 0.12 B/año. Efecto dominante: reducción de −3 bps en CDS soberano de 5 años × deuda pública de MXN 15.2 billones = MXN 4.56 B/año de ahorro en servicio de deuda.</w:t>
      </w:r>
    </w:p>
    <w:p>
      <w:pPr>
        <w:pStyle w:val="Heading3"/>
        <w:spacing w:after="140" w:before="260"/>
        <w:jc w:val="left"/>
      </w:pPr>
      <w:r>
        <w:rPr>
          <w:rFonts w:ascii="Arial" w:cs="Arial" w:eastAsia="Arial" w:hAnsi="Arial"/>
          <w:b/>
          <w:bCs/>
          <w:caps w:val="false"/>
          <w:color w:val="0D2B45"/>
          <w:sz w:val="24"/>
          <w:szCs w:val="24"/>
        </w:rPr>
        <w:t xml:space="preserve">5.4.7  Síntesis</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700"/>
        <w:gridCol w:w="1800"/>
        <w:gridCol w:w="1200"/>
        <w:gridCol w:w="1200"/>
        <w:gridCol w:w="2460"/>
      </w:tblGrid>
      <w:tr>
        <w:trPr>
          <w:tblHeader/>
        </w:trPr>
        <w:tc>
          <w:tcPr>
            <w:tcW w:type="dxa" w:w="27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Canal</w:t>
            </w:r>
          </w:p>
        </w:tc>
        <w:tc>
          <w:tcPr>
            <w:tcW w:type="dxa" w:w="18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MXN/año</w:t>
            </w:r>
          </w:p>
        </w:tc>
        <w:tc>
          <w:tcPr>
            <w:tcW w:type="dxa" w:w="12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USD M/año</w:t>
            </w:r>
          </w:p>
        </w:tc>
        <w:tc>
          <w:tcPr>
            <w:tcW w:type="dxa" w:w="12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 PIB</w:t>
            </w:r>
          </w:p>
        </w:tc>
        <w:tc>
          <w:tcPr>
            <w:tcW w:type="dxa" w:w="24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VPN 10a (r=8%)</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C1 — ENS evitada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1,800,000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0.1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0.000006%</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MXN 12 M</w:t>
            </w:r>
          </w:p>
        </w:tc>
      </w:tr>
      <w:tr>
        <w:tc>
          <w:tcPr>
            <w:tcW w:type="dxa" w:w="27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C2 — Harberger DWL</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117,000,000</w:t>
            </w:r>
          </w:p>
        </w:tc>
        <w:tc>
          <w:tcPr>
            <w:tcW w:type="dxa" w:w="1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7</w:t>
            </w:r>
          </w:p>
        </w:tc>
        <w:tc>
          <w:tcPr>
            <w:tcW w:type="dxa" w:w="1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0.0004%</w:t>
            </w:r>
          </w:p>
        </w:tc>
        <w:tc>
          <w:tcPr>
            <w:tcW w:type="dxa" w:w="24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MXN 785 M</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C3 — CO2 ambiental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1,426,000,000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80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0.0046%</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MXN 9,567 M</w:t>
            </w:r>
          </w:p>
        </w:tc>
      </w:tr>
      <w:tr>
        <w:tc>
          <w:tcPr>
            <w:tcW w:type="dxa" w:w="27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C4 — Inversión inducida</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580,000,000</w:t>
            </w:r>
          </w:p>
        </w:tc>
        <w:tc>
          <w:tcPr>
            <w:tcW w:type="dxa" w:w="1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33</w:t>
            </w:r>
          </w:p>
        </w:tc>
        <w:tc>
          <w:tcPr>
            <w:tcW w:type="dxa" w:w="1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0.0019%</w:t>
            </w:r>
          </w:p>
        </w:tc>
        <w:tc>
          <w:tcPr>
            <w:tcW w:type="dxa" w:w="24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MXN 3,891 M</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C5 — Spillovers conocimiento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158,000,000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0.0005%</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MXN 1,060 M</w:t>
            </w:r>
          </w:p>
        </w:tc>
      </w:tr>
      <w:tr>
        <w:tc>
          <w:tcPr>
            <w:tcW w:type="dxa" w:w="27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C6 — Estabilidad macro</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4,680,000,000</w:t>
            </w:r>
          </w:p>
        </w:tc>
        <w:tc>
          <w:tcPr>
            <w:tcW w:type="dxa" w:w="1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263</w:t>
            </w:r>
          </w:p>
        </w:tc>
        <w:tc>
          <w:tcPr>
            <w:tcW w:type="dxa" w:w="1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0.0151%</w:t>
            </w:r>
          </w:p>
        </w:tc>
        <w:tc>
          <w:tcPr>
            <w:tcW w:type="dxa" w:w="24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MXN 31,390 M</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aps w:val="false"/>
                <w:color w:val="111111"/>
                <w:sz w:val="19"/>
                <w:szCs w:val="19"/>
              </w:rPr>
              <w:t xml:space="preserve">TOTAL MÉXICO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6,961,000,000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391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0.0225%</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MXN 46,705 M</w:t>
            </w:r>
          </w:p>
        </w:tc>
      </w:tr>
      <w:tr>
        <w:tc>
          <w:tcPr>
            <w:tcW w:type="dxa" w:w="27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Spillover LatAm (3 ISOs, año 3+)</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2,228,000,000</w:t>
            </w:r>
          </w:p>
        </w:tc>
        <w:tc>
          <w:tcPr>
            <w:tcW w:type="dxa" w:w="1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125</w:t>
            </w:r>
          </w:p>
        </w:tc>
        <w:tc>
          <w:tcPr>
            <w:tcW w:type="dxa" w:w="1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w:t>
            </w:r>
          </w:p>
        </w:tc>
        <w:tc>
          <w:tcPr>
            <w:tcW w:type="dxa" w:w="24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MXN 10,969 M</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VPN TOTAL MX + LatAm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MXN 57,674 M / USD 3.24 B</w:t>
            </w:r>
          </w:p>
        </w:tc>
      </w:tr>
    </w:tbl>
    <w:p>
      <w:pPr>
        <w:spacing w:after="320" w:before="80" w:line="380" w:lineRule="auto"/>
        <w:jc w:val="center"/>
      </w:pPr>
      <w:r>
        <w:rPr>
          <w:rFonts w:ascii="Arial" w:cs="Arial" w:eastAsia="Arial" w:hAnsi="Arial"/>
          <w:b w:val="false"/>
          <w:bCs w:val="false"/>
          <w:caps w:val="false"/>
          <w:color w:val="999999"/>
          <w:sz w:val="19"/>
          <w:szCs w:val="19"/>
        </w:rPr>
        <w:t xml:space="preserve">Tabla 5.3: Bienestar social — seis canales, criterio Kaldor-Hicks, tasa de descuento social 8% (SHCP/Banobras).</w:t>
      </w:r>
    </w:p>
    <w:p>
      <w:pPr>
        <w:pStyle w:val="Heading3"/>
        <w:spacing w:after="140" w:before="260"/>
        <w:jc w:val="left"/>
      </w:pPr>
      <w:r>
        <w:rPr>
          <w:rFonts w:ascii="Arial" w:cs="Arial" w:eastAsia="Arial" w:hAnsi="Arial"/>
          <w:b/>
          <w:bCs/>
          <w:caps w:val="false"/>
          <w:color w:val="0D2B45"/>
          <w:sz w:val="24"/>
          <w:szCs w:val="24"/>
        </w:rPr>
        <w:t xml:space="preserve">5.4.8  Distribución del Bienestar</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760"/>
        <w:gridCol w:w="2760"/>
        <w:gridCol w:w="2840"/>
      </w:tblGrid>
      <w:tr>
        <w:trPr>
          <w:tblHeader/>
        </w:trPr>
        <w:tc>
          <w:tcPr>
            <w:tcW w:type="dxa" w:w="27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Agente</w:t>
            </w:r>
          </w:p>
        </w:tc>
        <w:tc>
          <w:tcPr>
            <w:tcW w:type="dxa" w:w="27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Beneficio/Costo neto anual</w:t>
            </w:r>
          </w:p>
        </w:tc>
        <w:tc>
          <w:tcPr>
            <w:tcW w:type="dxa" w:w="284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Nota</w:t>
            </w:r>
          </w:p>
        </w:tc>
      </w:tr>
      <w:tr>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Estado mexicano (ahorro fiscal + spillovers)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+MXN 4,718 M/año</w:t>
            </w:r>
          </w:p>
        </w:tc>
        <w:tc>
          <w:tcPr>
            <w:tcW w:type="dxa" w:w="2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Canal 6 dominante</w:t>
            </w:r>
          </w:p>
        </w:tc>
      </w:tr>
      <w:tr>
        <w:tc>
          <w:tcPr>
            <w:tcW w:type="dxa" w:w="27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PRIMEnergeia (EBITDA operativo)</w:t>
            </w:r>
          </w:p>
        </w:tc>
        <w:tc>
          <w:tcPr>
            <w:tcW w:type="dxa" w:w="27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+MXN 3,130 M/año</w:t>
            </w:r>
          </w:p>
        </w:tc>
        <w:tc>
          <w:tcPr>
            <w:tcW w:type="dxa" w:w="28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45% margen sobre MXN 6.96 B ingreso</w:t>
            </w:r>
          </w:p>
        </w:tc>
      </w:tr>
      <w:tr>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Medio ambiente (externalidad CO2)</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+MXN 1,426 M/año</w:t>
            </w:r>
          </w:p>
        </w:tc>
        <w:tc>
          <w:tcPr>
            <w:tcW w:type="dxa" w:w="2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 Mt CO2 evitado anualmente</w:t>
            </w:r>
          </w:p>
        </w:tc>
      </w:tr>
      <w:tr>
        <w:tc>
          <w:tcPr>
            <w:tcW w:type="dxa" w:w="27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Nuevos proveedores de regulación</w:t>
            </w:r>
          </w:p>
        </w:tc>
        <w:tc>
          <w:tcPr>
            <w:tcW w:type="dxa" w:w="27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+MXN 155 M/año</w:t>
            </w:r>
          </w:p>
        </w:tc>
        <w:tc>
          <w:tcPr>
            <w:tcW w:type="dxa" w:w="28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Mercado que se abre (400 MW nuevos)</w:t>
            </w:r>
          </w:p>
        </w:tc>
      </w:tr>
      <w:tr>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Consumidores industriales/residenciales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+MXN 120 M/año</w:t>
            </w:r>
          </w:p>
        </w:tc>
        <w:tc>
          <w:tcPr>
            <w:tcW w:type="dxa" w:w="2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ENS + estabilidad de suministro</w:t>
            </w:r>
          </w:p>
        </w:tc>
      </w:tr>
      <w:tr>
        <w:tc>
          <w:tcPr>
            <w:tcW w:type="dxa" w:w="27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Usuarios finales de electricidad</w:t>
            </w:r>
          </w:p>
        </w:tc>
        <w:tc>
          <w:tcPr>
            <w:tcW w:type="dxa" w:w="27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−MXN 311 M/año</w:t>
            </w:r>
          </w:p>
        </w:tc>
        <w:tc>
          <w:tcPr>
            <w:tcW w:type="dxa" w:w="28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+MXN 0.89 centavos/kWh (0.32%)</w:t>
            </w:r>
          </w:p>
        </w:tc>
      </w:tr>
      <w:tr>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RATIO BENEFICIO/COSTO</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22.4x</w:t>
            </w:r>
          </w:p>
        </w:tc>
        <w:tc>
          <w:tcPr>
            <w:tcW w:type="dxa" w:w="2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Por cada MXN 1 de traslado tarifario</w:t>
            </w:r>
          </w:p>
        </w:tc>
      </w:tr>
    </w:tbl>
    <w:p>
      <w:pPr>
        <w:spacing w:after="320" w:before="80" w:line="380" w:lineRule="auto"/>
        <w:jc w:val="center"/>
      </w:pPr>
      <w:r>
        <w:rPr>
          <w:rFonts w:ascii="Arial" w:cs="Arial" w:eastAsia="Arial" w:hAnsi="Arial"/>
          <w:b w:val="false"/>
          <w:bCs w:val="false"/>
          <w:caps w:val="false"/>
          <w:color w:val="999999"/>
          <w:sz w:val="19"/>
          <w:szCs w:val="19"/>
        </w:rPr>
        <w:t xml:space="preserve">Tabla 5.4: Distribución del bienestar social. El único perdedor neto son los usuarios finales de electricidad (+0.32% en tarifa).</w:t>
      </w:r>
    </w:p>
    <w:p>
      <w:pPr>
        <w:pStyle w:val="Heading2"/>
        <w:spacing w:after="200" w:before="400"/>
        <w:jc w:val="left"/>
      </w:pPr>
      <w:r>
        <w:rPr>
          <w:rFonts w:ascii="Arial" w:cs="Arial" w:eastAsia="Arial" w:hAnsi="Arial"/>
          <w:b/>
          <w:bCs/>
          <w:caps w:val="false"/>
          <w:color w:val="0F6E56"/>
          <w:sz w:val="27"/>
          <w:szCs w:val="27"/>
        </w:rPr>
        <w:t xml:space="preserve">5.5  Implicaciones para Política Regulatoria</w:t>
      </w:r>
    </w:p>
    <w:p>
      <w:pPr>
        <w:spacing w:after="200" w:before="0" w:line="380" w:lineRule="auto"/>
        <w:jc w:val="both"/>
      </w:pPr>
      <w:r>
        <w:rPr>
          <w:rFonts w:ascii="Arial" w:cs="Arial" w:eastAsia="Arial" w:hAnsi="Arial"/>
          <w:b w:val="false"/>
          <w:bCs w:val="false"/>
          <w:caps w:val="false"/>
          <w:color w:val="111111"/>
          <w:sz w:val="24"/>
          <w:szCs w:val="24"/>
        </w:rPr>
        <w:t xml:space="preserve">Tres recomendaciones graduadas por facilidad de implementación. Primera: la CRE debe fijar el precio de reserva de Myerson r* = MXN 1.9 M/MW-año vía resolución —acción posible bajo el artículo 52, LIE, sin reforma legislativa— generando un aumento del 33.4% sobre la tarifa actual. Segunda: CENACE debe publicar los parámetros OU calibrados antes de cada subasta mensual (Linkage Principle), ahorrando MXN 95,000/MW-año adicionales sin costo regulatorio. Tercera: en el horizonte 2028, CENACE debe transitar al mecanismo VCG de segundo precio con revelación, generando el ahorro adicional de MXN 2.3 B en el contrato de 10 años.</w:t>
      </w:r>
    </w:p>
    <w:p>
      <w:pPr>
        <w:spacing w:after="0" w:before="0"/>
      </w:pPr>
      <w:r>
        <w:br/>
      </w:r>
    </w:p>
    <w:p>
      <w:pPr>
        <w:pStyle w:val="Heading1"/>
        <w:spacing w:after="280" w:before="600"/>
        <w:jc w:val="left"/>
      </w:pPr>
      <w:r>
        <w:rPr>
          <w:rFonts w:ascii="Arial" w:cs="Arial" w:eastAsia="Arial" w:hAnsi="Arial"/>
          <w:b/>
          <w:bCs/>
          <w:caps w:val="false"/>
          <w:color w:val="0D2B45"/>
          <w:sz w:val="34"/>
          <w:szCs w:val="34"/>
        </w:rPr>
        <w:t xml:space="preserve">Capítulo 6  Expansión a América Latina — Lévy, Heston y OU Vectorial</w:t>
      </w:r>
    </w:p>
    <w:p>
      <w:pPr>
        <w:pStyle w:val="Heading2"/>
        <w:spacing w:after="200" w:before="400"/>
        <w:jc w:val="left"/>
      </w:pPr>
      <w:r>
        <w:rPr>
          <w:rFonts w:ascii="Arial" w:cs="Arial" w:eastAsia="Arial" w:hAnsi="Arial"/>
          <w:b/>
          <w:bCs/>
          <w:caps w:val="false"/>
          <w:color w:val="0F6E56"/>
          <w:sz w:val="27"/>
          <w:szCs w:val="27"/>
        </w:rPr>
        <w:t xml:space="preserve">6.1  Estrategia de Expansión</w:t>
      </w:r>
    </w:p>
    <w:p>
      <w:pPr>
        <w:spacing w:after="200" w:before="0" w:line="380" w:lineRule="auto"/>
        <w:jc w:val="both"/>
      </w:pPr>
      <w:r>
        <w:rPr>
          <w:rFonts w:ascii="Arial" w:cs="Arial" w:eastAsia="Arial" w:hAnsi="Arial"/>
          <w:b w:val="false"/>
          <w:bCs w:val="false"/>
          <w:caps w:val="false"/>
          <w:color w:val="111111"/>
          <w:sz w:val="24"/>
          <w:szCs w:val="24"/>
        </w:rPr>
        <w:t xml:space="preserve">El marco HJB-Myerson es transferible a cualquier sistema de potencia interconectado donde la frecuencia siga un proceso de difusión. Lo que varía entre mercados son los parámetros del modelo y la forma funcional del proceso. Este capítulo calibra el marco para Colombia (XM), Chile (CEN) y Brasil (ONS) —los tres mercados latinoamericanos de mayor prioridad— y proyecta USD 277 M anuales de ingresos adicionales para la plataforma regional.</w:t>
      </w:r>
    </w:p>
    <w:p>
      <w:pPr>
        <w:pStyle w:val="Heading2"/>
        <w:spacing w:after="200" w:before="400"/>
        <w:jc w:val="left"/>
      </w:pPr>
      <w:r>
        <w:rPr>
          <w:rFonts w:ascii="Arial" w:cs="Arial" w:eastAsia="Arial" w:hAnsi="Arial"/>
          <w:b/>
          <w:bCs/>
          <w:caps w:val="false"/>
          <w:color w:val="0F6E56"/>
          <w:sz w:val="27"/>
          <w:szCs w:val="27"/>
        </w:rPr>
        <w:t xml:space="preserve">6.2  Colombia XM — El Proceso de Lévy con Saltos Hidrológicos</w:t>
      </w:r>
    </w:p>
    <w:p>
      <w:pPr>
        <w:pStyle w:val="Heading3"/>
        <w:spacing w:after="140" w:before="260"/>
        <w:jc w:val="left"/>
      </w:pPr>
      <w:r>
        <w:rPr>
          <w:rFonts w:ascii="Arial" w:cs="Arial" w:eastAsia="Arial" w:hAnsi="Arial"/>
          <w:b/>
          <w:bCs/>
          <w:caps w:val="false"/>
          <w:color w:val="0D2B45"/>
          <w:sz w:val="24"/>
          <w:szCs w:val="24"/>
        </w:rPr>
        <w:t xml:space="preserve">6.2.1  Estructura del Mercado</w:t>
      </w:r>
    </w:p>
    <w:p>
      <w:pPr>
        <w:spacing w:after="200" w:before="0" w:line="380" w:lineRule="auto"/>
        <w:jc w:val="both"/>
      </w:pPr>
      <w:r>
        <w:rPr>
          <w:rFonts w:ascii="Arial" w:cs="Arial" w:eastAsia="Arial" w:hAnsi="Arial"/>
          <w:b w:val="false"/>
          <w:bCs w:val="false"/>
          <w:caps w:val="false"/>
          <w:color w:val="111111"/>
          <w:sz w:val="24"/>
          <w:szCs w:val="24"/>
        </w:rPr>
        <w:t xml:space="preserve">XM administra el SIN colombiano de 17,800 MW con 70.4% de generación hidroeléctrica. Los embalses —determinados por el ciclo ENSO— son la fuente principal de ambigüedad de modelo: durante El Niño severo, las desconexiones de hidroeléctricas por vaciado generan saltos discretos en la frecuencia que el proceso OU gaussiano no puede capturar.</w:t>
      </w:r>
    </w:p>
    <w:p>
      <w:pPr>
        <w:pStyle w:val="Heading3"/>
        <w:spacing w:after="140" w:before="260"/>
        <w:jc w:val="left"/>
      </w:pPr>
      <w:r>
        <w:rPr>
          <w:rFonts w:ascii="Arial" w:cs="Arial" w:eastAsia="Arial" w:hAnsi="Arial"/>
          <w:b/>
          <w:bCs/>
          <w:caps w:val="false"/>
          <w:color w:val="0D2B45"/>
          <w:sz w:val="24"/>
          <w:szCs w:val="24"/>
        </w:rPr>
        <w:t xml:space="preserve">6.2.2  El Proceso de Lévy</w:t>
      </w:r>
    </w:p>
    <w:p>
      <w:pPr>
        <w:spacing w:after="220" w:before="220"/>
        <w:jc w:val="center"/>
      </w:pPr>
      <w:r>
        <w:rPr>
          <w:rFonts w:ascii="Cambria Math" w:cs="Cambria Math" w:eastAsia="Cambria Math" w:hAnsi="Cambria Math"/>
          <w:color w:val="0D2B45"/>
          <w:sz w:val="22"/>
          <w:szCs w:val="22"/>
        </w:rPr>
        <w:t xml:space="preserve">d(Δf)  =  κ_COL(μ_COL − Δf) dt  +  σ_COL dW_t  +  J_t · dN_t</w:t>
      </w:r>
    </w:p>
    <w:p>
      <w:pPr>
        <w:spacing w:after="200" w:before="0" w:line="380" w:lineRule="auto"/>
        <w:jc w:val="both"/>
      </w:pPr>
      <w:r>
        <w:rPr>
          <w:rFonts w:ascii="Arial" w:cs="Arial" w:eastAsia="Arial" w:hAnsi="Arial"/>
          <w:b w:val="false"/>
          <w:bCs w:val="false"/>
          <w:caps w:val="false"/>
          <w:color w:val="111111"/>
          <w:sz w:val="24"/>
          <w:szCs w:val="24"/>
        </w:rPr>
        <w:t xml:space="preserve">donde N_t es un proceso de Poisson con tasa λ_ENSO = 2.8 eventos/año y J_t ~ N(−0.087, 0.042²) Hz es la amplitud del salto hidrológico. Parámetros calibrados sobre datos XM 2010-2024:</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1800"/>
        <w:gridCol w:w="1800"/>
        <w:gridCol w:w="3360"/>
      </w:tblGrid>
      <w:tr>
        <w:trPr>
          <w:tblHeader/>
        </w:trPr>
        <w:tc>
          <w:tcPr>
            <w:tcW w:type="dxa" w:w="24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Parámetro</w:t>
            </w:r>
          </w:p>
        </w:tc>
        <w:tc>
          <w:tcPr>
            <w:tcW w:type="dxa" w:w="18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Colombia XM</w:t>
            </w:r>
          </w:p>
        </w:tc>
        <w:tc>
          <w:tcPr>
            <w:tcW w:type="dxa" w:w="18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México CENACE</w:t>
            </w:r>
          </w:p>
        </w:tc>
        <w:tc>
          <w:tcPr>
            <w:tcW w:type="dxa" w:w="33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Interpretación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κ (s⁻¹)</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11.23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8.341</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Mayor inercia hidroeléctrica</w:t>
            </w:r>
          </w:p>
        </w:tc>
      </w:tr>
      <w:tr>
        <w:tc>
          <w:tcPr>
            <w:tcW w:type="dxa" w:w="2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σ_OU (Hz/√s)</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0.01201</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0.01483</w:t>
            </w:r>
          </w:p>
        </w:tc>
        <w:tc>
          <w:tcPr>
            <w:tcW w:type="dxa" w:w="33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Menor ruido base sin eólico masivo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λ_ENSO (eventos/año)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N/A</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Frecuencia de saltos hidrológicos</w:t>
            </w:r>
          </w:p>
        </w:tc>
      </w:tr>
      <w:tr>
        <w:tc>
          <w:tcPr>
            <w:tcW w:type="dxa" w:w="2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μ_J (Hz por salto)</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−0.087</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N/A</w:t>
            </w:r>
          </w:p>
        </w:tc>
        <w:tc>
          <w:tcPr>
            <w:tcW w:type="dxa" w:w="33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Amplitud media del salto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α (valor común)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0.61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0.35</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Alta — todos dependen del mismo ENSO</w:t>
            </w:r>
          </w:p>
        </w:tc>
      </w:tr>
      <w:tr>
        <w:tc>
          <w:tcPr>
            <w:tcW w:type="dxa" w:w="2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V_HJB (MXN/MW-año equiv.)</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1,847,000</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2,395,000</w:t>
            </w:r>
          </w:p>
        </w:tc>
        <w:tc>
          <w:tcPr>
            <w:tcW w:type="dxa" w:w="33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25% menor σ base</w:t>
            </w:r>
          </w:p>
        </w:tc>
      </w:tr>
    </w:tbl>
    <w:p>
      <w:pPr>
        <w:spacing w:after="320" w:before="80" w:line="380" w:lineRule="auto"/>
        <w:jc w:val="center"/>
      </w:pPr>
      <w:r>
        <w:rPr>
          <w:rFonts w:ascii="Arial" w:cs="Arial" w:eastAsia="Arial" w:hAnsi="Arial"/>
          <w:b w:val="false"/>
          <w:bCs w:val="false"/>
          <w:caps w:val="false"/>
          <w:color w:val="999999"/>
          <w:sz w:val="19"/>
          <w:szCs w:val="19"/>
        </w:rPr>
        <w:t xml:space="preserve">Tabla 6.1: Parámetros Colombia XM vs. México CENACE. La componente de valor común α = 0.61 hace el Linkage Principle especialmente valioso: publicar el índice ENSO corriente reduce el costo de la subasta en un 18% adicional.</w:t>
      </w:r>
    </w:p>
    <w:p>
      <w:pPr>
        <w:pStyle w:val="Heading3"/>
        <w:spacing w:after="140" w:before="260"/>
        <w:jc w:val="left"/>
      </w:pPr>
      <w:r>
        <w:rPr>
          <w:rFonts w:ascii="Arial" w:cs="Arial" w:eastAsia="Arial" w:hAnsi="Arial"/>
          <w:b/>
          <w:bCs/>
          <w:caps w:val="false"/>
          <w:color w:val="0D2B45"/>
          <w:sz w:val="24"/>
          <w:szCs w:val="24"/>
        </w:rPr>
        <w:t xml:space="preserve">6.2.3  Proyección de Ingresos Colombia</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1200"/>
        <w:gridCol w:w="2000"/>
        <w:gridCol w:w="2000"/>
        <w:gridCol w:w="2360"/>
      </w:tblGrid>
      <w:tr>
        <w:trPr>
          <w:tblHeader/>
        </w:trPr>
        <w:tc>
          <w:tcPr>
            <w:tcW w:type="dxa" w:w="18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Escenario</w:t>
            </w:r>
          </w:p>
        </w:tc>
        <w:tc>
          <w:tcPr>
            <w:tcW w:type="dxa" w:w="12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MW</w:t>
            </w:r>
          </w:p>
        </w:tc>
        <w:tc>
          <w:tcPr>
            <w:tcW w:type="dxa" w:w="20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Precio USD/MW-año</w:t>
            </w:r>
          </w:p>
        </w:tc>
        <w:tc>
          <w:tcPr>
            <w:tcW w:type="dxa" w:w="20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Ingreso anual</w:t>
            </w:r>
          </w:p>
        </w:tc>
        <w:tc>
          <w:tcPr>
            <w:tcW w:type="dxa" w:w="23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Inicio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Conservador (AGC solo)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400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103,600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USD 41.4 M</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2029</w:t>
            </w:r>
          </w:p>
        </w:tc>
      </w:tr>
      <w:tr>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Base (bundle 3 servicios)</w:t>
            </w:r>
          </w:p>
        </w:tc>
        <w:tc>
          <w:tcPr>
            <w:tcW w:type="dxa" w:w="1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600</w:t>
            </w:r>
          </w:p>
        </w:tc>
        <w:tc>
          <w:tcPr>
            <w:tcW w:type="dxa" w:w="20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148,900</w:t>
            </w:r>
          </w:p>
        </w:tc>
        <w:tc>
          <w:tcPr>
            <w:tcW w:type="dxa" w:w="20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USD 89.3 M</w:t>
            </w:r>
          </w:p>
        </w:tc>
        <w:tc>
          <w:tcPr>
            <w:tcW w:type="dxa" w:w="23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2029-2030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Optimista (bundle + ENSO premium)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800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171,200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USD 136.9 M</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2030</w:t>
            </w:r>
          </w:p>
        </w:tc>
      </w:tr>
    </w:tbl>
    <w:p>
      <w:pPr>
        <w:pStyle w:val="Heading2"/>
        <w:spacing w:after="200" w:before="400"/>
        <w:jc w:val="left"/>
      </w:pPr>
      <w:r>
        <w:rPr>
          <w:rFonts w:ascii="Arial" w:cs="Arial" w:eastAsia="Arial" w:hAnsi="Arial"/>
          <w:b/>
          <w:bCs/>
          <w:caps w:val="false"/>
          <w:color w:val="0F6E56"/>
          <w:sz w:val="27"/>
          <w:szCs w:val="27"/>
        </w:rPr>
        <w:t xml:space="preserve">6.3  Chile CEN — El Modelo de Heston con Volatilidad Estocástica</w:t>
      </w:r>
    </w:p>
    <w:p>
      <w:pPr>
        <w:pStyle w:val="Heading3"/>
        <w:spacing w:after="140" w:before="260"/>
        <w:jc w:val="left"/>
      </w:pPr>
      <w:r>
        <w:rPr>
          <w:rFonts w:ascii="Arial" w:cs="Arial" w:eastAsia="Arial" w:hAnsi="Arial"/>
          <w:b/>
          <w:bCs/>
          <w:caps w:val="false"/>
          <w:color w:val="0D2B45"/>
          <w:sz w:val="24"/>
          <w:szCs w:val="24"/>
        </w:rPr>
        <w:t xml:space="preserve">6.3.1  El Sistema Eléctrico Nacional</w:t>
      </w:r>
    </w:p>
    <w:p>
      <w:pPr>
        <w:spacing w:after="200" w:before="0" w:line="380" w:lineRule="auto"/>
        <w:jc w:val="both"/>
      </w:pPr>
      <w:r>
        <w:rPr>
          <w:rFonts w:ascii="Arial" w:cs="Arial" w:eastAsia="Arial" w:hAnsi="Arial"/>
          <w:b w:val="false"/>
          <w:bCs w:val="false"/>
          <w:caps w:val="false"/>
          <w:color w:val="111111"/>
          <w:sz w:val="24"/>
          <w:szCs w:val="24"/>
        </w:rPr>
        <w:t xml:space="preserve">El CEN administra 28,600 MW con &gt;40% de solar concentrado en el norte (Atacama, Antofagasta) mientras el 68% de la demanda está en la Región Metropolitana. Las rampas solares matutinas (6am-10am) y vespertinas (4pm-7pm) generan volatilidad de frecuencia intradiaria estructuralmente distinta a México o Colombia.</w:t>
      </w:r>
    </w:p>
    <w:p>
      <w:pPr>
        <w:pStyle w:val="Heading3"/>
        <w:spacing w:after="140" w:before="260"/>
        <w:jc w:val="left"/>
      </w:pPr>
      <w:r>
        <w:rPr>
          <w:rFonts w:ascii="Arial" w:cs="Arial" w:eastAsia="Arial" w:hAnsi="Arial"/>
          <w:b/>
          <w:bCs/>
          <w:caps w:val="false"/>
          <w:color w:val="0D2B45"/>
          <w:sz w:val="24"/>
          <w:szCs w:val="24"/>
        </w:rPr>
        <w:t xml:space="preserve">6.3.2  El Modelo de Heston Adaptado</w:t>
      </w:r>
    </w:p>
    <w:p>
      <w:pPr>
        <w:spacing w:after="220" w:before="220"/>
        <w:jc w:val="center"/>
      </w:pPr>
      <w:r>
        <w:rPr>
          <w:rFonts w:ascii="Cambria Math" w:cs="Cambria Math" w:eastAsia="Cambria Math" w:hAnsi="Cambria Math"/>
          <w:color w:val="0D2B45"/>
          <w:sz w:val="22"/>
          <w:szCs w:val="22"/>
        </w:rPr>
        <w:t xml:space="preserve">d(Δf)  =  κ_f(μ_f − Δf) dt  +  √V_t · dW_f</w:t>
      </w:r>
    </w:p>
    <w:p>
      <w:pPr>
        <w:spacing w:after="220" w:before="220"/>
        <w:jc w:val="center"/>
      </w:pPr>
      <w:r>
        <w:rPr>
          <w:rFonts w:ascii="Cambria Math" w:cs="Cambria Math" w:eastAsia="Cambria Math" w:hAnsi="Cambria Math"/>
          <w:color w:val="0D2B45"/>
          <w:sz w:val="22"/>
          <w:szCs w:val="22"/>
        </w:rPr>
        <w:t xml:space="preserve">dV_t   =  κ_V(θ(t) − V_t) dt  +  ξ√V_t · dW_V ,    dW_f·dW_V = ρ dt</w:t>
      </w:r>
    </w:p>
    <w:p>
      <w:pPr>
        <w:spacing w:after="200" w:before="0" w:line="380" w:lineRule="auto"/>
        <w:jc w:val="both"/>
      </w:pPr>
      <w:r>
        <w:rPr>
          <w:rFonts w:ascii="Arial" w:cs="Arial" w:eastAsia="Arial" w:hAnsi="Arial"/>
          <w:b w:val="false"/>
          <w:bCs w:val="false"/>
          <w:caps w:val="false"/>
          <w:color w:val="111111"/>
          <w:sz w:val="24"/>
          <w:szCs w:val="24"/>
        </w:rPr>
        <w:t xml:space="preserve">donde V_t es la varianza instantánea y θ(t) es la varianza media de largo plazo que varía deterministicamente con la hora del día (perfil solar).</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Parámetro</w:t>
            </w:r>
          </w:p>
        </w:tc>
        <w:tc>
          <w:tcPr>
            <w:tcW w:type="dxa" w:w="24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Chile CEN</w:t>
            </w:r>
          </w:p>
        </w:tc>
        <w:tc>
          <w:tcPr>
            <w:tcW w:type="dxa" w:w="45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Nota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κ_f (s⁻¹)</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12.84</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Mayor hidro de respuesta rápida</w:t>
            </w:r>
          </w:p>
        </w:tc>
      </w:tr>
      <w:tr>
        <w:tc>
          <w:tcPr>
            <w:tcW w:type="dxa" w:w="2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σ_f horas pico solar (Hz/√s)</w:t>
            </w:r>
          </w:p>
        </w:tc>
        <w:tc>
          <w:tcPr>
            <w:tcW w:type="dxa" w:w="2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0.02341</w:t>
            </w:r>
          </w:p>
        </w:tc>
        <w:tc>
          <w:tcPr>
            <w:tcW w:type="dxa" w:w="45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58% mayor que México — máxima variabilidad registrada en el continente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σ_f horas nocturnas (Hz/√s)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0.00912</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Menor que México — más estable de noche</w:t>
            </w:r>
          </w:p>
        </w:tc>
      </w:tr>
      <w:tr>
        <w:tc>
          <w:tcPr>
            <w:tcW w:type="dxa" w:w="2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κ_V (h⁻¹)</w:t>
            </w:r>
          </w:p>
        </w:tc>
        <w:tc>
          <w:tcPr>
            <w:tcW w:type="dxa" w:w="2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3.21</w:t>
            </w:r>
          </w:p>
        </w:tc>
        <w:tc>
          <w:tcPr>
            <w:tcW w:type="dxa" w:w="45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Vida media de la varianza: ~13 minutos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ξ (vol de vol)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0.847</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Alta — rampas solares generan shocks de varianza</w:t>
            </w:r>
          </w:p>
        </w:tc>
      </w:tr>
      <w:tr>
        <w:tc>
          <w:tcPr>
            <w:tcW w:type="dxa" w:w="2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ρ (corr. freq-varianza)</w:t>
            </w:r>
          </w:p>
        </w:tc>
        <w:tc>
          <w:tcPr>
            <w:tcW w:type="dxa" w:w="2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−0.43</w:t>
            </w:r>
          </w:p>
        </w:tc>
        <w:tc>
          <w:tcPr>
            <w:tcW w:type="dxa" w:w="45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Negativa: ↑ varianza → ↓ frecuencia (curtailment)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α (valor común)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0.52</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Alto — perfil solar es common knowledge</w:t>
            </w:r>
          </w:p>
        </w:tc>
      </w:tr>
    </w:tbl>
    <w:p>
      <w:pPr>
        <w:spacing w:after="320" w:before="80" w:line="380" w:lineRule="auto"/>
        <w:jc w:val="center"/>
      </w:pPr>
      <w:r>
        <w:rPr>
          <w:rFonts w:ascii="Arial" w:cs="Arial" w:eastAsia="Arial" w:hAnsi="Arial"/>
          <w:b w:val="false"/>
          <w:bCs w:val="false"/>
          <w:caps w:val="false"/>
          <w:color w:val="999999"/>
          <w:sz w:val="19"/>
          <w:szCs w:val="19"/>
        </w:rPr>
        <w:t xml:space="preserve">Tabla 6.2: Parámetros del modelo Heston adaptado para el SEN Chile.</w:t>
      </w:r>
    </w:p>
    <w:p>
      <w:pPr>
        <w:spacing w:after="200" w:before="0" w:line="380" w:lineRule="auto"/>
        <w:jc w:val="both"/>
      </w:pPr>
      <w:r>
        <w:rPr>
          <w:rFonts w:ascii="Arial" w:cs="Arial" w:eastAsia="Arial" w:hAnsi="Arial"/>
          <w:b w:val="false"/>
          <w:bCs w:val="false"/>
          <w:caps w:val="false"/>
          <w:color w:val="111111"/>
          <w:sz w:val="24"/>
          <w:szCs w:val="24"/>
        </w:rPr>
        <w:t xml:space="preserve">El precio del contrato de regulación tiene estructura intradiaria: V_HJB_dia = USD 178,400/MW-año (horas de alta solar) vs. V_HJB_noche = USD 67,200/MW-año (horas nocturnas). Un contrato de precio plano (USD 102,800/MW-año) está subvalorado en USD 20,000/MW-año por no capturar la estructura temporal de la volatilidad.</w:t>
      </w:r>
    </w:p>
    <w:p>
      <w:pPr>
        <w:pStyle w:val="Heading3"/>
        <w:spacing w:after="140" w:before="260"/>
        <w:jc w:val="left"/>
      </w:pPr>
      <w:r>
        <w:rPr>
          <w:rFonts w:ascii="Arial" w:cs="Arial" w:eastAsia="Arial" w:hAnsi="Arial"/>
          <w:b/>
          <w:bCs/>
          <w:caps w:val="false"/>
          <w:color w:val="0D2B45"/>
          <w:sz w:val="24"/>
          <w:szCs w:val="24"/>
        </w:rPr>
        <w:t xml:space="preserve">6.3.3  Proyección de Ingresos Chile</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1200"/>
        <w:gridCol w:w="2000"/>
        <w:gridCol w:w="2000"/>
        <w:gridCol w:w="2360"/>
      </w:tblGrid>
      <w:tr>
        <w:trPr>
          <w:tblHeader/>
        </w:trPr>
        <w:tc>
          <w:tcPr>
            <w:tcW w:type="dxa" w:w="18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Escenario</w:t>
            </w:r>
          </w:p>
        </w:tc>
        <w:tc>
          <w:tcPr>
            <w:tcW w:type="dxa" w:w="12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MW</w:t>
            </w:r>
          </w:p>
        </w:tc>
        <w:tc>
          <w:tcPr>
            <w:tcW w:type="dxa" w:w="20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Precio USD/MW-año</w:t>
            </w:r>
          </w:p>
        </w:tc>
        <w:tc>
          <w:tcPr>
            <w:tcW w:type="dxa" w:w="20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Ingreso anual</w:t>
            </w:r>
          </w:p>
        </w:tc>
        <w:tc>
          <w:tcPr>
            <w:tcW w:type="dxa" w:w="23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Inicio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Conservador (contrato plano, AGC)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300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102,800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USD 30.8 M</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2030</w:t>
            </w:r>
          </w:p>
        </w:tc>
      </w:tr>
      <w:tr>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Base (contrato diferenciado temporal)</w:t>
            </w:r>
          </w:p>
        </w:tc>
        <w:tc>
          <w:tcPr>
            <w:tcW w:type="dxa" w:w="1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500</w:t>
            </w:r>
          </w:p>
        </w:tc>
        <w:tc>
          <w:tcPr>
            <w:tcW w:type="dxa" w:w="20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122,800</w:t>
            </w:r>
          </w:p>
        </w:tc>
        <w:tc>
          <w:tcPr>
            <w:tcW w:type="dxa" w:w="20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USD 61.4 M</w:t>
            </w:r>
          </w:p>
        </w:tc>
        <w:tc>
          <w:tcPr>
            <w:tcW w:type="dxa" w:w="23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2030-2031</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Optimista (bundle intradiario)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700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167,300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USD 117.1 M</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2031</w:t>
            </w:r>
          </w:p>
        </w:tc>
      </w:tr>
    </w:tbl>
    <w:p>
      <w:pPr>
        <w:pStyle w:val="Heading2"/>
        <w:spacing w:after="200" w:before="400"/>
        <w:jc w:val="left"/>
      </w:pPr>
      <w:r>
        <w:rPr>
          <w:rFonts w:ascii="Arial" w:cs="Arial" w:eastAsia="Arial" w:hAnsi="Arial"/>
          <w:b/>
          <w:bCs/>
          <w:caps w:val="false"/>
          <w:color w:val="0F6E56"/>
          <w:sz w:val="27"/>
          <w:szCs w:val="27"/>
        </w:rPr>
        <w:t xml:space="preserve">6.4  Brasil ONS — OU Vectorial de Cinco Subsistemas</w:t>
      </w:r>
    </w:p>
    <w:p>
      <w:pPr>
        <w:spacing w:after="200" w:before="0" w:line="380" w:lineRule="auto"/>
        <w:jc w:val="both"/>
      </w:pPr>
      <w:r>
        <w:rPr>
          <w:rFonts w:ascii="Arial" w:cs="Arial" w:eastAsia="Arial" w:hAnsi="Arial"/>
          <w:b w:val="false"/>
          <w:bCs w:val="false"/>
          <w:caps w:val="false"/>
          <w:color w:val="111111"/>
          <w:sz w:val="24"/>
          <w:szCs w:val="24"/>
        </w:rPr>
        <w:t xml:space="preserve">El ONS administra 175 GW en cinco subsistemas (Norte, Nordeste, Centro-Oeste/Sudeste/Sul, Sul, Nordeste Isolado). El modelo correcto es el OU vectorial de dimensión n = 5 del Capítulo 1, con espacio de estado de dimensión 10 para la HJB. La estrategia de entrada es vía licencia del solucionador HJB a Eletrobras (privatizada en 2022) en lugar de contrato directo con el ONS, evitando los 3-5 años de habilitación ante ANEEL.</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760"/>
        <w:gridCol w:w="2400"/>
        <w:gridCol w:w="1400"/>
        <w:gridCol w:w="2800"/>
      </w:tblGrid>
      <w:tr>
        <w:trPr>
          <w:tblHeader/>
        </w:trPr>
        <w:tc>
          <w:tcPr>
            <w:tcW w:type="dxa" w:w="27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Estructura</w:t>
            </w:r>
          </w:p>
        </w:tc>
        <w:tc>
          <w:tcPr>
            <w:tcW w:type="dxa" w:w="24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Ingreso anual est.</w:t>
            </w:r>
          </w:p>
        </w:tc>
        <w:tc>
          <w:tcPr>
            <w:tcW w:type="dxa" w:w="14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Inicio</w:t>
            </w:r>
          </w:p>
        </w:tc>
        <w:tc>
          <w:tcPr>
            <w:tcW w:type="dxa" w:w="28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Riesgo</w:t>
            </w:r>
          </w:p>
        </w:tc>
      </w:tr>
      <w:tr>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Licencia HJB a Eletrobras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USD 8-18 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2031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Bajo — no requiere hab. ANEEL</w:t>
            </w:r>
          </w:p>
        </w:tc>
      </w:tr>
      <w:tr>
        <w:tc>
          <w:tcPr>
            <w:tcW w:type="dxa" w:w="27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Contrato directo ONS (1 subsistema)</w:t>
            </w:r>
          </w:p>
        </w:tc>
        <w:tc>
          <w:tcPr>
            <w:tcW w:type="dxa" w:w="2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USD 47.5 M</w:t>
            </w:r>
          </w:p>
        </w:tc>
        <w:tc>
          <w:tcPr>
            <w:tcW w:type="dxa" w:w="1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2032-2033</w:t>
            </w:r>
          </w:p>
        </w:tc>
        <w:tc>
          <w:tcPr>
            <w:tcW w:type="dxa" w:w="2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Medio</w:t>
            </w:r>
          </w:p>
        </w:tc>
      </w:tr>
      <w:tr>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Plataforma (3 subsistemas)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USD 142.5 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2034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w:t>
            </w:r>
          </w:p>
        </w:tc>
      </w:tr>
    </w:tbl>
    <w:p>
      <w:pPr>
        <w:pStyle w:val="Heading2"/>
        <w:spacing w:after="200" w:before="400"/>
        <w:jc w:val="left"/>
      </w:pPr>
      <w:r>
        <w:rPr>
          <w:rFonts w:ascii="Arial" w:cs="Arial" w:eastAsia="Arial" w:hAnsi="Arial"/>
          <w:b/>
          <w:bCs/>
          <w:caps w:val="false"/>
          <w:color w:val="0F6E56"/>
          <w:sz w:val="27"/>
          <w:szCs w:val="27"/>
        </w:rPr>
        <w:t xml:space="preserve">6.5  Síntesis de la Plataforma LatAm</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400"/>
        <w:gridCol w:w="2400"/>
        <w:gridCol w:w="1800"/>
        <w:gridCol w:w="3760"/>
      </w:tblGrid>
      <w:tr>
        <w:trPr>
          <w:tblHeader/>
        </w:trPr>
        <w:tc>
          <w:tcPr>
            <w:tcW w:type="dxa" w:w="14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Año</w:t>
            </w:r>
          </w:p>
        </w:tc>
        <w:tc>
          <w:tcPr>
            <w:tcW w:type="dxa" w:w="24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Mercados activos</w:t>
            </w:r>
          </w:p>
        </w:tc>
        <w:tc>
          <w:tcPr>
            <w:tcW w:type="dxa" w:w="18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MW regulados</w:t>
            </w:r>
          </w:p>
        </w:tc>
        <w:tc>
          <w:tcPr>
            <w:tcW w:type="dxa" w:w="37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Ingreso anual (USD)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2028</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CENACE México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2,400</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390 M</w:t>
            </w:r>
          </w:p>
        </w:tc>
      </w:tr>
      <w:tr>
        <w:tc>
          <w:tcPr>
            <w:tcW w:type="dxa" w:w="1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2029</w:t>
            </w:r>
          </w:p>
        </w:tc>
        <w:tc>
          <w:tcPr>
            <w:tcW w:type="dxa" w:w="2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 XM Colombia</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3,000</w:t>
            </w:r>
          </w:p>
        </w:tc>
        <w:tc>
          <w:tcPr>
            <w:tcW w:type="dxa" w:w="37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479 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2030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 CEN Chile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3,500</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540 M</w:t>
            </w:r>
          </w:p>
        </w:tc>
      </w:tr>
      <w:tr>
        <w:tc>
          <w:tcPr>
            <w:tcW w:type="dxa" w:w="1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2031</w:t>
            </w:r>
          </w:p>
        </w:tc>
        <w:tc>
          <w:tcPr>
            <w:tcW w:type="dxa" w:w="2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 ONS Brasil (licencia)</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3,500</w:t>
            </w:r>
          </w:p>
        </w:tc>
        <w:tc>
          <w:tcPr>
            <w:tcW w:type="dxa" w:w="37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555 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2034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ONS (3 subsistemas)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5,500</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746 M</w:t>
            </w:r>
          </w:p>
        </w:tc>
      </w:tr>
      <w:tr>
        <w:tc>
          <w:tcPr>
            <w:tcW w:type="dxa" w:w="1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2037</w:t>
            </w:r>
          </w:p>
        </w:tc>
        <w:tc>
          <w:tcPr>
            <w:tcW w:type="dxa" w:w="2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Plataforma LatAm plena</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6,500+</w:t>
            </w:r>
          </w:p>
        </w:tc>
        <w:tc>
          <w:tcPr>
            <w:tcW w:type="dxa" w:w="37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900 M+</w:t>
            </w:r>
          </w:p>
        </w:tc>
      </w:tr>
    </w:tbl>
    <w:p>
      <w:pPr>
        <w:spacing w:after="320" w:before="80" w:line="380" w:lineRule="auto"/>
        <w:jc w:val="center"/>
      </w:pPr>
      <w:r>
        <w:rPr>
          <w:rFonts w:ascii="Arial" w:cs="Arial" w:eastAsia="Arial" w:hAnsi="Arial"/>
          <w:b w:val="false"/>
          <w:bCs w:val="false"/>
          <w:caps w:val="false"/>
          <w:color w:val="999999"/>
          <w:sz w:val="19"/>
          <w:szCs w:val="19"/>
        </w:rPr>
        <w:t xml:space="preserve">Tabla 6.3: Cronograma de expansión regional — Plataforma PRIMEnergeia LatAm.</w:t>
      </w:r>
    </w:p>
    <w:p>
      <w:pPr>
        <w:spacing w:after="0" w:before="0"/>
      </w:pPr>
      <w:r>
        <w:br/>
      </w:r>
    </w:p>
    <w:p>
      <w:pPr>
        <w:pStyle w:val="Heading1"/>
        <w:spacing w:after="280" w:before="600"/>
        <w:jc w:val="left"/>
      </w:pPr>
      <w:r>
        <w:rPr>
          <w:rFonts w:ascii="Arial" w:cs="Arial" w:eastAsia="Arial" w:hAnsi="Arial"/>
          <w:b/>
          <w:bCs/>
          <w:caps w:val="false"/>
          <w:color w:val="0D2B45"/>
          <w:sz w:val="34"/>
          <w:szCs w:val="34"/>
        </w:rPr>
        <w:t xml:space="preserve">Capítulo 7  La Opción de Transición Tecnológica — Granas-Sovereign</w:t>
      </w:r>
    </w:p>
    <w:p>
      <w:pPr>
        <w:pStyle w:val="Heading2"/>
        <w:spacing w:after="200" w:before="400"/>
        <w:jc w:val="left"/>
      </w:pPr>
      <w:r>
        <w:rPr>
          <w:rFonts w:ascii="Arial" w:cs="Arial" w:eastAsia="Arial" w:hAnsi="Arial"/>
          <w:b/>
          <w:bCs/>
          <w:caps w:val="false"/>
          <w:color w:val="0F6E56"/>
          <w:sz w:val="27"/>
          <w:szCs w:val="27"/>
        </w:rPr>
        <w:t xml:space="preserve">7.1  La Opción de Crecimiento Compuesta</w:t>
      </w:r>
    </w:p>
    <w:p>
      <w:pPr>
        <w:spacing w:after="200" w:before="0" w:line="380" w:lineRule="auto"/>
        <w:jc w:val="both"/>
      </w:pPr>
      <w:r>
        <w:rPr>
          <w:rFonts w:ascii="Arial" w:cs="Arial" w:eastAsia="Arial" w:hAnsi="Arial"/>
          <w:b w:val="false"/>
          <w:bCs w:val="false"/>
          <w:caps w:val="false"/>
          <w:color w:val="111111"/>
          <w:sz w:val="24"/>
          <w:szCs w:val="24"/>
        </w:rPr>
        <w:t xml:space="preserve">Este capítulo modela la decisión de transición tecnológica: cuándo es óptimo que PRIMEnergeia sustituya capacidad de regulación convencional por sistemas fotovoltaicos de perovskita (sistema Granas-Sovereign) con almacenamiento en baterías de flujo redox. Es una opción real de crecimiento compuesta (Myers, 1977; Dixit y Pindyck, 1994): el operador tiene la opción de seguir con tecnología convencional (valor V_HJB del Capítulo 2) y dentro de ese contrato tiene la opción de invertir en la nueva tecnología cuando su eficiencia PCE supere el umbral de rentabilidad.</w:t>
      </w:r>
    </w:p>
    <w:p>
      <w:pPr>
        <w:pStyle w:val="Heading2"/>
        <w:spacing w:after="200" w:before="400"/>
        <w:jc w:val="left"/>
      </w:pPr>
      <w:r>
        <w:rPr>
          <w:rFonts w:ascii="Arial" w:cs="Arial" w:eastAsia="Arial" w:hAnsi="Arial"/>
          <w:b/>
          <w:bCs/>
          <w:caps w:val="false"/>
          <w:color w:val="0F6E56"/>
          <w:sz w:val="27"/>
          <w:szCs w:val="27"/>
        </w:rPr>
        <w:t xml:space="preserve">7.2  El Sistema Granas-Sovereign</w:t>
      </w:r>
    </w:p>
    <w:p>
      <w:pPr>
        <w:spacing w:after="200" w:before="0" w:line="380" w:lineRule="auto"/>
        <w:jc w:val="both"/>
      </w:pPr>
      <w:r>
        <w:rPr>
          <w:rFonts w:ascii="Arial" w:cs="Arial" w:eastAsia="Arial" w:hAnsi="Arial"/>
          <w:b w:val="false"/>
          <w:bCs w:val="false"/>
          <w:caps w:val="false"/>
          <w:color w:val="111111"/>
          <w:sz w:val="24"/>
          <w:szCs w:val="24"/>
        </w:rPr>
        <w:t xml:space="preserve">Granas-Sovereign optimiza células solares de perovskita mediante el optimizador SIBO (Sol-Ink Bayesian Optimizer): optimización bayesiana 4D/6D con Procesos Gaussianos y kernel Matérn 5/2, integrado con un Self-Driving Lab (SDL) automatizado. El umbral técnico de rentabilidad es PCE &gt; 33% — donde el LCOE solar supera la competitividad de los ciclos combinados en la provisión de servicios ancilares.</w:t>
      </w:r>
    </w:p>
    <w:p>
      <w:pPr>
        <w:pStyle w:val="Heading2"/>
        <w:spacing w:after="200" w:before="400"/>
        <w:jc w:val="left"/>
      </w:pPr>
      <w:r>
        <w:rPr>
          <w:rFonts w:ascii="Arial" w:cs="Arial" w:eastAsia="Arial" w:hAnsi="Arial"/>
          <w:b/>
          <w:bCs/>
          <w:caps w:val="false"/>
          <w:color w:val="0F6E56"/>
          <w:sz w:val="27"/>
          <w:szCs w:val="27"/>
        </w:rPr>
        <w:t xml:space="preserve">7.3  El Proceso de Progreso Tecnológico</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2000"/>
        <w:gridCol w:w="5360"/>
      </w:tblGrid>
      <w:tr>
        <w:trPr>
          <w:tblHeader/>
        </w:trPr>
        <w:tc>
          <w:tcPr>
            <w:tcW w:type="dxa" w:w="24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Parámetro PCE</w:t>
            </w:r>
          </w:p>
        </w:tc>
        <w:tc>
          <w:tcPr>
            <w:tcW w:type="dxa" w:w="20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Valor</w:t>
            </w:r>
          </w:p>
        </w:tc>
        <w:tc>
          <w:tcPr>
            <w:tcW w:type="dxa" w:w="53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Nota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PCE₀ (punto de partida)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28.4%</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PCE promedio de perovskita actual</w:t>
            </w:r>
          </w:p>
        </w:tc>
      </w:tr>
      <w:tr>
        <w:tc>
          <w:tcPr>
            <w:tcW w:type="dxa" w:w="2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μ_PCE (drift, año⁻¹)</w:t>
            </w:r>
          </w:p>
        </w:tc>
        <w:tc>
          <w:tcPr>
            <w:tcW w:type="dxa" w:w="20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0.078</w:t>
            </w:r>
          </w:p>
        </w:tc>
        <w:tc>
          <w:tcPr>
            <w:tcW w:type="dxa" w:w="53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7.8% de mejora anual esperada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σ_PCE (volatilidad, año^{−½})</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0.124</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Incertidumbre del proceso SDL</w:t>
            </w:r>
          </w:p>
        </w:tc>
      </w:tr>
      <w:tr>
        <w:tc>
          <w:tcPr>
            <w:tcW w:type="dxa" w:w="2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PCE* técnico</w:t>
            </w:r>
          </w:p>
        </w:tc>
        <w:tc>
          <w:tcPr>
            <w:tcW w:type="dxa" w:w="20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33.0%</w:t>
            </w:r>
          </w:p>
        </w:tc>
        <w:tc>
          <w:tcPr>
            <w:tcW w:type="dxa" w:w="53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LCOE solar &lt; LCOE ciclo combinado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PCE* óptimo (inversión)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47.2%</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Ver §7.4 — prima de espera</w:t>
            </w:r>
          </w:p>
        </w:tc>
      </w:tr>
    </w:tbl>
    <w:p>
      <w:pPr>
        <w:spacing w:after="320" w:before="80" w:line="380" w:lineRule="auto"/>
        <w:jc w:val="center"/>
      </w:pPr>
      <w:r>
        <w:rPr>
          <w:rFonts w:ascii="Arial" w:cs="Arial" w:eastAsia="Arial" w:hAnsi="Arial"/>
          <w:b w:val="false"/>
          <w:bCs w:val="false"/>
          <w:caps w:val="false"/>
          <w:color w:val="999999"/>
          <w:sz w:val="19"/>
          <w:szCs w:val="19"/>
        </w:rPr>
        <w:t xml:space="preserve">Tabla 7.1: Parámetros del proceso de evolución de PCE — primeras 200 iteraciones SDL Granas-Sovereign.</w:t>
      </w:r>
    </w:p>
    <w:p>
      <w:pPr>
        <w:pStyle w:val="Heading2"/>
        <w:spacing w:after="200" w:before="400"/>
        <w:jc w:val="left"/>
      </w:pPr>
      <w:r>
        <w:rPr>
          <w:rFonts w:ascii="Arial" w:cs="Arial" w:eastAsia="Arial" w:hAnsi="Arial"/>
          <w:b/>
          <w:bCs/>
          <w:caps w:val="false"/>
          <w:color w:val="0F6E56"/>
          <w:sz w:val="27"/>
          <w:szCs w:val="27"/>
        </w:rPr>
        <w:t xml:space="preserve">7.4  El Umbral Óptimo de Adopción — McDonald y Siegel</w:t>
      </w:r>
    </w:p>
    <w:p>
      <w:pPr>
        <w:spacing w:after="200" w:before="0" w:line="380" w:lineRule="auto"/>
        <w:jc w:val="both"/>
      </w:pPr>
      <w:r>
        <w:rPr>
          <w:rFonts w:ascii="Arial" w:cs="Arial" w:eastAsia="Arial" w:hAnsi="Arial"/>
          <w:b w:val="false"/>
          <w:bCs w:val="false"/>
          <w:caps w:val="false"/>
          <w:color w:val="111111"/>
          <w:sz w:val="24"/>
          <w:szCs w:val="24"/>
        </w:rPr>
        <w:t xml:space="preserve">Con μ_PCE = 0.078, σ_PCE = 0.124, r_f = 0.115, δ = 0.03 (tasa de dividendo por retrasar la adopción):</w:t>
      </w:r>
    </w:p>
    <w:p>
      <w:pPr>
        <w:spacing w:after="220" w:before="220"/>
        <w:jc w:val="center"/>
      </w:pPr>
      <w:r>
        <w:rPr>
          <w:rFonts w:ascii="Cambria Math" w:cs="Cambria Math" w:eastAsia="Cambria Math" w:hAnsi="Cambria Math"/>
          <w:color w:val="0D2B45"/>
          <w:sz w:val="22"/>
          <w:szCs w:val="22"/>
        </w:rPr>
        <w:t xml:space="preserve">β  =  ½ − (μ−δ)/σ²  +  √[(½−(μ−δ)/σ²)²  +  2r_f/σ²]  =  2.847</w:t>
      </w:r>
    </w:p>
    <w:p>
      <w:pPr>
        <w:spacing w:after="220" w:before="220"/>
        <w:jc w:val="center"/>
      </w:pPr>
      <w:r>
        <w:rPr>
          <w:rFonts w:ascii="Cambria Math" w:cs="Cambria Math" w:eastAsia="Cambria Math" w:hAnsi="Cambria Math"/>
          <w:color w:val="0D2B45"/>
          <w:sz w:val="22"/>
          <w:szCs w:val="22"/>
        </w:rPr>
        <w:t xml:space="preserve">PCE*  =  (β/(β−1)) · I/ΔΠ  =  (2.847/1.847) · 94,000,000/3,250,000  =  47.2%</w:t>
      </w:r>
    </w:p>
    <w:p>
      <w:pPr>
        <w:spacing w:after="200" w:before="0" w:line="380" w:lineRule="auto"/>
        <w:jc w:val="both"/>
      </w:pPr>
      <w:r>
        <w:rPr>
          <w:rFonts w:ascii="Arial" w:cs="Arial" w:eastAsia="Arial" w:hAnsi="Arial"/>
          <w:b w:val="false"/>
          <w:bCs w:val="false"/>
          <w:caps w:val="false"/>
          <w:color w:val="111111"/>
          <w:sz w:val="24"/>
          <w:szCs w:val="24"/>
        </w:rPr>
        <w:t xml:space="preserve">La prima de espera (47.2% − 33.0% = 14.2 pp) es el valor de la opcionalidad de retrasar la inversión hasta que la tecnología haya madurado. El operador racional no debe invertir en cuanto PCE cruza el umbral técnico.</w:t>
      </w:r>
    </w:p>
    <w:p>
      <w:pPr>
        <w:spacing w:after="200" w:before="0" w:line="380" w:lineRule="auto"/>
        <w:jc w:val="both"/>
      </w:pPr>
      <w:r>
        <w:rPr>
          <w:rFonts w:ascii="Arial" w:cs="Arial" w:eastAsia="Arial" w:hAnsi="Arial"/>
          <w:b w:val="false"/>
          <w:bCs w:val="false"/>
          <w:caps w:val="false"/>
          <w:color w:val="111111"/>
          <w:sz w:val="24"/>
          <w:szCs w:val="24"/>
        </w:rPr>
        <w:t xml:space="preserve">Tiempo esperado de adopción:</w:t>
      </w:r>
    </w:p>
    <w:p>
      <w:pPr>
        <w:spacing w:after="220" w:before="220"/>
        <w:jc w:val="center"/>
      </w:pPr>
      <w:r>
        <w:rPr>
          <w:rFonts w:ascii="Cambria Math" w:cs="Cambria Math" w:eastAsia="Cambria Math" w:hAnsi="Cambria Math"/>
          <w:color w:val="0D2B45"/>
          <w:sz w:val="22"/>
          <w:szCs w:val="22"/>
        </w:rPr>
        <w:t xml:space="preserve">E[τ*]  =  log(PCE*/PCE₀) / (μ_PCE − σ²_PCE/2)  =  log(47.2/28.4)/(0.078 − 0.00769)  ≈  8.5 años</w:t>
      </w:r>
    </w:p>
    <w:p>
      <w:pPr>
        <w:spacing w:after="200" w:before="0" w:line="380" w:lineRule="auto"/>
        <w:jc w:val="both"/>
      </w:pPr>
      <w:r>
        <w:rPr>
          <w:rFonts w:ascii="Arial" w:cs="Arial" w:eastAsia="Arial" w:hAnsi="Arial"/>
          <w:b w:val="false"/>
          <w:bCs w:val="false"/>
          <w:caps w:val="false"/>
          <w:color w:val="111111"/>
          <w:sz w:val="24"/>
          <w:szCs w:val="24"/>
        </w:rPr>
        <w:t xml:space="preserve">IC 90%: τ* ∈ [4.2, 18.7] años — rango amplio por la alta volatilidad del progreso tecnológico.</w:t>
      </w:r>
    </w:p>
    <w:p>
      <w:pPr>
        <w:pStyle w:val="Heading2"/>
        <w:spacing w:after="200" w:before="400"/>
        <w:jc w:val="left"/>
      </w:pPr>
      <w:r>
        <w:rPr>
          <w:rFonts w:ascii="Arial" w:cs="Arial" w:eastAsia="Arial" w:hAnsi="Arial"/>
          <w:b/>
          <w:bCs/>
          <w:caps w:val="false"/>
          <w:color w:val="0F6E56"/>
          <w:sz w:val="27"/>
          <w:szCs w:val="27"/>
        </w:rPr>
        <w:t xml:space="preserve">7.5  La HJB Bidimensional — Granas × PRIMEnergeia</w:t>
      </w:r>
    </w:p>
    <w:p>
      <w:pPr>
        <w:spacing w:after="200" w:before="0" w:line="380" w:lineRule="auto"/>
        <w:jc w:val="both"/>
      </w:pPr>
      <w:r>
        <w:rPr>
          <w:rFonts w:ascii="Arial" w:cs="Arial" w:eastAsia="Arial" w:hAnsi="Arial"/>
          <w:b w:val="false"/>
          <w:bCs w:val="false"/>
          <w:caps w:val="false"/>
          <w:color w:val="111111"/>
          <w:sz w:val="24"/>
          <w:szCs w:val="24"/>
        </w:rPr>
        <w:t xml:space="preserve">El valor total de la opción compuesta C(PCE, Δf, t) satisface la HJB bidimensional en el espacio (PCE, Δf), integrando la dinámica de control de red y la dinámica de progreso tecnológico. Esta EDP es el nexo matemático entre PRIMEnergeia y Granas: captura cómo el valor del servicio de regulación hoy depende de las perspectivas de mejora tecnológica futura.</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3600"/>
        <w:gridCol w:w="3000"/>
        <w:gridCol w:w="2760"/>
      </w:tblGrid>
      <w:tr>
        <w:trPr>
          <w:tblHeader/>
        </w:trPr>
        <w:tc>
          <w:tcPr>
            <w:tcW w:type="dxa" w:w="36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Componente de Valor</w:t>
            </w:r>
          </w:p>
        </w:tc>
        <w:tc>
          <w:tcPr>
            <w:tcW w:type="dxa" w:w="30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MXN (B)</w:t>
            </w:r>
          </w:p>
        </w:tc>
        <w:tc>
          <w:tcPr>
            <w:tcW w:type="dxa" w:w="27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 del Total</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V_HJB — Regulación convencional (Cap. 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239.5 B</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64.1%</w:t>
            </w:r>
          </w:p>
        </w:tc>
      </w:tr>
      <w:tr>
        <w:tc>
          <w:tcPr>
            <w:tcW w:type="dxa" w:w="36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Expansión LatAm VPN (Cap. 6)</w:t>
            </w:r>
          </w:p>
        </w:tc>
        <w:tc>
          <w:tcPr>
            <w:tcW w:type="dxa" w:w="30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52.8 B</w:t>
            </w:r>
          </w:p>
        </w:tc>
        <w:tc>
          <w:tcPr>
            <w:tcW w:type="dxa" w:w="27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14.1%</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G — Opción solar-almacenamiento Granas (Cap. 7)</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42.2 B</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11.3%</w:t>
            </w:r>
          </w:p>
        </w:tc>
      </w:tr>
      <w:tr>
        <w:tc>
          <w:tcPr>
            <w:tcW w:type="dxa" w:w="36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Prima de ambigüedad DRL (Cap. 3)</w:t>
            </w:r>
          </w:p>
        </w:tc>
        <w:tc>
          <w:tcPr>
            <w:tcW w:type="dxa" w:w="30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16.7 B</w:t>
            </w:r>
          </w:p>
        </w:tc>
        <w:tc>
          <w:tcPr>
            <w:tcW w:type="dxa" w:w="27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4.5%</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Opcionalidad mecanismo VCG (Cap. 4)</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3.8 B</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1.0%</w:t>
            </w:r>
          </w:p>
        </w:tc>
      </w:tr>
      <w:tr>
        <w:tc>
          <w:tcPr>
            <w:tcW w:type="dxa" w:w="36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Ecosistema Eureka (Apéndice E)</w:t>
            </w:r>
          </w:p>
        </w:tc>
        <w:tc>
          <w:tcPr>
            <w:tcW w:type="dxa" w:w="30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18.4 B</w:t>
            </w:r>
          </w:p>
        </w:tc>
        <w:tc>
          <w:tcPr>
            <w:tcW w:type="dxa" w:w="27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4.9%</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VALOR TOTAL DEL ECOSISTEMA (10 años VPN)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373.4 B</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100%</w:t>
            </w:r>
          </w:p>
        </w:tc>
      </w:tr>
    </w:tbl>
    <w:p>
      <w:pPr>
        <w:spacing w:after="320" w:before="80" w:line="380" w:lineRule="auto"/>
        <w:jc w:val="center"/>
      </w:pPr>
      <w:r>
        <w:rPr>
          <w:rFonts w:ascii="Arial" w:cs="Arial" w:eastAsia="Arial" w:hAnsi="Arial"/>
          <w:b w:val="false"/>
          <w:bCs w:val="false"/>
          <w:caps w:val="false"/>
          <w:color w:val="999999"/>
          <w:sz w:val="19"/>
          <w:szCs w:val="19"/>
        </w:rPr>
        <w:t xml:space="preserve">Tabla 7.2: Descomposición del valor total — ecosistema PRIMEnergeia-Granas, perspectiva a 10 años.</w:t>
      </w:r>
    </w:p>
    <w:p>
      <w:pPr>
        <w:spacing w:after="0" w:before="0"/>
      </w:pPr>
      <w:r>
        <w:br/>
      </w:r>
    </w:p>
    <w:p>
      <w:pPr>
        <w:pStyle w:val="Heading1"/>
        <w:spacing w:after="280" w:before="600"/>
        <w:jc w:val="left"/>
      </w:pPr>
      <w:r>
        <w:rPr>
          <w:rFonts w:ascii="Arial" w:cs="Arial" w:eastAsia="Arial" w:hAnsi="Arial"/>
          <w:b/>
          <w:bCs/>
          <w:caps w:val="false"/>
          <w:color w:val="0D2B45"/>
          <w:sz w:val="34"/>
          <w:szCs w:val="34"/>
        </w:rPr>
        <w:t xml:space="preserve">Conclusiones</w:t>
      </w:r>
    </w:p>
    <w:p>
      <w:pPr>
        <w:pStyle w:val="Heading2"/>
        <w:spacing w:after="200" w:before="400"/>
        <w:jc w:val="left"/>
      </w:pPr>
      <w:r>
        <w:rPr>
          <w:rFonts w:ascii="Arial" w:cs="Arial" w:eastAsia="Arial" w:hAnsi="Arial"/>
          <w:b/>
          <w:bCs/>
          <w:caps w:val="false"/>
          <w:color w:val="0F6E56"/>
          <w:sz w:val="27"/>
          <w:szCs w:val="27"/>
        </w:rPr>
        <w:t xml:space="preserve">Síntesis de Contribuciones Originales</w:t>
      </w:r>
    </w:p>
    <w:p>
      <w:pPr>
        <w:spacing w:after="200" w:before="0" w:line="380" w:lineRule="auto"/>
        <w:jc w:val="both"/>
      </w:pPr>
      <w:r>
        <w:rPr>
          <w:rFonts w:ascii="Arial" w:cs="Arial" w:eastAsia="Arial" w:hAnsi="Arial"/>
          <w:b w:val="false"/>
          <w:bCs w:val="false"/>
          <w:caps w:val="false"/>
          <w:color w:val="111111"/>
          <w:sz w:val="24"/>
          <w:szCs w:val="24"/>
        </w:rPr>
        <w:t xml:space="preserve">Esta tesis realizó siete contribuciones originales a la intersección de las finanzas cuantitativas, el control óptimo estocástico, la teoría de mecanismos y la economía de mercados eléctricos.</w:t>
      </w:r>
    </w:p>
    <w:p>
      <w:pPr>
        <w:spacing w:after="200" w:before="0" w:line="380" w:lineRule="auto"/>
        <w:jc w:val="both"/>
      </w:pPr>
      <w:r>
        <w:rPr>
          <w:rFonts w:ascii="Arial" w:cs="Arial" w:eastAsia="Arial" w:hAnsi="Arial"/>
          <w:b w:val="false"/>
          <w:bCs w:val="false"/>
          <w:caps w:val="false"/>
          <w:color w:val="111111"/>
          <w:sz w:val="24"/>
          <w:szCs w:val="24"/>
        </w:rPr>
        <w:t xml:space="preserve">Primera: la demostración formal de la Proposición 1.1 (dualidad HJB–Black-Scholes) y la Proposición 1.2 (PCO como opción americana), incluyendo la extensión al proceso OU vectorial para las cinco zonas de control del SIN —con errores de valoración del modelo escalar de hasta 32.6 pp como consecuencia de la expansión eólica del 67% en la zona Norte.</w:t>
      </w:r>
    </w:p>
    <w:p>
      <w:pPr>
        <w:spacing w:after="200" w:before="0" w:line="380" w:lineRule="auto"/>
        <w:jc w:val="both"/>
      </w:pPr>
      <w:r>
        <w:rPr>
          <w:rFonts w:ascii="Arial" w:cs="Arial" w:eastAsia="Arial" w:hAnsi="Arial"/>
          <w:b w:val="false"/>
          <w:bCs w:val="false"/>
          <w:caps w:val="false"/>
          <w:color w:val="111111"/>
          <w:sz w:val="24"/>
          <w:szCs w:val="24"/>
        </w:rPr>
        <w:t xml:space="preserve">Segunda: el modelo de opción americana con barrera del Capítulo 2, incluyendo la descomposición del precio en cinco componentes, las seis griegas con estimaciones numéricas, y la Proposición 2.2 que verifica numéricamente la supermodularidad del bundle de cuatro servicios ancilares via el Hessiano cruzado de Topkis (+3,125 $/MW²). La Prima de Bundling del 11.6% implica que la brecha de valoración real es del 67.2% del V_bundle, no del 40.5% del V_HJB de AGC aislado.</w:t>
      </w:r>
    </w:p>
    <w:p>
      <w:pPr>
        <w:spacing w:after="200" w:before="0" w:line="380" w:lineRule="auto"/>
        <w:jc w:val="both"/>
      </w:pPr>
      <w:r>
        <w:rPr>
          <w:rFonts w:ascii="Arial" w:cs="Arial" w:eastAsia="Arial" w:hAnsi="Arial"/>
          <w:b w:val="false"/>
          <w:bCs w:val="false"/>
          <w:caps w:val="false"/>
          <w:color w:val="111111"/>
          <w:sz w:val="24"/>
          <w:szCs w:val="24"/>
        </w:rPr>
        <w:t xml:space="preserve">Tercera: el Lema 3.1 que formaliza la conexión entre el actor-loss del agente SAC y la bola de divergencia KL de Hansen-Sargent: D_KL(D_k ∥ D*) ≤ (1/α)·[L(π*)−L(π_k)]. Esta demostración conecta por primera vez la literatura de DRL con la teoría de ambigüedad de finanzas robustas, generando la Prima de Ambigüedad del 11–27% con base matemática rigurosa.</w:t>
      </w:r>
    </w:p>
    <w:p>
      <w:pPr>
        <w:spacing w:after="200" w:before="0" w:line="380" w:lineRule="auto"/>
        <w:jc w:val="both"/>
      </w:pPr>
      <w:r>
        <w:rPr>
          <w:rFonts w:ascii="Arial" w:cs="Arial" w:eastAsia="Arial" w:hAnsi="Arial"/>
          <w:b w:val="false"/>
          <w:bCs w:val="false"/>
          <w:caps w:val="false"/>
          <w:color w:val="111111"/>
          <w:sz w:val="24"/>
          <w:szCs w:val="24"/>
        </w:rPr>
        <w:t xml:space="preserve">Cuarta: el diagnóstico de los cuatro factores que rompen el Teorema de Equivalencia de Ingresos en el mercado CENACE —tipos no-IID, componente de valor común α = 0.35, aversión al riesgo, correlación entre tipos— y el diseño del mecanismo VCG+Linkage que los corrige, ahorrando MXN 95,000/MW-año frente a la subasta de primer precio y MXN 2.3 B en el contrato de 10 años de red completa.</w:t>
      </w:r>
    </w:p>
    <w:p>
      <w:pPr>
        <w:spacing w:after="200" w:before="0" w:line="380" w:lineRule="auto"/>
        <w:jc w:val="both"/>
      </w:pPr>
      <w:r>
        <w:rPr>
          <w:rFonts w:ascii="Arial" w:cs="Arial" w:eastAsia="Arial" w:hAnsi="Arial"/>
          <w:b w:val="false"/>
          <w:bCs w:val="false"/>
          <w:caps w:val="false"/>
          <w:color w:val="111111"/>
          <w:sz w:val="24"/>
          <w:szCs w:val="24"/>
        </w:rPr>
        <w:t xml:space="preserve">Quinta: el análisis de bienestar social en seis canales con VPN total México+LatAm de USD 3.24 mil millones y ratio beneficio-costo de 22.4x. El Canal 6 (estabilidad macroeconómica, reducción de −3 bps en CDS soberano sobre MXN 15.2 billones de deuda pública) domina el análisis con MXN 4.56 B/año de ahorro en servicio de deuda.</w:t>
      </w:r>
    </w:p>
    <w:p>
      <w:pPr>
        <w:spacing w:after="200" w:before="0" w:line="380" w:lineRule="auto"/>
        <w:jc w:val="both"/>
      </w:pPr>
      <w:r>
        <w:rPr>
          <w:rFonts w:ascii="Arial" w:cs="Arial" w:eastAsia="Arial" w:hAnsi="Arial"/>
          <w:b w:val="false"/>
          <w:bCs w:val="false"/>
          <w:caps w:val="false"/>
          <w:color w:val="111111"/>
          <w:sz w:val="24"/>
          <w:szCs w:val="24"/>
        </w:rPr>
        <w:t xml:space="preserve">Sexta: la calibración del marco LatAm con las tres formas funcionales correctas del proceso estocástico de frecuencia —proceso de Lévy con saltos hidrológicos para Colombia (λ_ENSO = 2.8 eventos/año), modelo de Heston con volatilidad estocástica intradiaria para Chile (σ_f pico = 0.02341 Hz/√s, 58% mayor que México), y OU vectorial de dimensión 5 para Brasil— proyectando USD 277 M anuales adicionales en régimen pleno.</w:t>
      </w:r>
    </w:p>
    <w:p>
      <w:pPr>
        <w:spacing w:after="200" w:before="0" w:line="380" w:lineRule="auto"/>
        <w:jc w:val="both"/>
      </w:pPr>
      <w:r>
        <w:rPr>
          <w:rFonts w:ascii="Arial" w:cs="Arial" w:eastAsia="Arial" w:hAnsi="Arial"/>
          <w:b w:val="false"/>
          <w:bCs w:val="false"/>
          <w:caps w:val="false"/>
          <w:color w:val="111111"/>
          <w:sz w:val="24"/>
          <w:szCs w:val="24"/>
        </w:rPr>
        <w:t xml:space="preserve">Séptima: la valoración de la opción de transición tecnológica Granas-Sovereign mediante la HJB bidimensional en el espacio (PCE, Δf), con umbral óptimo de adopción PCE* = 47.2% —14.2 pp mayor al umbral técnico de 33% por la prima de espera de la opcionalidad— y tiempo esperado de adopción de 8.5 años.</w:t>
      </w:r>
    </w:p>
    <w:p>
      <w:pPr>
        <w:pStyle w:val="Heading2"/>
        <w:spacing w:after="200" w:before="400"/>
        <w:jc w:val="left"/>
      </w:pPr>
      <w:r>
        <w:rPr>
          <w:rFonts w:ascii="Arial" w:cs="Arial" w:eastAsia="Arial" w:hAnsi="Arial"/>
          <w:b/>
          <w:bCs/>
          <w:caps w:val="false"/>
          <w:color w:val="0F6E56"/>
          <w:sz w:val="27"/>
          <w:szCs w:val="27"/>
        </w:rPr>
        <w:t xml:space="preserve">Limitaciones</w:t>
      </w:r>
    </w:p>
    <w:p>
      <w:pPr>
        <w:pStyle w:val="Heading3"/>
        <w:spacing w:after="140" w:before="260"/>
        <w:jc w:val="left"/>
      </w:pPr>
      <w:r>
        <w:rPr>
          <w:rFonts w:ascii="Arial" w:cs="Arial" w:eastAsia="Arial" w:hAnsi="Arial"/>
          <w:b/>
          <w:bCs/>
          <w:caps w:val="false"/>
          <w:color w:val="0D2B45"/>
          <w:sz w:val="24"/>
          <w:szCs w:val="24"/>
        </w:rPr>
        <w:t xml:space="preserve">L.1  Sesgo de ventana de calibración — Modelo de Cambio de Régimen</w:t>
      </w:r>
    </w:p>
    <w:p>
      <w:pPr>
        <w:spacing w:after="200" w:before="0" w:line="380" w:lineRule="auto"/>
        <w:jc w:val="both"/>
      </w:pPr>
      <w:r>
        <w:rPr>
          <w:rFonts w:ascii="Arial" w:cs="Arial" w:eastAsia="Arial" w:hAnsi="Arial"/>
          <w:b w:val="false"/>
          <w:bCs w:val="false"/>
          <w:caps w:val="false"/>
          <w:color w:val="111111"/>
          <w:sz w:val="24"/>
          <w:szCs w:val="24"/>
        </w:rPr>
        <w:t xml:space="preserve">La estimación MLE sobre 36 meses que incluyen la expansión eólica del 67% puede sobreestimar σ_OU en 8–15%, sesgando el precio del contrato en +MXN 10,700–20,100/MW-año. Ampliar la ventana a 10+ años con datos pre-reforma introduce sesgo opuesto (régimen estructuralmente distinto). La extensión correcta es el modelo de cambio de régimen de Hamilton (1989): OU con estados latentes s_t ∈ {Bajo, Alto} estimados via cadenas de Markov ocultas sobre los datos de frecuencia y capacidad renovable instalada.</w:t>
      </w:r>
    </w:p>
    <w:p>
      <w:pPr>
        <w:pStyle w:val="Heading3"/>
        <w:spacing w:after="140" w:before="260"/>
        <w:jc w:val="left"/>
      </w:pPr>
      <w:r>
        <w:rPr>
          <w:rFonts w:ascii="Arial" w:cs="Arial" w:eastAsia="Arial" w:hAnsi="Arial"/>
          <w:b/>
          <w:bCs/>
          <w:caps w:val="false"/>
          <w:color w:val="0D2B45"/>
          <w:sz w:val="24"/>
          <w:szCs w:val="24"/>
        </w:rPr>
        <w:t xml:space="preserve">L.2  Modelo de área única — Oscilaciones interareales</w:t>
      </w:r>
    </w:p>
    <w:p>
      <w:pPr>
        <w:spacing w:after="200" w:before="0" w:line="380" w:lineRule="auto"/>
        <w:jc w:val="both"/>
      </w:pPr>
      <w:r>
        <w:rPr>
          <w:rFonts w:ascii="Arial" w:cs="Arial" w:eastAsia="Arial" w:hAnsi="Arial"/>
          <w:b w:val="false"/>
          <w:bCs w:val="false"/>
          <w:caps w:val="false"/>
          <w:color w:val="111111"/>
          <w:sz w:val="24"/>
          <w:szCs w:val="24"/>
        </w:rPr>
        <w:t xml:space="preserve">El proceso OU univariante no captura los modos electromecanicos de 0.1–2.0 Hz ni las correlaciones inter-zonales. La extensión al OU vectorial del Capítulo 1 resuelve esto para el análisis de valoración; su implementación completa en el mecanismo de subasta (precios zonales diferenciados) requiere el diseño de subastas combinatorias zonales —NP-hard en general, pero tractable bajo la estructura supermodular de costos verificada en la Proposición 2.2.</w:t>
      </w:r>
    </w:p>
    <w:p>
      <w:pPr>
        <w:pStyle w:val="Heading3"/>
        <w:spacing w:after="140" w:before="260"/>
        <w:jc w:val="left"/>
      </w:pPr>
      <w:r>
        <w:rPr>
          <w:rFonts w:ascii="Arial" w:cs="Arial" w:eastAsia="Arial" w:hAnsi="Arial"/>
          <w:b/>
          <w:bCs/>
          <w:caps w:val="false"/>
          <w:color w:val="0D2B45"/>
          <w:sz w:val="24"/>
          <w:szCs w:val="24"/>
        </w:rPr>
        <w:t xml:space="preserve">L.3  Complementariedades entre servicios ancilares</w:t>
      </w:r>
    </w:p>
    <w:p>
      <w:pPr>
        <w:spacing w:after="200" w:before="0" w:line="380" w:lineRule="auto"/>
        <w:jc w:val="both"/>
      </w:pPr>
      <w:r>
        <w:rPr>
          <w:rFonts w:ascii="Arial" w:cs="Arial" w:eastAsia="Arial" w:hAnsi="Arial"/>
          <w:b w:val="false"/>
          <w:bCs w:val="false"/>
          <w:caps w:val="false"/>
          <w:color w:val="111111"/>
          <w:sz w:val="24"/>
          <w:szCs w:val="24"/>
        </w:rPr>
        <w:t xml:space="preserve">La omisión del bundling óptimo (Capítulos 2.1–2.3) puede subestimar el valor total del activo de regulación en 15–35% (Hogan, 2005; Oren, 2001). El Capítulo 2.5 resuelve este problema para el caso de cuatro servicios; la extensión a N servicios con restricciones de capacidad cruzadas requiere el mecanismo de subasta combinatoria de Cramton, Shoham y Steinberg (2006).</w:t>
      </w:r>
    </w:p>
    <w:p>
      <w:pPr>
        <w:pStyle w:val="Heading2"/>
        <w:spacing w:after="200" w:before="400"/>
        <w:jc w:val="left"/>
      </w:pPr>
      <w:r>
        <w:rPr>
          <w:rFonts w:ascii="Arial" w:cs="Arial" w:eastAsia="Arial" w:hAnsi="Arial"/>
          <w:b/>
          <w:bCs/>
          <w:caps w:val="false"/>
          <w:color w:val="0F6E56"/>
          <w:sz w:val="27"/>
          <w:szCs w:val="27"/>
        </w:rPr>
        <w:t xml:space="preserve">Extensiones</w:t>
      </w:r>
    </w:p>
    <w:p>
      <w:pPr>
        <w:spacing w:after="200" w:before="0" w:line="380" w:lineRule="auto"/>
        <w:jc w:val="both"/>
      </w:pPr>
      <w:r>
        <w:rPr>
          <w:rFonts w:ascii="Arial" w:cs="Arial" w:eastAsia="Arial" w:hAnsi="Arial"/>
          <w:b w:val="false"/>
          <w:bCs w:val="false"/>
          <w:caps w:val="false"/>
          <w:color w:val="111111"/>
          <w:sz w:val="24"/>
          <w:szCs w:val="24"/>
        </w:rPr>
        <w:t xml:space="preserve">Cuatro extensiones son inmediatamente prosecutables. El modelo de cambio de régimen para σ_OU resuelve la Limitación L.1. El OU vectorial con precios zonales diferenciados resuelve la Limitación L.2. La integración de física electroquímica de baterías (SoC, temperatura, DoH) en la HJB multidimensional amplía el modelo a BESS como activos de regulación. El diseño de derivados financieros de frecuencia negociables en mercados organizados —cuyo fundamento matemático está completamente establecido en esta tesis— es el horizonte de 10–15 años que convierte el marco HJB-Myerson en la infraestructura de un nuevo mercado financiero de riesgo de frecuencia eléctrica.</w:t>
      </w:r>
    </w:p>
    <w:p>
      <w:pPr>
        <w:pStyle w:val="Heading2"/>
        <w:spacing w:after="200" w:before="400"/>
        <w:jc w:val="left"/>
      </w:pPr>
      <w:r>
        <w:rPr>
          <w:rFonts w:ascii="Arial" w:cs="Arial" w:eastAsia="Arial" w:hAnsi="Arial"/>
          <w:b/>
          <w:bCs/>
          <w:caps w:val="false"/>
          <w:color w:val="0F6E56"/>
          <w:sz w:val="27"/>
          <w:szCs w:val="27"/>
        </w:rPr>
        <w:t xml:space="preserve">La Reflexión Final</w:t>
      </w:r>
    </w:p>
    <w:p>
      <w:pPr>
        <w:spacing w:after="200" w:before="0" w:line="380" w:lineRule="auto"/>
        <w:jc w:val="both"/>
      </w:pPr>
      <w:r>
        <w:rPr>
          <w:rFonts w:ascii="Arial" w:cs="Arial" w:eastAsia="Arial" w:hAnsi="Arial"/>
          <w:b w:val="false"/>
          <w:bCs w:val="false"/>
          <w:caps w:val="false"/>
          <w:color w:val="111111"/>
          <w:sz w:val="24"/>
          <w:szCs w:val="24"/>
        </w:rPr>
        <w:t xml:space="preserve">La conclusión más profunda de esta tesis es la más simple: la ecuación que controla la frecuencia de la red eléctrica en tiempo real es la misma ecuación que establece el precio justo de los contratos que hacen posible esa estabilización, y ese precio debe emerger a través de un mecanismo de subasta diseñado con el rigor matemático de la teoría de revelación de preferencias de Myerson. Las tres afirmaciones son verdaderas, y su conexión —el marco HJB-Myerson— es la contribución. Las herramientas son las de la matemática financiera avanzada. Los datos son los de la ingeniería de sistemas de potencia. El problema es el de la economía regulatoria de los mercados latinoamericanos de energía. Y el impacto, medido en bienestar social, es de USD 3.24 mil millones en valor presente para las sociedades que lo adopten.</w:t>
      </w:r>
    </w:p>
    <w:p>
      <w:pPr>
        <w:spacing w:after="0" w:before="0"/>
      </w:pPr>
      <w:r>
        <w:br/>
      </w:r>
    </w:p>
    <w:p>
      <w:pPr>
        <w:pStyle w:val="Heading1"/>
        <w:spacing w:after="280" w:before="600"/>
        <w:jc w:val="left"/>
      </w:pPr>
      <w:r>
        <w:rPr>
          <w:rFonts w:ascii="Arial" w:cs="Arial" w:eastAsia="Arial" w:hAnsi="Arial"/>
          <w:b/>
          <w:bCs/>
          <w:caps w:val="false"/>
          <w:color w:val="0D2B45"/>
          <w:sz w:val="34"/>
          <w:szCs w:val="34"/>
        </w:rPr>
        <w:t xml:space="preserve">Referencias</w:t>
      </w:r>
    </w:p>
    <w:p>
      <w:pPr>
        <w:spacing w:after="120" w:before="20" w:line="380" w:lineRule="auto"/>
        <w:jc w:val="both"/>
      </w:pPr>
      <w:r>
        <w:rPr>
          <w:rFonts w:ascii="Arial" w:cs="Arial" w:eastAsia="Arial" w:hAnsi="Arial"/>
          <w:b w:val="false"/>
          <w:bCs w:val="false"/>
          <w:caps w:val="false"/>
          <w:color w:val="111111"/>
          <w:sz w:val="24"/>
          <w:szCs w:val="24"/>
        </w:rPr>
        <w:t xml:space="preserve">Akerlof, G. A. (1970). The market for lemons: Quality uncertainty and the market mechanism. Quarterly Journal of Economics, 84(3), 488-500.</w:t>
      </w:r>
    </w:p>
    <w:p>
      <w:pPr>
        <w:spacing w:after="120" w:before="20" w:line="380" w:lineRule="auto"/>
        <w:jc w:val="both"/>
      </w:pPr>
      <w:r>
        <w:rPr>
          <w:rFonts w:ascii="Arial" w:cs="Arial" w:eastAsia="Arial" w:hAnsi="Arial"/>
          <w:b w:val="false"/>
          <w:bCs w:val="false"/>
          <w:caps w:val="false"/>
          <w:color w:val="111111"/>
          <w:sz w:val="24"/>
          <w:szCs w:val="24"/>
        </w:rPr>
        <w:t xml:space="preserve">Bellman, R. (1957). Dynamic programming. Princeton University Press.</w:t>
      </w:r>
    </w:p>
    <w:p>
      <w:pPr>
        <w:spacing w:after="120" w:before="20" w:line="380" w:lineRule="auto"/>
        <w:jc w:val="both"/>
      </w:pPr>
      <w:r>
        <w:rPr>
          <w:rFonts w:ascii="Arial" w:cs="Arial" w:eastAsia="Arial" w:hAnsi="Arial"/>
          <w:b w:val="false"/>
          <w:bCs w:val="false"/>
          <w:caps w:val="false"/>
          <w:color w:val="111111"/>
          <w:sz w:val="24"/>
          <w:szCs w:val="24"/>
        </w:rPr>
        <w:t xml:space="preserve">Bouffard, F. y Galiana, F. D. (2008). Stochastic security for operations planning with significant wind power generation. IEEE Transactions on Power Systems, 23(2), 306-316.</w:t>
      </w:r>
    </w:p>
    <w:p>
      <w:pPr>
        <w:spacing w:after="120" w:before="20" w:line="380" w:lineRule="auto"/>
        <w:jc w:val="both"/>
      </w:pPr>
      <w:r>
        <w:rPr>
          <w:rFonts w:ascii="Arial" w:cs="Arial" w:eastAsia="Arial" w:hAnsi="Arial"/>
          <w:b w:val="false"/>
          <w:bCs w:val="false"/>
          <w:caps w:val="false"/>
          <w:color w:val="111111"/>
          <w:sz w:val="24"/>
          <w:szCs w:val="24"/>
        </w:rPr>
        <w:t xml:space="preserve">CENACE (2024). Informe anual del Mercado Eléctrico Mayorista 2023. Centro Nacional de Control de Energía, Ciudad de México.</w:t>
      </w:r>
    </w:p>
    <w:p>
      <w:pPr>
        <w:spacing w:after="120" w:before="20" w:line="380" w:lineRule="auto"/>
        <w:jc w:val="both"/>
      </w:pPr>
      <w:r>
        <w:rPr>
          <w:rFonts w:ascii="Arial" w:cs="Arial" w:eastAsia="Arial" w:hAnsi="Arial"/>
          <w:b w:val="false"/>
          <w:bCs w:val="false"/>
          <w:caps w:val="false"/>
          <w:color w:val="111111"/>
          <w:sz w:val="24"/>
          <w:szCs w:val="24"/>
        </w:rPr>
        <w:t xml:space="preserve">Chen, Z. y Epstein, L. G. (2002). Ambiguity, risk, and asset returns in continuous time. Econometrica, 70(4), 1403-1443.</w:t>
      </w:r>
    </w:p>
    <w:p>
      <w:pPr>
        <w:spacing w:after="120" w:before="20" w:line="380" w:lineRule="auto"/>
        <w:jc w:val="both"/>
      </w:pPr>
      <w:r>
        <w:rPr>
          <w:rFonts w:ascii="Arial" w:cs="Arial" w:eastAsia="Arial" w:hAnsi="Arial"/>
          <w:b w:val="false"/>
          <w:bCs w:val="false"/>
          <w:caps w:val="false"/>
          <w:color w:val="111111"/>
          <w:sz w:val="24"/>
          <w:szCs w:val="24"/>
        </w:rPr>
        <w:t xml:space="preserve">Clarke, E. H. (1971). Multipart pricing of public goods. Public Choice, 11(1), 17-33.</w:t>
      </w:r>
    </w:p>
    <w:p>
      <w:pPr>
        <w:spacing w:after="120" w:before="20" w:line="380" w:lineRule="auto"/>
        <w:jc w:val="both"/>
      </w:pPr>
      <w:r>
        <w:rPr>
          <w:rFonts w:ascii="Arial" w:cs="Arial" w:eastAsia="Arial" w:hAnsi="Arial"/>
          <w:b w:val="false"/>
          <w:bCs w:val="false"/>
          <w:caps w:val="false"/>
          <w:color w:val="111111"/>
          <w:sz w:val="24"/>
          <w:szCs w:val="24"/>
        </w:rPr>
        <w:t xml:space="preserve">Cramton, P., Shoham, Y., y Steinberg, R. (Eds., 2006). Combinatorial auctions. MIT Press.</w:t>
      </w:r>
    </w:p>
    <w:p>
      <w:pPr>
        <w:spacing w:after="120" w:before="20" w:line="380" w:lineRule="auto"/>
        <w:jc w:val="both"/>
      </w:pPr>
      <w:r>
        <w:rPr>
          <w:rFonts w:ascii="Arial" w:cs="Arial" w:eastAsia="Arial" w:hAnsi="Arial"/>
          <w:b w:val="false"/>
          <w:bCs w:val="false"/>
          <w:caps w:val="false"/>
          <w:color w:val="111111"/>
          <w:sz w:val="24"/>
          <w:szCs w:val="24"/>
        </w:rPr>
        <w:t xml:space="preserve">CRE (2023). Resolución RES/432/2023 — Tarifas aplicables a los servicios ancilares en el MEM. Diario Oficial de la Federación, 15 de marzo de 2023.</w:t>
      </w:r>
    </w:p>
    <w:p>
      <w:pPr>
        <w:spacing w:after="120" w:before="20" w:line="380" w:lineRule="auto"/>
        <w:jc w:val="both"/>
      </w:pPr>
      <w:r>
        <w:rPr>
          <w:rFonts w:ascii="Arial" w:cs="Arial" w:eastAsia="Arial" w:hAnsi="Arial"/>
          <w:b w:val="false"/>
          <w:bCs w:val="false"/>
          <w:caps w:val="false"/>
          <w:color w:val="111111"/>
          <w:sz w:val="24"/>
          <w:szCs w:val="24"/>
        </w:rPr>
        <w:t xml:space="preserve">Dixit, A. K. y Pindyck, R. S. (1994). Investment under uncertainty. Princeton University Press.</w:t>
      </w:r>
    </w:p>
    <w:p>
      <w:pPr>
        <w:spacing w:after="120" w:before="20" w:line="380" w:lineRule="auto"/>
        <w:jc w:val="both"/>
      </w:pPr>
      <w:r>
        <w:rPr>
          <w:rFonts w:ascii="Arial" w:cs="Arial" w:eastAsia="Arial" w:hAnsi="Arial"/>
          <w:b w:val="false"/>
          <w:bCs w:val="false"/>
          <w:caps w:val="false"/>
          <w:color w:val="111111"/>
          <w:sz w:val="24"/>
          <w:szCs w:val="24"/>
        </w:rPr>
        <w:t xml:space="preserve">ENTSO-E (2024). Continental Europe synchronous area — Frequency deviation statistics 2023. Brussels.</w:t>
      </w:r>
    </w:p>
    <w:p>
      <w:pPr>
        <w:spacing w:after="120" w:before="20" w:line="380" w:lineRule="auto"/>
        <w:jc w:val="both"/>
      </w:pPr>
      <w:r>
        <w:rPr>
          <w:rFonts w:ascii="Arial" w:cs="Arial" w:eastAsia="Arial" w:hAnsi="Arial"/>
          <w:b w:val="false"/>
          <w:bCs w:val="false"/>
          <w:caps w:val="false"/>
          <w:color w:val="111111"/>
          <w:sz w:val="24"/>
          <w:szCs w:val="24"/>
        </w:rPr>
        <w:t xml:space="preserve">Fleming, W. H. y Soner, H. M. (2006). Controlled Markov processes and viscosity solutions (2nd ed.). Springer.</w:t>
      </w:r>
    </w:p>
    <w:p>
      <w:pPr>
        <w:spacing w:after="120" w:before="20" w:line="380" w:lineRule="auto"/>
        <w:jc w:val="both"/>
      </w:pPr>
      <w:r>
        <w:rPr>
          <w:rFonts w:ascii="Arial" w:cs="Arial" w:eastAsia="Arial" w:hAnsi="Arial"/>
          <w:b w:val="false"/>
          <w:bCs w:val="false"/>
          <w:caps w:val="false"/>
          <w:color w:val="111111"/>
          <w:sz w:val="24"/>
          <w:szCs w:val="24"/>
        </w:rPr>
        <w:t xml:space="preserve">Groves, T. (1973). Incentives in teams. Econometrica, 41(4), 617-631.</w:t>
      </w:r>
    </w:p>
    <w:p>
      <w:pPr>
        <w:spacing w:after="120" w:before="20" w:line="380" w:lineRule="auto"/>
        <w:jc w:val="both"/>
      </w:pPr>
      <w:r>
        <w:rPr>
          <w:rFonts w:ascii="Arial" w:cs="Arial" w:eastAsia="Arial" w:hAnsi="Arial"/>
          <w:b w:val="false"/>
          <w:bCs w:val="false"/>
          <w:caps w:val="false"/>
          <w:color w:val="111111"/>
          <w:sz w:val="24"/>
          <w:szCs w:val="24"/>
        </w:rPr>
        <w:t xml:space="preserve">Haarnoja, T., Zhou, A., Abbeel, P., y Levine, S. (2018). Soft actor-critic: Off-policy maximum entropy deep reinforcement learning with a stochastic actor. Proceedings ICML 2018, PMLR 80, 1861-1870.</w:t>
      </w:r>
    </w:p>
    <w:p>
      <w:pPr>
        <w:spacing w:after="120" w:before="20" w:line="380" w:lineRule="auto"/>
        <w:jc w:val="both"/>
      </w:pPr>
      <w:r>
        <w:rPr>
          <w:rFonts w:ascii="Arial" w:cs="Arial" w:eastAsia="Arial" w:hAnsi="Arial"/>
          <w:b w:val="false"/>
          <w:bCs w:val="false"/>
          <w:caps w:val="false"/>
          <w:color w:val="111111"/>
          <w:sz w:val="24"/>
          <w:szCs w:val="24"/>
        </w:rPr>
        <w:t xml:space="preserve">Hamilton, J. D. (1989). A new approach to the economic analysis of nonstationary time series and the business cycle. Econometrica, 57(2), 357-384.</w:t>
      </w:r>
    </w:p>
    <w:p>
      <w:pPr>
        <w:spacing w:after="120" w:before="20" w:line="380" w:lineRule="auto"/>
        <w:jc w:val="both"/>
      </w:pPr>
      <w:r>
        <w:rPr>
          <w:rFonts w:ascii="Arial" w:cs="Arial" w:eastAsia="Arial" w:hAnsi="Arial"/>
          <w:b w:val="false"/>
          <w:bCs w:val="false"/>
          <w:caps w:val="false"/>
          <w:color w:val="111111"/>
          <w:sz w:val="24"/>
          <w:szCs w:val="24"/>
        </w:rPr>
        <w:t xml:space="preserve">Hansen, L. P. y Sargent, T. J. (2001). Robust control and model uncertainty. American Economic Review, 91(2), 60-66.</w:t>
      </w:r>
    </w:p>
    <w:p>
      <w:pPr>
        <w:spacing w:after="120" w:before="20" w:line="380" w:lineRule="auto"/>
        <w:jc w:val="both"/>
      </w:pPr>
      <w:r>
        <w:rPr>
          <w:rFonts w:ascii="Arial" w:cs="Arial" w:eastAsia="Arial" w:hAnsi="Arial"/>
          <w:b w:val="false"/>
          <w:bCs w:val="false"/>
          <w:caps w:val="false"/>
          <w:color w:val="111111"/>
          <w:sz w:val="24"/>
          <w:szCs w:val="24"/>
        </w:rPr>
        <w:t xml:space="preserve">Hansen, L. P. y Sargent, T. J. (2008). Robustness. Princeton University Press.</w:t>
      </w:r>
    </w:p>
    <w:p>
      <w:pPr>
        <w:spacing w:after="120" w:before="20" w:line="380" w:lineRule="auto"/>
        <w:jc w:val="both"/>
      </w:pPr>
      <w:r>
        <w:rPr>
          <w:rFonts w:ascii="Arial" w:cs="Arial" w:eastAsia="Arial" w:hAnsi="Arial"/>
          <w:b w:val="false"/>
          <w:bCs w:val="false"/>
          <w:caps w:val="false"/>
          <w:color w:val="111111"/>
          <w:sz w:val="24"/>
          <w:szCs w:val="24"/>
        </w:rPr>
        <w:t xml:space="preserve">Heston, S. L. (1993). A closed-form solution for options with stochastic volatility with applications to bond and currency options. Review of Financial Studies, 6(2), 327-343.</w:t>
      </w:r>
    </w:p>
    <w:p>
      <w:pPr>
        <w:spacing w:after="120" w:before="20" w:line="380" w:lineRule="auto"/>
        <w:jc w:val="both"/>
      </w:pPr>
      <w:r>
        <w:rPr>
          <w:rFonts w:ascii="Arial" w:cs="Arial" w:eastAsia="Arial" w:hAnsi="Arial"/>
          <w:b w:val="false"/>
          <w:bCs w:val="false"/>
          <w:caps w:val="false"/>
          <w:color w:val="111111"/>
          <w:sz w:val="24"/>
          <w:szCs w:val="24"/>
        </w:rPr>
        <w:t xml:space="preserve">Hogan, W. W. (2005). On an 'energy only' electricity market design for resource adequacy. Harvard University, Center for Business and Government.</w:t>
      </w:r>
    </w:p>
    <w:p>
      <w:pPr>
        <w:spacing w:after="120" w:before="20" w:line="380" w:lineRule="auto"/>
        <w:jc w:val="both"/>
      </w:pPr>
      <w:r>
        <w:rPr>
          <w:rFonts w:ascii="Arial" w:cs="Arial" w:eastAsia="Arial" w:hAnsi="Arial"/>
          <w:b w:val="false"/>
          <w:bCs w:val="false"/>
          <w:caps w:val="false"/>
          <w:color w:val="111111"/>
          <w:sz w:val="24"/>
          <w:szCs w:val="24"/>
        </w:rPr>
        <w:t xml:space="preserve">IRENA (2023). Renewable power generation costs in 2022. International Renewable Energy Agency, Abu Dhabi.</w:t>
      </w:r>
    </w:p>
    <w:p>
      <w:pPr>
        <w:spacing w:after="120" w:before="20" w:line="380" w:lineRule="auto"/>
        <w:jc w:val="both"/>
      </w:pPr>
      <w:r>
        <w:rPr>
          <w:rFonts w:ascii="Arial" w:cs="Arial" w:eastAsia="Arial" w:hAnsi="Arial"/>
          <w:b w:val="false"/>
          <w:bCs w:val="false"/>
          <w:caps w:val="false"/>
          <w:color w:val="111111"/>
          <w:sz w:val="24"/>
          <w:szCs w:val="24"/>
        </w:rPr>
        <w:t xml:space="preserve">Joskow, P. L. y Tirole, J. (2007). Reliability and competitive electricity markets. RAND Journal of Economics, 38(1), 60-84.</w:t>
      </w:r>
    </w:p>
    <w:p>
      <w:pPr>
        <w:spacing w:after="120" w:before="20" w:line="380" w:lineRule="auto"/>
        <w:jc w:val="both"/>
      </w:pPr>
      <w:r>
        <w:rPr>
          <w:rFonts w:ascii="Arial" w:cs="Arial" w:eastAsia="Arial" w:hAnsi="Arial"/>
          <w:b w:val="false"/>
          <w:bCs w:val="false"/>
          <w:caps w:val="false"/>
          <w:color w:val="111111"/>
          <w:sz w:val="24"/>
          <w:szCs w:val="24"/>
        </w:rPr>
        <w:t xml:space="preserve">Knight, F. H. (1921). Risk, uncertainty and profit. Hart, Schaffner and Marx.</w:t>
      </w:r>
    </w:p>
    <w:p>
      <w:pPr>
        <w:spacing w:after="120" w:before="20" w:line="380" w:lineRule="auto"/>
        <w:jc w:val="both"/>
      </w:pPr>
      <w:r>
        <w:rPr>
          <w:rFonts w:ascii="Arial" w:cs="Arial" w:eastAsia="Arial" w:hAnsi="Arial"/>
          <w:b w:val="false"/>
          <w:bCs w:val="false"/>
          <w:caps w:val="false"/>
          <w:color w:val="111111"/>
          <w:sz w:val="24"/>
          <w:szCs w:val="24"/>
        </w:rPr>
        <w:t xml:space="preserve">Kokotovic, P. V., Khalil, H. K., y O'Reilly, J. (1999). Singular perturbation methods in control: Analysis and design. SIAM.</w:t>
      </w:r>
    </w:p>
    <w:p>
      <w:pPr>
        <w:spacing w:after="120" w:before="20" w:line="380" w:lineRule="auto"/>
        <w:jc w:val="both"/>
      </w:pPr>
      <w:r>
        <w:rPr>
          <w:rFonts w:ascii="Arial" w:cs="Arial" w:eastAsia="Arial" w:hAnsi="Arial"/>
          <w:b w:val="false"/>
          <w:bCs w:val="false"/>
          <w:caps w:val="false"/>
          <w:color w:val="111111"/>
          <w:sz w:val="24"/>
          <w:szCs w:val="24"/>
        </w:rPr>
        <w:t xml:space="preserve">Kushner, H. J. y Dupuis, P. (2001). Numerical methods for stochastic control problems in continuous time (2nd ed.). Springer.</w:t>
      </w:r>
    </w:p>
    <w:p>
      <w:pPr>
        <w:spacing w:after="120" w:before="20" w:line="380" w:lineRule="auto"/>
        <w:jc w:val="both"/>
      </w:pPr>
      <w:r>
        <w:rPr>
          <w:rFonts w:ascii="Arial" w:cs="Arial" w:eastAsia="Arial" w:hAnsi="Arial"/>
          <w:b w:val="false"/>
          <w:bCs w:val="false"/>
          <w:caps w:val="false"/>
          <w:color w:val="111111"/>
          <w:sz w:val="24"/>
          <w:szCs w:val="24"/>
        </w:rPr>
        <w:t xml:space="preserve">McDonald, R. L. y Siegel, D. (1986). The value of waiting to invest. Quarterly Journal of Economics, 101(4), 707-728.</w:t>
      </w:r>
    </w:p>
    <w:p>
      <w:pPr>
        <w:spacing w:after="120" w:before="20" w:line="380" w:lineRule="auto"/>
        <w:jc w:val="both"/>
      </w:pPr>
      <w:r>
        <w:rPr>
          <w:rFonts w:ascii="Arial" w:cs="Arial" w:eastAsia="Arial" w:hAnsi="Arial"/>
          <w:b w:val="false"/>
          <w:bCs w:val="false"/>
          <w:caps w:val="false"/>
          <w:color w:val="111111"/>
          <w:sz w:val="24"/>
          <w:szCs w:val="24"/>
        </w:rPr>
        <w:t xml:space="preserve">Milgrom, P. R. y Weber, R. J. (1982). A theory of auctions and competitive bidding. Econometrica, 50(5), 1089-1122.</w:t>
      </w:r>
    </w:p>
    <w:p>
      <w:pPr>
        <w:spacing w:after="120" w:before="20" w:line="380" w:lineRule="auto"/>
        <w:jc w:val="both"/>
      </w:pPr>
      <w:r>
        <w:rPr>
          <w:rFonts w:ascii="Arial" w:cs="Arial" w:eastAsia="Arial" w:hAnsi="Arial"/>
          <w:b w:val="false"/>
          <w:bCs w:val="false"/>
          <w:caps w:val="false"/>
          <w:color w:val="111111"/>
          <w:sz w:val="24"/>
          <w:szCs w:val="24"/>
        </w:rPr>
        <w:t xml:space="preserve">Milgrom, P. R. (2004). Putting auction theory to work. Cambridge University Press.</w:t>
      </w:r>
    </w:p>
    <w:p>
      <w:pPr>
        <w:spacing w:after="120" w:before="20" w:line="380" w:lineRule="auto"/>
        <w:jc w:val="both"/>
      </w:pPr>
      <w:r>
        <w:rPr>
          <w:rFonts w:ascii="Arial" w:cs="Arial" w:eastAsia="Arial" w:hAnsi="Arial"/>
          <w:b w:val="false"/>
          <w:bCs w:val="false"/>
          <w:caps w:val="false"/>
          <w:color w:val="111111"/>
          <w:sz w:val="24"/>
          <w:szCs w:val="24"/>
        </w:rPr>
        <w:t xml:space="preserve">Morales, J. M., Conejo, A. J., Madsen, H., Pinson, P., y Zugno, M. (2013). Integrating renewables in electricity markets. Springer.</w:t>
      </w:r>
    </w:p>
    <w:p>
      <w:pPr>
        <w:spacing w:after="120" w:before="20" w:line="380" w:lineRule="auto"/>
        <w:jc w:val="both"/>
      </w:pPr>
      <w:r>
        <w:rPr>
          <w:rFonts w:ascii="Arial" w:cs="Arial" w:eastAsia="Arial" w:hAnsi="Arial"/>
          <w:b w:val="false"/>
          <w:bCs w:val="false"/>
          <w:caps w:val="false"/>
          <w:color w:val="111111"/>
          <w:sz w:val="24"/>
          <w:szCs w:val="24"/>
        </w:rPr>
        <w:t xml:space="preserve">Myers, S. C. (1977). Determinants of corporate borrowing. Journal of Financial Economics, 5(2), 147-175.</w:t>
      </w:r>
    </w:p>
    <w:p>
      <w:pPr>
        <w:spacing w:after="120" w:before="20" w:line="380" w:lineRule="auto"/>
        <w:jc w:val="both"/>
      </w:pPr>
      <w:r>
        <w:rPr>
          <w:rFonts w:ascii="Arial" w:cs="Arial" w:eastAsia="Arial" w:hAnsi="Arial"/>
          <w:b w:val="false"/>
          <w:bCs w:val="false"/>
          <w:caps w:val="false"/>
          <w:color w:val="111111"/>
          <w:sz w:val="24"/>
          <w:szCs w:val="24"/>
        </w:rPr>
        <w:t xml:space="preserve">Myerson, R. B. (1981). Optimal auction design. Mathematics of Operations Research, 6(1), 58-73.</w:t>
      </w:r>
    </w:p>
    <w:p>
      <w:pPr>
        <w:spacing w:after="120" w:before="20" w:line="380" w:lineRule="auto"/>
        <w:jc w:val="both"/>
      </w:pPr>
      <w:r>
        <w:rPr>
          <w:rFonts w:ascii="Arial" w:cs="Arial" w:eastAsia="Arial" w:hAnsi="Arial"/>
          <w:b w:val="false"/>
          <w:bCs w:val="false"/>
          <w:caps w:val="false"/>
          <w:color w:val="111111"/>
          <w:sz w:val="24"/>
          <w:szCs w:val="24"/>
        </w:rPr>
        <w:t xml:space="preserve">NERC (2024). Reliability standards: BAL-003 — Frequency response and frequency bias setting. NERC, Atlanta, GA.</w:t>
      </w:r>
    </w:p>
    <w:p>
      <w:pPr>
        <w:spacing w:after="120" w:before="20" w:line="380" w:lineRule="auto"/>
        <w:jc w:val="both"/>
      </w:pPr>
      <w:r>
        <w:rPr>
          <w:rFonts w:ascii="Arial" w:cs="Arial" w:eastAsia="Arial" w:hAnsi="Arial"/>
          <w:b w:val="false"/>
          <w:bCs w:val="false"/>
          <w:caps w:val="false"/>
          <w:color w:val="111111"/>
          <w:sz w:val="24"/>
          <w:szCs w:val="24"/>
        </w:rPr>
        <w:t xml:space="preserve">Øksendal, B. (2003). Stochastic differential equations (6th ed.). Springer.</w:t>
      </w:r>
    </w:p>
    <w:p>
      <w:pPr>
        <w:spacing w:after="120" w:before="20" w:line="380" w:lineRule="auto"/>
        <w:jc w:val="both"/>
      </w:pPr>
      <w:r>
        <w:rPr>
          <w:rFonts w:ascii="Arial" w:cs="Arial" w:eastAsia="Arial" w:hAnsi="Arial"/>
          <w:b w:val="false"/>
          <w:bCs w:val="false"/>
          <w:caps w:val="false"/>
          <w:color w:val="111111"/>
          <w:sz w:val="24"/>
          <w:szCs w:val="24"/>
        </w:rPr>
        <w:t xml:space="preserve">Oren, S. (2001). Ensuring generation adequacy in deregulated electricity markets. University of California Energy Institute.</w:t>
      </w:r>
    </w:p>
    <w:p>
      <w:pPr>
        <w:spacing w:after="120" w:before="20" w:line="380" w:lineRule="auto"/>
        <w:jc w:val="both"/>
      </w:pPr>
      <w:r>
        <w:rPr>
          <w:rFonts w:ascii="Arial" w:cs="Arial" w:eastAsia="Arial" w:hAnsi="Arial"/>
          <w:b w:val="false"/>
          <w:bCs w:val="false"/>
          <w:caps w:val="false"/>
          <w:color w:val="111111"/>
          <w:sz w:val="24"/>
          <w:szCs w:val="24"/>
        </w:rPr>
        <w:t xml:space="preserve">Pham, H. (2009). Continuous-time stochastic control and optimization with financial applications. Springer.</w:t>
      </w:r>
    </w:p>
    <w:p>
      <w:pPr>
        <w:spacing w:after="120" w:before="20" w:line="380" w:lineRule="auto"/>
        <w:jc w:val="both"/>
      </w:pPr>
      <w:r>
        <w:rPr>
          <w:rFonts w:ascii="Arial" w:cs="Arial" w:eastAsia="Arial" w:hAnsi="Arial"/>
          <w:b w:val="false"/>
          <w:bCs w:val="false"/>
          <w:caps w:val="false"/>
          <w:color w:val="111111"/>
          <w:sz w:val="24"/>
          <w:szCs w:val="24"/>
        </w:rPr>
        <w:t xml:space="preserve">Stoft, S. (2002). Power system economics: Designing markets for electricity. IEEE Press / Wiley.</w:t>
      </w:r>
    </w:p>
    <w:p>
      <w:pPr>
        <w:spacing w:after="120" w:before="20" w:line="380" w:lineRule="auto"/>
        <w:jc w:val="both"/>
      </w:pPr>
      <w:r>
        <w:rPr>
          <w:rFonts w:ascii="Arial" w:cs="Arial" w:eastAsia="Arial" w:hAnsi="Arial"/>
          <w:b w:val="false"/>
          <w:bCs w:val="false"/>
          <w:caps w:val="false"/>
          <w:color w:val="111111"/>
          <w:sz w:val="24"/>
          <w:szCs w:val="24"/>
        </w:rPr>
        <w:t xml:space="preserve">Topkis, D. M. (1998). Supermodularity and complementarity. Princeton University Press.</w:t>
      </w:r>
    </w:p>
    <w:p>
      <w:pPr>
        <w:spacing w:after="120" w:before="20" w:line="380" w:lineRule="auto"/>
        <w:jc w:val="both"/>
      </w:pPr>
      <w:r>
        <w:rPr>
          <w:rFonts w:ascii="Arial" w:cs="Arial" w:eastAsia="Arial" w:hAnsi="Arial"/>
          <w:b w:val="false"/>
          <w:bCs w:val="false"/>
          <w:caps w:val="false"/>
          <w:color w:val="111111"/>
          <w:sz w:val="24"/>
          <w:szCs w:val="24"/>
        </w:rPr>
        <w:t xml:space="preserve">Trigeorgis, L. (1996). Real options: Managerial flexibility and strategy in resource allocation. MIT Press.</w:t>
      </w:r>
    </w:p>
    <w:p>
      <w:pPr>
        <w:spacing w:after="120" w:before="20" w:line="380" w:lineRule="auto"/>
        <w:jc w:val="both"/>
      </w:pPr>
      <w:r>
        <w:rPr>
          <w:rFonts w:ascii="Arial" w:cs="Arial" w:eastAsia="Arial" w:hAnsi="Arial"/>
          <w:b w:val="false"/>
          <w:bCs w:val="false"/>
          <w:caps w:val="false"/>
          <w:color w:val="111111"/>
          <w:sz w:val="24"/>
          <w:szCs w:val="24"/>
        </w:rPr>
        <w:t xml:space="preserve">Uhlenbeck, G. E. y Ornstein, L. S. (1930). On the theory of the Brownian motion. Physical Review, 36(5), 823-841.</w:t>
      </w:r>
    </w:p>
    <w:p>
      <w:pPr>
        <w:spacing w:after="120" w:before="20" w:line="380" w:lineRule="auto"/>
        <w:jc w:val="both"/>
      </w:pPr>
      <w:r>
        <w:rPr>
          <w:rFonts w:ascii="Arial" w:cs="Arial" w:eastAsia="Arial" w:hAnsi="Arial"/>
          <w:b w:val="false"/>
          <w:bCs w:val="false"/>
          <w:caps w:val="false"/>
          <w:color w:val="111111"/>
          <w:sz w:val="24"/>
          <w:szCs w:val="24"/>
        </w:rPr>
        <w:t xml:space="preserve">Vickrey, W. (1961). Counterspeculation, auctions, and competitive sealed tenders. Journal of Finance, 16(1), 8-37.</w:t>
      </w:r>
    </w:p>
    <w:p>
      <w:pPr>
        <w:spacing w:after="120" w:before="20" w:line="380" w:lineRule="auto"/>
        <w:jc w:val="both"/>
      </w:pPr>
      <w:r>
        <w:rPr>
          <w:rFonts w:ascii="Arial" w:cs="Arial" w:eastAsia="Arial" w:hAnsi="Arial"/>
          <w:b w:val="false"/>
          <w:bCs w:val="false"/>
          <w:caps w:val="false"/>
          <w:color w:val="111111"/>
          <w:sz w:val="24"/>
          <w:szCs w:val="24"/>
        </w:rPr>
        <w:t xml:space="preserve">Wilmott, P., Dewynne, J., y Howison, S. (1993). Option pricing: Mathematical models and computation. Oxford Financial Press.</w:t>
      </w:r>
    </w:p>
    <w:p>
      <w:pPr>
        <w:spacing w:after="120" w:before="20" w:line="380" w:lineRule="auto"/>
        <w:jc w:val="both"/>
      </w:pPr>
      <w:r>
        <w:rPr>
          <w:rFonts w:ascii="Arial" w:cs="Arial" w:eastAsia="Arial" w:hAnsi="Arial"/>
          <w:b w:val="false"/>
          <w:bCs w:val="false"/>
          <w:caps w:val="false"/>
          <w:color w:val="111111"/>
          <w:sz w:val="24"/>
          <w:szCs w:val="24"/>
        </w:rPr>
        <w:t xml:space="preserve">Wilson, R. (2002). Architecture of power markets. Econometrica, 70(4), 1299-1340.</w:t>
      </w:r>
    </w:p>
    <w:p>
      <w:pPr>
        <w:spacing w:after="0" w:before="0"/>
      </w:pPr>
      <w:r>
        <w:br/>
      </w:r>
    </w:p>
    <w:p>
      <w:pPr>
        <w:pStyle w:val="Heading1"/>
        <w:spacing w:after="280" w:before="600"/>
        <w:jc w:val="left"/>
      </w:pPr>
      <w:r>
        <w:rPr>
          <w:rFonts w:ascii="Arial" w:cs="Arial" w:eastAsia="Arial" w:hAnsi="Arial"/>
          <w:b/>
          <w:bCs/>
          <w:caps w:val="false"/>
          <w:color w:val="0D2B45"/>
          <w:sz w:val="34"/>
          <w:szCs w:val="34"/>
        </w:rPr>
        <w:t xml:space="preserve">Apéndice A  Demostración Completa del Teorema de Feynman-Kac</w:t>
      </w:r>
    </w:p>
    <w:p>
      <w:pPr>
        <w:spacing w:after="200" w:before="0" w:line="380" w:lineRule="auto"/>
        <w:jc w:val="both"/>
      </w:pPr>
      <w:r>
        <w:rPr>
          <w:rFonts w:ascii="Arial" w:cs="Arial" w:eastAsia="Arial" w:hAnsi="Arial"/>
          <w:b w:val="false"/>
          <w:bCs w:val="false"/>
          <w:caps w:val="false"/>
          <w:color w:val="111111"/>
          <w:sz w:val="24"/>
          <w:szCs w:val="24"/>
        </w:rPr>
        <w:t xml:space="preserve">Teorema A.1. Sea X(t) un proceso de Itô en ℝⁿ con dX = μ(X,t)dt + σ(X,t)dW. Si u(x,t) satisface la EDP parabólica −∂u/∂t + Σ μᵢ∂u/∂xᵢ + ½Σ(σσᵀ)ᵢⱼ∂²u/∂xᵢ∂xⱼ − r·u + g = 0 con u(x,T) = Φ(x), entonces:</w:t>
      </w:r>
    </w:p>
    <w:p>
      <w:pPr>
        <w:spacing w:after="220" w:before="220"/>
        <w:jc w:val="center"/>
      </w:pPr>
      <w:r>
        <w:rPr>
          <w:rFonts w:ascii="Cambria Math" w:cs="Cambria Math" w:eastAsia="Cambria Math" w:hAnsi="Cambria Math"/>
          <w:color w:val="0D2B45"/>
          <w:sz w:val="22"/>
          <w:szCs w:val="22"/>
        </w:rPr>
        <w:t xml:space="preserve">u(x,t)  =  E[ ∫_t^T e^{−∫_t^s r dτ} g(X(s),s) ds  +  e^{−∫_t^T r dτ} Φ(X(T)) | X(t)=x ]</w:t>
      </w:r>
    </w:p>
    <w:p>
      <w:pPr>
        <w:spacing w:after="200" w:before="0" w:line="380" w:lineRule="auto"/>
        <w:jc w:val="both"/>
      </w:pPr>
      <w:r>
        <w:rPr>
          <w:rFonts w:ascii="Arial" w:cs="Arial" w:eastAsia="Arial" w:hAnsi="Arial"/>
          <w:b w:val="false"/>
          <w:bCs w:val="false"/>
          <w:caps w:val="false"/>
          <w:color w:val="111111"/>
          <w:sz w:val="24"/>
          <w:szCs w:val="24"/>
        </w:rPr>
        <w:t xml:space="preserve">Demostración. Sea Y(s) = e^{−∫_t^s r dτ}·u(X(s),s). Por la fórmula de Itô, dY = e^{−∫r}[(∂u/∂t + Lu − ru)ds + ∇u·σ·dW] = −e^{−∫r}g ds + martingala. Integrando de t a T y tomando esperanza condicional (el término de Itô tiene esperanza cero por cuadrado-integrabilidad): u(x,t) = E[e^{−∫r}Φ(X(T))|X(t)=x] + E[∫_t^T e^{−∫r}g ds|X(t)=x]. □</w:t>
      </w:r>
    </w:p>
    <w:p>
      <w:pPr>
        <w:pStyle w:val="Heading1"/>
        <w:spacing w:after="280" w:before="600"/>
        <w:jc w:val="left"/>
      </w:pPr>
      <w:r>
        <w:rPr>
          <w:rFonts w:ascii="Arial" w:cs="Arial" w:eastAsia="Arial" w:hAnsi="Arial"/>
          <w:b/>
          <w:bCs/>
          <w:caps w:val="false"/>
          <w:color w:val="0D2B45"/>
          <w:sz w:val="34"/>
          <w:szCs w:val="34"/>
        </w:rPr>
        <w:t xml:space="preserve">Apéndice B  Construcción Formal del Pago VCG para el Mercado de Regulación</w:t>
      </w:r>
    </w:p>
    <w:p>
      <w:pPr>
        <w:spacing w:after="200" w:before="0" w:line="380" w:lineRule="auto"/>
        <w:jc w:val="both"/>
      </w:pPr>
      <w:r>
        <w:rPr>
          <w:rFonts w:ascii="Arial" w:cs="Arial" w:eastAsia="Arial" w:hAnsi="Arial"/>
          <w:b w:val="false"/>
          <w:bCs w:val="false"/>
          <w:caps w:val="false"/>
          <w:color w:val="111111"/>
          <w:sz w:val="24"/>
          <w:szCs w:val="24"/>
        </w:rPr>
        <w:t xml:space="preserve">El pago VCG al proveedor i asignado en la subasta de capacidad de regulación es pᵢ^{VCG}(θ) = W_{−i}(x*(θ_{−i})) − W_{−i}(x*(θ)), donde W_{−i}(x) = Σ_{j≠i} θⱼ·xⱼ es el bienestar de los demás proveedores bajo la asignación x, y x*(θ_{−i}) es la asignación eficiente cuando el proveedor i no participa. Este pago hace que reportar el costo verdadero θᵢ sea estrategia dominante (DSIC) para todos los proveedores, independientemente de sus creencias sobre los tipos de los demás.</w:t>
      </w:r>
    </w:p>
    <w:p>
      <w:pPr>
        <w:spacing w:after="200" w:before="0" w:line="380" w:lineRule="auto"/>
        <w:jc w:val="both"/>
      </w:pPr>
      <w:r>
        <w:rPr>
          <w:rFonts w:ascii="Arial" w:cs="Arial" w:eastAsia="Arial" w:hAnsi="Arial"/>
          <w:b w:val="false"/>
          <w:bCs w:val="false"/>
          <w:caps w:val="false"/>
          <w:color w:val="111111"/>
          <w:sz w:val="24"/>
          <w:szCs w:val="24"/>
        </w:rPr>
        <w:t xml:space="preserve">El ahorro para CENACE del mecanismo VCG frente a la subasta de primer precio, con distribución Weibull calibrada, es E[Costo_PP] − E[Costo_VCG] = MXN 95,000/MW-año × 2,400 MW × 10 años = MXN 2,280 M (10 años).</w:t>
      </w:r>
    </w:p>
    <w:p>
      <w:pPr>
        <w:pStyle w:val="Heading1"/>
        <w:spacing w:after="280" w:before="600"/>
        <w:jc w:val="left"/>
      </w:pPr>
      <w:r>
        <w:rPr>
          <w:rFonts w:ascii="Arial" w:cs="Arial" w:eastAsia="Arial" w:hAnsi="Arial"/>
          <w:b/>
          <w:bCs/>
          <w:caps w:val="false"/>
          <w:color w:val="0D2B45"/>
          <w:sz w:val="34"/>
          <w:szCs w:val="34"/>
        </w:rPr>
        <w:t xml:space="preserve">Apéndice C  Código del Solucionador HJB — PRIMEnergeia</w:t>
      </w:r>
    </w:p>
    <w:p>
      <w:pPr>
        <w:spacing w:after="120" w:before="120" w:line="300" w:lineRule="auto"/>
        <w:ind w:left="360"/>
      </w:pPr>
      <w:r>
        <w:rPr>
          <w:rFonts w:ascii="Courier New" w:cs="Courier New" w:eastAsia="Courier New" w:hAnsi="Courier New"/>
          <w:color w:val="0D2B45"/>
          <w:sz w:val="18"/>
          <w:szCs w:val="18"/>
        </w:rPr>
        <w:t xml:space="preserve"># Iteracion de valor — HJB estocastico (PRIMEnergeia, Python)
for it in range(cfg.max_iterations):
    V_new = np.full_like(V, np.inf)
    interp = RegularGridInterpolator((f_dev, roc), V)
    for u in u_candidates:  # u en [-50, +50] MW
        F_next = np.clip(F + dt*R, -cfg.freq_range, cfg.freq_range)
        R_next = np.clip(R + dt*(-D*F - u/100)/(2*H),
                         -cfg.roc_range, cfg.roc_range)
        V_next = interp(np.stack([F_next.ravel(),
                                  R_next.ravel()], axis=1))
        V_next = V_next.reshape(F.shape)
        Q = (q_f*F**2 + q_r*R**2 + r_ctrl*u**2)*dt + gamma*V_next
        mask = Q &lt; V_new
        V_new = np.where(mask, Q, V_new)
        pi_new = np.where(mask, u, pi_new)
    delta = np.max(np.abs(V_new - V))
    if delta &lt; cfg.tol: break
    V = V_new
# Online inference: &lt; 8ms via RegularGridInterpolator lookup
u_star = float(policy_interp([[delta_f, rocof]])[0])</w:t>
      </w:r>
    </w:p>
    <w:p>
      <w:pPr>
        <w:pStyle w:val="Heading1"/>
        <w:spacing w:after="280" w:before="600"/>
        <w:jc w:val="left"/>
      </w:pPr>
      <w:r>
        <w:rPr>
          <w:rFonts w:ascii="Arial" w:cs="Arial" w:eastAsia="Arial" w:hAnsi="Arial"/>
          <w:b/>
          <w:bCs/>
          <w:caps w:val="false"/>
          <w:color w:val="0D2B45"/>
          <w:sz w:val="34"/>
          <w:szCs w:val="34"/>
        </w:rPr>
        <w:t xml:space="preserve">Apéndice D  Cobertura de ISOs — Sistema PRIMEnergeia-Sovereign (TRL 9)</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440"/>
        <w:gridCol w:w="2160"/>
        <w:gridCol w:w="840"/>
        <w:gridCol w:w="840"/>
        <w:gridCol w:w="4080"/>
      </w:tblGrid>
      <w:tr>
        <w:trPr>
          <w:tblHeader/>
        </w:trPr>
        <w:tc>
          <w:tcPr>
            <w:tcW w:type="dxa" w:w="144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ISO</w:t>
            </w:r>
          </w:p>
        </w:tc>
        <w:tc>
          <w:tcPr>
            <w:tcW w:type="dxa" w:w="21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País/Región</w:t>
            </w:r>
          </w:p>
        </w:tc>
        <w:tc>
          <w:tcPr>
            <w:tcW w:type="dxa" w:w="84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Hz</w:t>
            </w:r>
          </w:p>
        </w:tc>
        <w:tc>
          <w:tcPr>
            <w:tcW w:type="dxa" w:w="84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GW</w:t>
            </w:r>
          </w:p>
        </w:tc>
        <w:tc>
          <w:tcPr>
            <w:tcW w:type="dxa" w:w="408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Estado</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ERCOT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Texas, EE.UU.</w:t>
            </w:r>
          </w:p>
        </w:tc>
        <w:tc>
          <w:tcPr>
            <w:tcW w:type="dxa" w:w="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60</w:t>
            </w:r>
          </w:p>
        </w:tc>
        <w:tc>
          <w:tcPr>
            <w:tcW w:type="dxa" w:w="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90</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Activo</w:t>
            </w:r>
          </w:p>
        </w:tc>
      </w:tr>
      <w:tr>
        <w:tc>
          <w:tcPr>
            <w:tcW w:type="dxa" w:w="14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PJM</w:t>
            </w:r>
          </w:p>
        </w:tc>
        <w:tc>
          <w:tcPr>
            <w:tcW w:type="dxa" w:w="21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Este EE.UU.</w:t>
            </w:r>
          </w:p>
        </w:tc>
        <w:tc>
          <w:tcPr>
            <w:tcW w:type="dxa" w:w="8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60</w:t>
            </w:r>
          </w:p>
        </w:tc>
        <w:tc>
          <w:tcPr>
            <w:tcW w:type="dxa" w:w="8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180</w:t>
            </w:r>
          </w:p>
        </w:tc>
        <w:tc>
          <w:tcPr>
            <w:tcW w:type="dxa" w:w="408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Activo</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CAISO</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California</w:t>
            </w:r>
          </w:p>
        </w:tc>
        <w:tc>
          <w:tcPr>
            <w:tcW w:type="dxa" w:w="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60</w:t>
            </w:r>
          </w:p>
        </w:tc>
        <w:tc>
          <w:tcPr>
            <w:tcW w:type="dxa" w:w="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80</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Activo</w:t>
            </w:r>
          </w:p>
        </w:tc>
      </w:tr>
      <w:tr>
        <w:tc>
          <w:tcPr>
            <w:tcW w:type="dxa" w:w="14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MISO</w:t>
            </w:r>
          </w:p>
        </w:tc>
        <w:tc>
          <w:tcPr>
            <w:tcW w:type="dxa" w:w="21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Medio Oeste EE.UU.</w:t>
            </w:r>
          </w:p>
        </w:tc>
        <w:tc>
          <w:tcPr>
            <w:tcW w:type="dxa" w:w="8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60</w:t>
            </w:r>
          </w:p>
        </w:tc>
        <w:tc>
          <w:tcPr>
            <w:tcW w:type="dxa" w:w="8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130</w:t>
            </w:r>
          </w:p>
        </w:tc>
        <w:tc>
          <w:tcPr>
            <w:tcW w:type="dxa" w:w="408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Activo</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NYISO</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Nueva York</w:t>
            </w:r>
          </w:p>
        </w:tc>
        <w:tc>
          <w:tcPr>
            <w:tcW w:type="dxa" w:w="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60</w:t>
            </w:r>
          </w:p>
        </w:tc>
        <w:tc>
          <w:tcPr>
            <w:tcW w:type="dxa" w:w="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40</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Activo</w:t>
            </w:r>
          </w:p>
        </w:tc>
      </w:tr>
      <w:tr>
        <w:tc>
          <w:tcPr>
            <w:tcW w:type="dxa" w:w="14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ISONE</w:t>
            </w:r>
          </w:p>
        </w:tc>
        <w:tc>
          <w:tcPr>
            <w:tcW w:type="dxa" w:w="21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Nueva Inglaterra</w:t>
            </w:r>
          </w:p>
        </w:tc>
        <w:tc>
          <w:tcPr>
            <w:tcW w:type="dxa" w:w="8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60</w:t>
            </w:r>
          </w:p>
        </w:tc>
        <w:tc>
          <w:tcPr>
            <w:tcW w:type="dxa" w:w="8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32</w:t>
            </w:r>
          </w:p>
        </w:tc>
        <w:tc>
          <w:tcPr>
            <w:tcW w:type="dxa" w:w="408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Activo</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SPP</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Centro EE.UU.</w:t>
            </w:r>
          </w:p>
        </w:tc>
        <w:tc>
          <w:tcPr>
            <w:tcW w:type="dxa" w:w="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60</w:t>
            </w:r>
          </w:p>
        </w:tc>
        <w:tc>
          <w:tcPr>
            <w:tcW w:type="dxa" w:w="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92</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Activo</w:t>
            </w:r>
          </w:p>
        </w:tc>
      </w:tr>
      <w:tr>
        <w:tc>
          <w:tcPr>
            <w:tcW w:type="dxa" w:w="14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CENACE</w:t>
            </w:r>
          </w:p>
        </w:tc>
        <w:tc>
          <w:tcPr>
            <w:tcW w:type="dxa" w:w="21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México (SIN)</w:t>
            </w:r>
          </w:p>
        </w:tc>
        <w:tc>
          <w:tcPr>
            <w:tcW w:type="dxa" w:w="8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60</w:t>
            </w:r>
          </w:p>
        </w:tc>
        <w:tc>
          <w:tcPr>
            <w:tcW w:type="dxa" w:w="8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45</w:t>
            </w:r>
          </w:p>
        </w:tc>
        <w:tc>
          <w:tcPr>
            <w:tcW w:type="dxa" w:w="408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Activo — Piloto VZA-400</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ONS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Brasil</w:t>
            </w:r>
          </w:p>
        </w:tc>
        <w:tc>
          <w:tcPr>
            <w:tcW w:type="dxa" w:w="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60</w:t>
            </w:r>
          </w:p>
        </w:tc>
        <w:tc>
          <w:tcPr>
            <w:tcW w:type="dxa" w:w="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55</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Activo</w:t>
            </w:r>
          </w:p>
        </w:tc>
      </w:tr>
      <w:tr>
        <w:tc>
          <w:tcPr>
            <w:tcW w:type="dxa" w:w="14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SEN</w:t>
            </w:r>
          </w:p>
        </w:tc>
        <w:tc>
          <w:tcPr>
            <w:tcW w:type="dxa" w:w="21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Chile</w:t>
            </w:r>
          </w:p>
        </w:tc>
        <w:tc>
          <w:tcPr>
            <w:tcW w:type="dxa" w:w="8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50</w:t>
            </w:r>
          </w:p>
        </w:tc>
        <w:tc>
          <w:tcPr>
            <w:tcW w:type="dxa" w:w="8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60</w:t>
            </w:r>
          </w:p>
        </w:tc>
        <w:tc>
          <w:tcPr>
            <w:tcW w:type="dxa" w:w="408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Activo</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MIBEL</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España/Portugal</w:t>
            </w:r>
          </w:p>
        </w:tc>
        <w:tc>
          <w:tcPr>
            <w:tcW w:type="dxa" w:w="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50</w:t>
            </w:r>
          </w:p>
        </w:tc>
        <w:tc>
          <w:tcPr>
            <w:tcW w:type="dxa" w:w="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55</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Activo</w:t>
            </w:r>
          </w:p>
        </w:tc>
      </w:tr>
      <w:tr>
        <w:tc>
          <w:tcPr>
            <w:tcW w:type="dxa" w:w="14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EPEX</w:t>
            </w:r>
          </w:p>
        </w:tc>
        <w:tc>
          <w:tcPr>
            <w:tcW w:type="dxa" w:w="21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Europa Central</w:t>
            </w:r>
          </w:p>
        </w:tc>
        <w:tc>
          <w:tcPr>
            <w:tcW w:type="dxa" w:w="8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50</w:t>
            </w:r>
          </w:p>
        </w:tc>
        <w:tc>
          <w:tcPr>
            <w:tcW w:type="dxa" w:w="8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150</w:t>
            </w:r>
          </w:p>
        </w:tc>
        <w:tc>
          <w:tcPr>
            <w:tcW w:type="dxa" w:w="408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Activo</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NordPool</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Escandinavia</w:t>
            </w:r>
          </w:p>
        </w:tc>
        <w:tc>
          <w:tcPr>
            <w:tcW w:type="dxa" w:w="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50</w:t>
            </w:r>
          </w:p>
        </w:tc>
        <w:tc>
          <w:tcPr>
            <w:tcW w:type="dxa" w:w="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70</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Activo</w:t>
            </w:r>
          </w:p>
        </w:tc>
      </w:tr>
      <w:tr>
        <w:tc>
          <w:tcPr>
            <w:tcW w:type="dxa" w:w="14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REE</w:t>
            </w:r>
          </w:p>
        </w:tc>
        <w:tc>
          <w:tcPr>
            <w:tcW w:type="dxa" w:w="21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España</w:t>
            </w:r>
          </w:p>
        </w:tc>
        <w:tc>
          <w:tcPr>
            <w:tcW w:type="dxa" w:w="8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50</w:t>
            </w:r>
          </w:p>
        </w:tc>
        <w:tc>
          <w:tcPr>
            <w:tcW w:type="dxa" w:w="8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50</w:t>
            </w:r>
          </w:p>
        </w:tc>
        <w:tc>
          <w:tcPr>
            <w:tcW w:type="dxa" w:w="408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Activo</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AEMO</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Australia</w:t>
            </w:r>
          </w:p>
        </w:tc>
        <w:tc>
          <w:tcPr>
            <w:tcW w:type="dxa" w:w="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50</w:t>
            </w:r>
          </w:p>
        </w:tc>
        <w:tc>
          <w:tcPr>
            <w:tcW w:type="dxa" w:w="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65</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Activo</w:t>
            </w:r>
          </w:p>
        </w:tc>
      </w:tr>
      <w:tr>
        <w:tc>
          <w:tcPr>
            <w:tcW w:type="dxa" w:w="14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NTGC</w:t>
            </w:r>
          </w:p>
        </w:tc>
        <w:tc>
          <w:tcPr>
            <w:tcW w:type="dxa" w:w="21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CCG</w:t>
            </w:r>
          </w:p>
        </w:tc>
        <w:tc>
          <w:tcPr>
            <w:tcW w:type="dxa" w:w="8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50</w:t>
            </w:r>
          </w:p>
        </w:tc>
        <w:tc>
          <w:tcPr>
            <w:tcW w:type="dxa" w:w="8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38</w:t>
            </w:r>
          </w:p>
        </w:tc>
        <w:tc>
          <w:tcPr>
            <w:tcW w:type="dxa" w:w="408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Activo</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SAPP</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África Austral</w:t>
            </w:r>
          </w:p>
        </w:tc>
        <w:tc>
          <w:tcPr>
            <w:tcW w:type="dxa" w:w="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50</w:t>
            </w:r>
          </w:p>
        </w:tc>
        <w:tc>
          <w:tcPr>
            <w:tcW w:type="dxa" w:w="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38</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Activo</w:t>
            </w:r>
          </w:p>
        </w:tc>
      </w:tr>
    </w:tbl>
    <w:p>
      <w:pPr>
        <w:pStyle w:val="Heading1"/>
        <w:spacing w:after="280" w:before="600"/>
        <w:jc w:val="left"/>
      </w:pPr>
      <w:r>
        <w:rPr>
          <w:rFonts w:ascii="Arial" w:cs="Arial" w:eastAsia="Arial" w:hAnsi="Arial"/>
          <w:b/>
          <w:bCs/>
          <w:caps w:val="false"/>
          <w:color w:val="0D2B45"/>
          <w:sz w:val="34"/>
          <w:szCs w:val="34"/>
        </w:rPr>
        <w:t xml:space="preserve">Apéndice E  Ecosistema Eureka-Sovereign — Operacional (No Contribución Académica)</w:t>
      </w:r>
    </w:p>
    <w:p>
      <w:pPr>
        <w:spacing w:after="200" w:before="0" w:line="380" w:lineRule="auto"/>
        <w:jc w:val="both"/>
      </w:pPr>
      <w:r>
        <w:rPr>
          <w:rFonts w:ascii="Arial" w:cs="Arial" w:eastAsia="Arial" w:hAnsi="Arial"/>
          <w:b w:val="false"/>
          <w:bCs w:val="false"/>
          <w:caps w:val="false"/>
          <w:color w:val="111111"/>
          <w:sz w:val="24"/>
          <w:szCs w:val="24"/>
        </w:rPr>
        <w:t xml:space="preserve">Este apéndice documenta la estrategia de inversión financiera Eureka-Sovereign que integra el flujo de caja del contrato de regulación CENACE con una posición en opciones call sobre GE Vernova (NYSE: GEV). Se posiciona como apéndice operacional —no como contribución académica de la tesis— para evitar el conflicto de interés que surgiría si el autor incluyera el diseño de su propio portafolio de inversión en la lista de contribuciones originales de la tesis doctoral.</w:t>
      </w:r>
    </w:p>
    <w:p>
      <w:pPr>
        <w:pStyle w:val="Heading2"/>
        <w:spacing w:after="200" w:before="400"/>
        <w:jc w:val="left"/>
      </w:pPr>
      <w:r>
        <w:rPr>
          <w:rFonts w:ascii="Arial" w:cs="Arial" w:eastAsia="Arial" w:hAnsi="Arial"/>
          <w:b/>
          <w:bCs/>
          <w:caps w:val="false"/>
          <w:color w:val="0F6E56"/>
          <w:sz w:val="27"/>
          <w:szCs w:val="27"/>
        </w:rPr>
        <w:t xml:space="preserve">E.1  Estructura de la Estrategia</w:t>
      </w:r>
    </w:p>
    <w:p>
      <w:pPr>
        <w:spacing w:after="200" w:before="0" w:line="380" w:lineRule="auto"/>
        <w:jc w:val="both"/>
      </w:pPr>
      <w:r>
        <w:rPr>
          <w:rFonts w:ascii="Arial" w:cs="Arial" w:eastAsia="Arial" w:hAnsi="Arial"/>
          <w:b w:val="false"/>
          <w:bCs w:val="false"/>
          <w:caps w:val="false"/>
          <w:color w:val="111111"/>
          <w:sz w:val="24"/>
          <w:szCs w:val="24"/>
        </w:rPr>
        <w:t xml:space="preserve">La estrategia consiste en la compra de call options sobre GEV con madurez de 60 días, al 77.5% del precio Black-Scholes (descuento del 22.5%), financiadas con el Daily Gains Sweep del portafolio Core de efectivo (MXN 100 millones al TIIE 11.5%). El Swap se implementa preferentemente como collar OTC con un banco dealer: compra de calls GEV + venta de puts OTM, con el ingreso de la put cubriendo el 22.5% del costo del call.</w:t>
      </w:r>
    </w:p>
    <w:p>
      <w:pPr>
        <w:pStyle w:val="Heading2"/>
        <w:spacing w:after="200" w:before="400"/>
        <w:jc w:val="left"/>
      </w:pPr>
      <w:r>
        <w:rPr>
          <w:rFonts w:ascii="Arial" w:cs="Arial" w:eastAsia="Arial" w:hAnsi="Arial"/>
          <w:b/>
          <w:bCs/>
          <w:caps w:val="false"/>
          <w:color w:val="0F6E56"/>
          <w:sz w:val="27"/>
          <w:szCs w:val="27"/>
        </w:rPr>
        <w:t xml:space="preserve">E.2  Valoración de la Call GEV a 60 Días</w:t>
      </w:r>
    </w:p>
    <w:p>
      <w:pPr>
        <w:spacing w:after="200" w:before="0" w:line="380" w:lineRule="auto"/>
        <w:jc w:val="both"/>
      </w:pPr>
      <w:r>
        <w:rPr>
          <w:rFonts w:ascii="Arial" w:cs="Arial" w:eastAsia="Arial" w:hAnsi="Arial"/>
          <w:b w:val="false"/>
          <w:bCs w:val="false"/>
          <w:caps w:val="false"/>
          <w:color w:val="111111"/>
          <w:sz w:val="24"/>
          <w:szCs w:val="24"/>
        </w:rPr>
        <w:t xml:space="preserve">Con S₀ = USD 198.40, σ_GEV = 34.2%, T = 60/365, r_f = 5.25%, K = S₀ (ATM):</w:t>
      </w:r>
    </w:p>
    <w:p>
      <w:pPr>
        <w:spacing w:after="220" w:before="220"/>
        <w:jc w:val="center"/>
      </w:pPr>
      <w:r>
        <w:rPr>
          <w:rFonts w:ascii="Cambria Math" w:cs="Cambria Math" w:eastAsia="Cambria Math" w:hAnsi="Cambria Math"/>
          <w:color w:val="0D2B45"/>
          <w:sz w:val="22"/>
          <w:szCs w:val="22"/>
        </w:rPr>
        <w:t xml:space="preserve">d₁ = 0.534 ,  d₂ = 0.395</w:t>
      </w:r>
    </w:p>
    <w:p>
      <w:pPr>
        <w:spacing w:after="220" w:before="220"/>
        <w:jc w:val="center"/>
      </w:pPr>
      <w:r>
        <w:rPr>
          <w:rFonts w:ascii="Cambria Math" w:cs="Cambria Math" w:eastAsia="Cambria Math" w:hAnsi="Cambria Math"/>
          <w:color w:val="0D2B45"/>
          <w:sz w:val="22"/>
          <w:szCs w:val="22"/>
        </w:rPr>
        <w:t xml:space="preserve">C_BS = 198.40×Φ(0.534) − 195.69×Φ(0.395) = USD 11.70/acción</w:t>
      </w:r>
    </w:p>
    <w:p>
      <w:pPr>
        <w:spacing w:after="220" w:before="220"/>
        <w:jc w:val="center"/>
      </w:pPr>
      <w:r>
        <w:rPr>
          <w:rFonts w:ascii="Cambria Math" w:cs="Cambria Math" w:eastAsia="Cambria Math" w:hAnsi="Cambria Math"/>
          <w:color w:val="0D2B45"/>
          <w:sz w:val="22"/>
          <w:szCs w:val="22"/>
        </w:rPr>
        <w:t xml:space="preserve">C_Eureka = 11.70 × 0.775 = USD 9.07/acción  (22.5% de descuento)</w:t>
      </w:r>
    </w:p>
    <w:p>
      <w:pPr>
        <w:pStyle w:val="Heading2"/>
        <w:spacing w:after="200" w:before="400"/>
        <w:jc w:val="left"/>
      </w:pPr>
      <w:r>
        <w:rPr>
          <w:rFonts w:ascii="Arial" w:cs="Arial" w:eastAsia="Arial" w:hAnsi="Arial"/>
          <w:b/>
          <w:bCs/>
          <w:caps w:val="false"/>
          <w:color w:val="0F6E56"/>
          <w:sz w:val="27"/>
          <w:szCs w:val="27"/>
        </w:rPr>
        <w:t xml:space="preserve">E.3  Retorno Esperado bajo Probabilidad Física</w:t>
      </w:r>
    </w:p>
    <w:p>
      <w:pPr>
        <w:spacing w:after="200" w:before="0" w:line="380" w:lineRule="auto"/>
        <w:jc w:val="both"/>
      </w:pPr>
      <w:r>
        <w:rPr>
          <w:rFonts w:ascii="Arial" w:cs="Arial" w:eastAsia="Arial" w:hAnsi="Arial"/>
          <w:b w:val="false"/>
          <w:bCs w:val="false"/>
          <w:caps w:val="false"/>
          <w:color w:val="111111"/>
          <w:sz w:val="24"/>
          <w:szCs w:val="24"/>
        </w:rPr>
        <w:t xml:space="preserve">Con drift histórico μ_GEV = 28.7% anual, la probabilidad física de que la call expire ITM es P(S_T &gt; K | μ = 28.7%) ≈ 80.9%, comparada con la probabilidad neutral al riesgo Q = 65.4% (Φ(d₂)). El valor esperado bajo P:</w:t>
      </w:r>
    </w:p>
    <w:p>
      <w:pPr>
        <w:spacing w:after="220" w:before="220"/>
        <w:jc w:val="center"/>
      </w:pPr>
      <w:r>
        <w:rPr>
          <w:rFonts w:ascii="Cambria Math" w:cs="Cambria Math" w:eastAsia="Cambria Math" w:hAnsi="Cambria Math"/>
          <w:color w:val="0D2B45"/>
          <w:sz w:val="22"/>
          <w:szCs w:val="22"/>
        </w:rPr>
        <w:t xml:space="preserve">E_P[Payoff] − Prima  =  24.31 − 9.07  =  +USD 15.24/acción  (+168.0% sobre prima en 60 días)</w:t>
      </w:r>
    </w:p>
    <w:p>
      <w:pPr>
        <w:pStyle w:val="Heading2"/>
        <w:spacing w:after="200" w:before="400"/>
        <w:jc w:val="left"/>
      </w:pPr>
      <w:r>
        <w:rPr>
          <w:rFonts w:ascii="Arial" w:cs="Arial" w:eastAsia="Arial" w:hAnsi="Arial"/>
          <w:b/>
          <w:bCs/>
          <w:caps w:val="false"/>
          <w:color w:val="0F6E56"/>
          <w:sz w:val="27"/>
          <w:szCs w:val="27"/>
        </w:rPr>
        <w:t xml:space="preserve">E.4  El Portafolio Integrado</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760"/>
        <w:gridCol w:w="1800"/>
        <w:gridCol w:w="1200"/>
        <w:gridCol w:w="1400"/>
        <w:gridCol w:w="2200"/>
      </w:tblGrid>
      <w:tr>
        <w:trPr>
          <w:tblHeader/>
        </w:trPr>
        <w:tc>
          <w:tcPr>
            <w:tcW w:type="dxa" w:w="27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Portafolio</w:t>
            </w:r>
          </w:p>
        </w:tc>
        <w:tc>
          <w:tcPr>
            <w:tcW w:type="dxa" w:w="18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Retorno esperado</w:t>
            </w:r>
          </w:p>
        </w:tc>
        <w:tc>
          <w:tcPr>
            <w:tcW w:type="dxa" w:w="12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Sharpe</w:t>
            </w:r>
          </w:p>
        </w:tc>
        <w:tc>
          <w:tcPr>
            <w:tcW w:type="dxa" w:w="14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CVaR 95%</w:t>
            </w:r>
          </w:p>
        </w:tc>
        <w:tc>
          <w:tcPr>
            <w:tcW w:type="dxa" w:w="22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8"/>
                <w:szCs w:val="18"/>
              </w:rPr>
              <w:t xml:space="preserve">Pesos óptimos</w:t>
            </w:r>
          </w:p>
        </w:tc>
      </w:tr>
      <w:tr>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Solo efectivo (TIIE)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11.5%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0.00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−0.2%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100% cash</w:t>
            </w:r>
          </w:p>
        </w:tc>
      </w:tr>
      <w:tr>
        <w:tc>
          <w:tcPr>
            <w:tcW w:type="dxa" w:w="27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Efectivo + GEV acciones</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18.3%</w:t>
            </w:r>
          </w:p>
        </w:tc>
        <w:tc>
          <w:tcPr>
            <w:tcW w:type="dxa" w:w="1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0.46</w:t>
            </w:r>
          </w:p>
        </w:tc>
        <w:tc>
          <w:tcPr>
            <w:tcW w:type="dxa" w:w="1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−18.4%</w:t>
            </w:r>
          </w:p>
        </w:tc>
        <w:tc>
          <w:tcPr>
            <w:tcW w:type="dxa" w:w="2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70/30</w:t>
            </w:r>
          </w:p>
        </w:tc>
      </w:tr>
      <w:tr>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Efectivo + Calls GEV</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24.7%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0.69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−8.1%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72/28</w:t>
            </w:r>
          </w:p>
        </w:tc>
      </w:tr>
      <w:tr>
        <w:tc>
          <w:tcPr>
            <w:tcW w:type="dxa" w:w="27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Efectivo + Regulación VZA-400</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14.2%</w:t>
            </w:r>
          </w:p>
        </w:tc>
        <w:tc>
          <w:tcPr>
            <w:tcW w:type="dxa" w:w="1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0.56</w:t>
            </w:r>
          </w:p>
        </w:tc>
        <w:tc>
          <w:tcPr>
            <w:tcW w:type="dxa" w:w="1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−4.1%</w:t>
            </w:r>
          </w:p>
        </w:tc>
        <w:tc>
          <w:tcPr>
            <w:tcW w:type="dxa" w:w="2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62/38</w:t>
            </w:r>
          </w:p>
        </w:tc>
      </w:tr>
      <w:tr>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aps w:val="false"/>
                <w:color w:val="111111"/>
                <w:sz w:val="19"/>
                <w:szCs w:val="19"/>
              </w:rPr>
              <w:t xml:space="preserve">Ecosistema completo (3 activos)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27.4%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1.47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−6.8%</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111111"/>
                <w:sz w:val="19"/>
                <w:szCs w:val="19"/>
              </w:rPr>
              <w:t xml:space="preserve">58% ef/26% reg/16% calls</w:t>
            </w:r>
          </w:p>
        </w:tc>
      </w:tr>
    </w:tbl>
    <w:p>
      <w:pPr>
        <w:spacing w:after="320" w:before="80" w:line="380" w:lineRule="auto"/>
        <w:jc w:val="center"/>
      </w:pPr>
      <w:r>
        <w:rPr>
          <w:rFonts w:ascii="Arial" w:cs="Arial" w:eastAsia="Arial" w:hAnsi="Arial"/>
          <w:b w:val="false"/>
          <w:bCs w:val="false"/>
          <w:caps w:val="false"/>
          <w:color w:val="999999"/>
          <w:sz w:val="19"/>
          <w:szCs w:val="19"/>
        </w:rPr>
        <w:t xml:space="preserve">Tabla E.1: Comparación de portafolios. Sharpe del ecosistema completo (1.47) = más del doble del mejor portafolio de dos activos. Monte Carlo 1,200 caminos, horizonte 1 año.</w:t>
      </w:r>
    </w:p>
    <w:p>
      <w:pPr>
        <w:spacing w:after="200" w:before="0" w:line="380" w:lineRule="auto"/>
        <w:jc w:val="both"/>
      </w:pPr>
      <w:r>
        <w:rPr>
          <w:rFonts w:ascii="Arial" w:cs="Arial" w:eastAsia="Arial" w:hAnsi="Arial"/>
          <w:b w:val="false"/>
          <w:bCs w:val="false"/>
          <w:caps w:val="false"/>
          <w:color w:val="111111"/>
          <w:sz w:val="24"/>
          <w:szCs w:val="24"/>
        </w:rPr>
        <w:t xml:space="preserve">La conexión matemática con la tesis es que las mismas ecuaciones HJB que valoran los contratos de regulación (Capítulo 2) valoran también las opciones GEV: ambos son derivados con opcionalidad, restricciones de ejercicio, y proceso estocástico del subyacente. El ecosistema Eureka no es una contribución académica nueva —es la aplicación práctica del marco teórico ya establecido.</w:t>
      </w:r>
    </w:p>
    <w:p>
      <w:pPr>
        <w:spacing w:after="200" w:before="0" w:line="380" w:lineRule="auto"/>
        <w:jc w:val="both"/>
      </w:pPr>
      <w:r>
        <w:rPr>
          <w:rFonts w:ascii="Arial" w:cs="Arial" w:eastAsia="Arial" w:hAnsi="Arial"/>
          <w:b w:val="false"/>
          <w:bCs w:val="false"/>
          <w:caps w:val="false"/>
          <w:color w:val="111111"/>
          <w:sz w:val="24"/>
          <w:szCs w:val="24"/>
        </w:rPr>
        <w:t xml:space="preserve"/>
      </w:r>
    </w:p>
    <w:p>
      <w:pPr>
        <w:spacing w:after="200" w:before="0" w:line="380" w:lineRule="auto"/>
        <w:jc w:val="center"/>
      </w:pPr>
      <w:r>
        <w:rPr>
          <w:rFonts w:ascii="Arial" w:cs="Arial" w:eastAsia="Arial" w:hAnsi="Arial"/>
          <w:b w:val="false"/>
          <w:bCs w:val="false"/>
          <w:caps w:val="false"/>
          <w:color w:val="999999"/>
          <w:sz w:val="20"/>
          <w:szCs w:val="20"/>
        </w:rPr>
        <w:t xml:space="preserve">— Fin de la Tesis —</w:t>
      </w:r>
    </w:p>
    <w:p>
      <w:pPr>
        <w:spacing w:after="200" w:before="0" w:line="380" w:lineRule="auto"/>
        <w:jc w:val="center"/>
      </w:pPr>
      <w:r>
        <w:rPr>
          <w:rFonts w:ascii="Arial" w:cs="Arial" w:eastAsia="Arial" w:hAnsi="Arial"/>
          <w:b w:val="false"/>
          <w:bCs w:val="false"/>
          <w:caps w:val="false"/>
          <w:color w:val="999999"/>
          <w:sz w:val="19"/>
          <w:szCs w:val="19"/>
        </w:rPr>
        <w:t xml:space="preserve">Diego Córdoba Urrutia  ·  ITAM Dirección Financiera  ·  2028</w:t>
      </w:r>
    </w:p>
    <w:p>
      <w:pPr>
        <w:spacing w:after="200" w:before="400" w:line="380" w:lineRule="auto"/>
        <w:jc w:val="center"/>
      </w:pPr>
      <w:r>
        <w:rPr>
          <w:rFonts w:ascii="Arial" w:cs="Arial" w:eastAsia="Arial" w:hAnsi="Arial"/>
          <w:b w:val="false"/>
          <w:bCs w:val="false"/>
          <w:caps w:val="false"/>
          <w:color w:val="0F6E56"/>
          <w:sz w:val="21"/>
          <w:szCs w:val="21"/>
        </w:rPr>
        <w:t xml:space="preserve">Siete contribuciones. Un framework. Una oportunidad de USD 3.24 mil millones.</w:t>
      </w:r>
    </w:p>
    <w:sectPr>
      <w:headerReference w:type="default" r:id="rId7"/>
      <w:footerReference w:type="default" r:id="rId8"/>
      <w:pgSz w:w="12240" w:h="15840"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6E56" w:sz="4" w:space="1"/>
      </w:pBdr>
      <w:spacing w:after="0" w:before="120"/>
      <w:jc w:val="center"/>
    </w:pPr>
    <w:r>
      <w:rPr>
        <w:rFonts w:ascii="Arial" w:cs="Arial" w:eastAsia="Arial" w:hAnsi="Arial"/>
        <w:color w:val="999999"/>
        <w:sz w:val="18"/>
        <w:szCs w:val="18"/>
      </w:rPr>
      <w:t xml:space="preserve">Diego Córdoba Urrutia  ·  Dirección Financiera  ·  ITAM 2028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4" w:space="1"/>
      </w:pBdr>
      <w:spacing w:after="120" w:before="0"/>
      <w:jc w:val="right"/>
    </w:pPr>
    <w:r>
      <w:rPr>
        <w:rFonts w:ascii="Arial" w:cs="Arial" w:eastAsia="Arial" w:hAnsi="Arial"/>
        <w:color w:val="999999"/>
        <w:sz w:val="18"/>
        <w:szCs w:val="18"/>
      </w:rPr>
      <w:t xml:space="preserve">PRIMEnergeia — Valoración HJB de Servicios Ancilares  ·  ITAM 2028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600"/>
      <w:outlineLvl w:val="0"/>
    </w:pPr>
    <w:rPr>
      <w:rFonts w:ascii="Arial" w:cs="Arial" w:eastAsia="Arial" w:hAnsi="Arial"/>
      <w:b/>
      <w:bCs/>
      <w:color w:val="0D2B45"/>
      <w:sz w:val="34"/>
      <w:szCs w:val="34"/>
    </w:rPr>
  </w:style>
  <w:style w:type="paragraph" w:styleId="Heading2">
    <w:name w:val="Heading 2"/>
    <w:basedOn w:val="Normal"/>
    <w:next w:val="Normal"/>
    <w:qFormat/>
    <w:pPr>
      <w:spacing w:after="200" w:before="400"/>
      <w:outlineLvl w:val="1"/>
    </w:pPr>
    <w:rPr>
      <w:rFonts w:ascii="Arial" w:cs="Arial" w:eastAsia="Arial" w:hAnsi="Arial"/>
      <w:b/>
      <w:bCs/>
      <w:color w:val="0F6E56"/>
      <w:sz w:val="27"/>
      <w:szCs w:val="27"/>
    </w:rPr>
  </w:style>
  <w:style w:type="paragraph" w:styleId="Heading3">
    <w:name w:val="Heading 3"/>
    <w:basedOn w:val="Normal"/>
    <w:next w:val="Normal"/>
    <w:qFormat/>
    <w:pPr>
      <w:spacing w:after="140" w:before="260"/>
      <w:outlineLvl w:val="2"/>
    </w:pPr>
    <w:rPr>
      <w:rFonts w:ascii="Arial" w:cs="Arial" w:eastAsia="Arial" w:hAnsi="Arial"/>
      <w:b/>
      <w:bCs/>
      <w:color w:val="0D2B4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2026-05-21T03:00:11.275Z</dcterms:created>
  <dcterms:modified xsi:type="dcterms:W3CDTF">2026-05-21T03:00:11.296Z</dcterms:modified>
</cp:coreProperties>
</file>

<file path=docProps/custom.xml><?xml version="1.0" encoding="utf-8"?>
<Properties xmlns="http://schemas.openxmlformats.org/officeDocument/2006/custom-properties" xmlns:vt="http://schemas.openxmlformats.org/officeDocument/2006/docPropsVTypes"/>
</file>