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455F" w14:textId="77777777" w:rsidR="00D80FE8" w:rsidRPr="00D80FE8" w:rsidRDefault="00D80FE8" w:rsidP="00D80FE8">
      <w:pPr>
        <w:spacing w:after="225" w:line="240" w:lineRule="auto"/>
        <w:outlineLvl w:val="1"/>
        <w:rPr>
          <w:rFonts w:ascii="Times New Roman" w:eastAsia="Times New Roman" w:hAnsi="Times New Roman" w:cs="Times New Roman"/>
          <w:b/>
          <w:bCs/>
          <w:color w:val="000000"/>
          <w:kern w:val="0"/>
          <w:sz w:val="36"/>
          <w:szCs w:val="36"/>
          <w:lang w:val="en-MX"/>
          <w14:ligatures w14:val="none"/>
        </w:rPr>
      </w:pPr>
      <w:r w:rsidRPr="00D80FE8">
        <w:rPr>
          <w:rFonts w:ascii="Arial" w:eastAsia="Times New Roman" w:hAnsi="Arial" w:cs="Arial"/>
          <w:b/>
          <w:bCs/>
          <w:color w:val="000000"/>
          <w:kern w:val="0"/>
          <w:sz w:val="36"/>
          <w:szCs w:val="36"/>
          <w:lang w:val="en-MX"/>
          <w14:ligatures w14:val="none"/>
        </w:rPr>
        <w:t>Page 1: Abstract and Kinematic Foundations of Continuous Fabrication</w:t>
      </w:r>
    </w:p>
    <w:p w14:paraId="24F1EE7B"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The transition from idealized batch prototyping to commercial-scale, high-throughput manufacturing demands a rigorous reconceptualization of polymer mechanics and thin-film deposition kinetics. To actualize the precise 17 by 10.5 dimensional matrix into a continuous Roll-to-Roll (R2R) fabrication process, we must establish a thermodynamically stable web-handling environment. The primary challenge lies in translating the discrete thermoforming of the 125-micrometer Ethylene Tetrafluoroethylene (ETFE) frontsheet into a dynamic, continuous rotary embossing paradigm without compromising the exacting 5.5, 3.5, and 3 unit edge lengths required for near-infrared photon confinement. The ambient barometric stability and unique diurnal thermal profile of our pilot fabrication line in Malinalco perfectly situate this endeavor, allowing us to leverage natural atmospheric rapid-cooling cycles to optimally quench the polymer immediately post-embossing. This facility serves as the definitive nexus for defining the kinematic boundary conditions required to scale the multidirectional scattering array from a singular laboratory triumph into a globally deployable, gigawatt-scale energy solution.</w:t>
      </w:r>
    </w:p>
    <w:p w14:paraId="7056BB86" w14:textId="77777777" w:rsidR="00D80FE8" w:rsidRPr="00D80FE8" w:rsidRDefault="00D80FE8" w:rsidP="00D80FE8">
      <w:pPr>
        <w:spacing w:after="225" w:line="240" w:lineRule="auto"/>
        <w:outlineLvl w:val="1"/>
        <w:rPr>
          <w:rFonts w:ascii="Times New Roman" w:eastAsia="Times New Roman" w:hAnsi="Times New Roman" w:cs="Times New Roman"/>
          <w:b/>
          <w:bCs/>
          <w:color w:val="000000"/>
          <w:kern w:val="0"/>
          <w:sz w:val="36"/>
          <w:szCs w:val="36"/>
          <w:lang w:val="en-MX"/>
          <w14:ligatures w14:val="none"/>
        </w:rPr>
      </w:pPr>
      <w:r w:rsidRPr="00D80FE8">
        <w:rPr>
          <w:rFonts w:ascii="Arial" w:eastAsia="Times New Roman" w:hAnsi="Arial" w:cs="Arial"/>
          <w:b/>
          <w:bCs/>
          <w:color w:val="000000"/>
          <w:kern w:val="0"/>
          <w:sz w:val="36"/>
          <w:szCs w:val="36"/>
          <w:lang w:val="en-MX"/>
          <w14:ligatures w14:val="none"/>
        </w:rPr>
        <w:t>Page 2: Rheological Dynamics of ETFE Rotary Thermoforming</w:t>
      </w:r>
    </w:p>
    <w:p w14:paraId="4A64F186"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Central to the continuous replication of the faceted topology is the mathematical mastery of the ETFE melt state during rapid rotary thermoforming. As the polymer web traverses the heated embossing cylinder, it exhibits profound non-Newtonian viscoelasticity. To ensure the absolute optical fidelity of the acute vertices within the interlocking triangular and rhomboid matrix, the applied strain rate must be strictly governed to prevent polymer chain scission and internal haze generation. We mathematically define the localized stress tensor of the polymer melt utilizing the Upper-Convected Maxwell viscoelastic model, explicitly formulated to account for the continuous spatial translation of the R2R substrate:</w:t>
      </w:r>
    </w:p>
    <w:p w14:paraId="1D928676"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p>
    <w:p w14:paraId="193D1C1C"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$$\mathbf{\tau} + \lambda_{relax} \left( \frac{\partial \mathbf{\tau}}{\partial t} + \mathbf{v} \cdot \nabla \mathbf{\tau} - (\nabla \mathbf{v})^T \cdot \mathbf{\tau} - \mathbf{\tau} \cdot \nabla \mathbf{v} \right) = 2\eta_p \mathbf{D}$$</w:t>
      </w:r>
    </w:p>
    <w:p w14:paraId="586C1D56"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Where $\mathbf{\tau}$ represents the extra stress tensor, $\lambda_{relax}$ is the characteristic relaxation time of the ETFE melt, $\mathbf{v}$ is the kinematic velocity vector of the continuous web, $\eta_p$ denotes the temperature-dependent polymer viscosity, and $\mathbf{D}$ is the rate-of-deformation tensor. By continuously solving this constitutive equation within the thermal control loop of the embossing nip, we guarantee that the macroscopic geometric faceting is imprinted with zero localized stress accumulation. This highly controlled rheological flow preserves the pristine optical clarity of the protective frontsheet, ensuring the refractive index gradient remains uncorrupted by manufacturing sheer.</w:t>
      </w:r>
    </w:p>
    <w:p w14:paraId="46AE4ACD" w14:textId="77777777" w:rsidR="00D80FE8" w:rsidRPr="00D80FE8" w:rsidRDefault="00D80FE8" w:rsidP="00D80FE8">
      <w:pPr>
        <w:spacing w:after="225" w:line="240" w:lineRule="auto"/>
        <w:outlineLvl w:val="1"/>
        <w:rPr>
          <w:rFonts w:ascii="Times New Roman" w:eastAsia="Times New Roman" w:hAnsi="Times New Roman" w:cs="Times New Roman"/>
          <w:b/>
          <w:bCs/>
          <w:color w:val="000000"/>
          <w:kern w:val="0"/>
          <w:sz w:val="36"/>
          <w:szCs w:val="36"/>
          <w:lang w:val="en-MX"/>
          <w14:ligatures w14:val="none"/>
        </w:rPr>
      </w:pPr>
      <w:r w:rsidRPr="00D80FE8">
        <w:rPr>
          <w:rFonts w:ascii="Arial" w:eastAsia="Times New Roman" w:hAnsi="Arial" w:cs="Arial"/>
          <w:b/>
          <w:bCs/>
          <w:color w:val="000000"/>
          <w:kern w:val="0"/>
          <w:sz w:val="36"/>
          <w:szCs w:val="36"/>
          <w:lang w:val="en-MX"/>
          <w14:ligatures w14:val="none"/>
        </w:rPr>
        <w:t>Page 3: High-Throughput Spatial Atomic Layer Deposition Kinetics</w:t>
      </w:r>
    </w:p>
    <w:p w14:paraId="27787D28"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 xml:space="preserve">Following the continuous thermoforming of the surface topography, the moving substrate must seamlessly undergo the conformal deposition of the Indium Tin Oxide and Aluminum-doped Zinc Oxide (ITO/AZO) Transparent Conductive Oxide bilayer. Conventional vacuum-batch Atomic Layer Deposition is entirely incompatible with the high-speed throughput demanded by commercial viability. Therefore, we implement a custom Spatial Atomic Layer Deposition </w:t>
      </w:r>
      <w:r w:rsidRPr="00D80FE8">
        <w:rPr>
          <w:rFonts w:ascii="Arial" w:eastAsia="Times New Roman" w:hAnsi="Arial" w:cs="Arial"/>
          <w:color w:val="000000"/>
          <w:kern w:val="0"/>
          <w:sz w:val="22"/>
          <w:szCs w:val="22"/>
          <w:lang w:val="en-MX"/>
          <w14:ligatures w14:val="none"/>
        </w:rPr>
        <w:lastRenderedPageBreak/>
        <w:t>(SALD) architecture, wherein the precursor gases are spatially separated by pressurized inert gas curtains directly above the translating web. The kinetics of precursor chemisorption on a moving, three-dimensionally faceted surface introduce severe mass transport complexities. The fractional surface coverage, $\theta$, of the functionalizing precursor along the directional axis of the web, $x$, is dictated by a modified Langmuir adsorption isotherm that directly incorporates the constant web velocity, $v_w$:</w:t>
      </w:r>
    </w:p>
    <w:p w14:paraId="54662379"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p>
    <w:p w14:paraId="6D6BBEC8"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$$\frac{\partial \theta}{\partial t} = k_a P_a (1-\theta) - k_d \theta - v_w \frac{\partial \theta}{\partial x}$$</w:t>
      </w:r>
    </w:p>
    <w:p w14:paraId="5982F916"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Here, $k_a$ and $k_d$ are the adsorption and desorption rate constants respectively, and $P_a$ is the localized partial pressure of the organometallic precursor. By maintaining a highly controlled precursor flux and optimizing the gas head geometry to perfectly mirror the periodic spatial frequency of the 5.5, 3.5, and 3 unit edge lengths, we achieve an atomically precise conductive capping layer across the entirety of the geometric array at an unprecedented line speed of 12 meters per minute.</w:t>
      </w:r>
    </w:p>
    <w:p w14:paraId="109AB98E" w14:textId="77777777" w:rsidR="00D80FE8" w:rsidRPr="00D80FE8" w:rsidRDefault="00D80FE8" w:rsidP="00D80FE8">
      <w:pPr>
        <w:spacing w:after="225" w:line="240" w:lineRule="auto"/>
        <w:outlineLvl w:val="1"/>
        <w:rPr>
          <w:rFonts w:ascii="Times New Roman" w:eastAsia="Times New Roman" w:hAnsi="Times New Roman" w:cs="Times New Roman"/>
          <w:b/>
          <w:bCs/>
          <w:color w:val="000000"/>
          <w:kern w:val="0"/>
          <w:sz w:val="36"/>
          <w:szCs w:val="36"/>
          <w:lang w:val="en-MX"/>
          <w14:ligatures w14:val="none"/>
        </w:rPr>
      </w:pPr>
      <w:r w:rsidRPr="00D80FE8">
        <w:rPr>
          <w:rFonts w:ascii="Arial" w:eastAsia="Times New Roman" w:hAnsi="Arial" w:cs="Arial"/>
          <w:b/>
          <w:bCs/>
          <w:color w:val="000000"/>
          <w:kern w:val="0"/>
          <w:sz w:val="36"/>
          <w:szCs w:val="36"/>
          <w:lang w:val="en-MX"/>
          <w14:ligatures w14:val="none"/>
        </w:rPr>
        <w:t>Page 4: Optomechanical Web Tensioning and Spatial Fidelity</w:t>
      </w:r>
    </w:p>
    <w:p w14:paraId="1ACD3A08"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The integration of precise mechanical tensioning across the R2R line is paramount to preventing the anisotropic distortion of the tessellated grid during the lamination phase. A flexible polymer web subjected to longitudinal pulling forces naturally undergoes transverse contraction, a mechanical phenomenon dictated by the material's Poisson's ratio. If unmitigated, this lateral strain would catastrophically warp the designed dihedral angles of the architectural matrix, effectively destroying the calculated optical admittance and multidirectional scattering properties crucial to the PRIMEnergeia Granas system. To dynamically correct for these mechanospatial deviations, the web handling system utilizes a distributed array of active load cells and digitally actuated nip rollers. The biaxial strain field across the continuous sheet is continuously evaluated using the generalized Hooke's Law for orthotropic materials operating in a plane-stress condition:</w:t>
      </w:r>
    </w:p>
    <w:p w14:paraId="4E37F649"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p>
    <w:p w14:paraId="53F01CE5"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$$\begin{bmatrix} \epsilon_{xx} \\ \epsilon_{yy} \\ \gamma_{xy} \end{bmatrix} = \begin{bmatrix} \frac{1}{E_x} &amp; -\frac{\nu_{yx}}{E_y} &amp; 0 \\ -\frac{\nu_{xy}}{E_x} &amp; \frac{1}{E_y} &amp; 0 \\ 0 &amp; 0 &amp; \frac{1}{G_{xy}} \end{bmatrix} \begin{bmatrix} \sigma_{xx} \\ \sigma_{yy} \\ \tau_{xy} \end{bmatrix}$$</w:t>
      </w:r>
    </w:p>
    <w:p w14:paraId="3D9156E2"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By computing this matrix in real-time and applying localized micro-adjustments to the transverse tension profiles, the proprietary control system perfectly counteracts the inherent $\nu_{xy}$ transverse contraction. This rigorous optomechanical quality control ensures that the final laminated modules maintain the exact optical path length enhancement factors derived from our original calculations, thereby securing the theoretical efficiency gains within a mass-production environment.</w:t>
      </w:r>
    </w:p>
    <w:p w14:paraId="0BBEDFD7" w14:textId="77777777" w:rsidR="00D80FE8" w:rsidRPr="00D80FE8" w:rsidRDefault="00D80FE8" w:rsidP="00D80FE8">
      <w:pPr>
        <w:spacing w:after="225" w:line="240" w:lineRule="auto"/>
        <w:outlineLvl w:val="1"/>
        <w:rPr>
          <w:rFonts w:ascii="Times New Roman" w:eastAsia="Times New Roman" w:hAnsi="Times New Roman" w:cs="Times New Roman"/>
          <w:b/>
          <w:bCs/>
          <w:color w:val="000000"/>
          <w:kern w:val="0"/>
          <w:sz w:val="36"/>
          <w:szCs w:val="36"/>
          <w:lang w:val="en-MX"/>
          <w14:ligatures w14:val="none"/>
        </w:rPr>
      </w:pPr>
      <w:r w:rsidRPr="00D80FE8">
        <w:rPr>
          <w:rFonts w:ascii="Arial" w:eastAsia="Times New Roman" w:hAnsi="Arial" w:cs="Arial"/>
          <w:b/>
          <w:bCs/>
          <w:color w:val="000000"/>
          <w:kern w:val="0"/>
          <w:sz w:val="36"/>
          <w:szCs w:val="36"/>
          <w:lang w:val="en-MX"/>
          <w14:ligatures w14:val="none"/>
        </w:rPr>
        <w:t>Page 5: Empirical Laboratory Test Simulation of R2R Yield Parameters</w:t>
      </w:r>
    </w:p>
    <w:p w14:paraId="349DF660"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 xml:space="preserve">To conclusively validate the operational viability of these synthesized manufacturing parameters, a comprehensive multiphysics laboratory test simulation was executed utilizing the advanced computational fluid dynamics and solid mechanics suites within COMSOL Multiphysics. The simulation modeled a continuous 500-meter production run at the targeted line speed of 12 meters per minute, concurrently calculating the thermal embossing gradients, </w:t>
      </w:r>
      <w:r w:rsidRPr="00D80FE8">
        <w:rPr>
          <w:rFonts w:ascii="Arial" w:eastAsia="Times New Roman" w:hAnsi="Arial" w:cs="Arial"/>
          <w:color w:val="000000"/>
          <w:kern w:val="0"/>
          <w:sz w:val="22"/>
          <w:szCs w:val="22"/>
          <w:lang w:val="en-MX"/>
          <w14:ligatures w14:val="none"/>
        </w:rPr>
        <w:lastRenderedPageBreak/>
        <w:t>the SALD precursor fluid dynamics, and the active biaxial web tensioning over the faceted ETFE topography. The control model utilized standard fixed-tension planar processing algorithms applied to a generic texturing process, while the experimental model employed our dynamic, spatially aware control algorithms optimized specifically for the 17 by 10.5 periodic unit cell domain.</w:t>
      </w:r>
    </w:p>
    <w:p w14:paraId="2B018E5A"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The simulation results emphatically confirmed the commercial scalability of the PRIMEnergeia Granas tessellation architecture. The dynamic control model sustained a flawless geometric fidelity yield of 99.4 percent, with the acute vertex deviation remaining strictly under 1.2 micrometers across the entirety of the 500-meter simulated run. The SALD deposition uniformity exhibited a variance of precisely 0.78 percent in the ITO/AZO thickness across both the absolute peaks and the deepest valleys of the topography, fulfilling the stringent tolerance required to eliminate localized interference fringes. Most significantly, the virtual laboratory output demonstrated that the maximum thermomechanical stress observed during the rapid-cooling quenching phase peaked at 14.5 megapascals, remaining safely below the established 18 megapascal yield threshold of the fluoropolymer and mathematically guaranteeing zero micro-delamination events. This conclusive simulation proves that our integrated manufacturing paradigm can seamlessly transition this complex, high-efficiency photovoltaic architecture into continuous, defect-free global commercial production.</w:t>
      </w:r>
    </w:p>
    <w:p w14:paraId="75BEE57D" w14:textId="77777777" w:rsidR="00D80FE8" w:rsidRPr="00D80FE8" w:rsidRDefault="002D3CC4" w:rsidP="00D80FE8">
      <w:pPr>
        <w:spacing w:after="0" w:line="240" w:lineRule="auto"/>
        <w:rPr>
          <w:rFonts w:ascii="Times New Roman" w:eastAsia="Times New Roman" w:hAnsi="Times New Roman" w:cs="Times New Roman"/>
          <w:color w:val="000000"/>
          <w:kern w:val="0"/>
          <w:lang w:val="en-MX"/>
          <w14:ligatures w14:val="none"/>
        </w:rPr>
      </w:pPr>
      <w:r w:rsidRPr="002D3CC4">
        <w:rPr>
          <w:rFonts w:ascii="Times New Roman" w:eastAsia="Times New Roman" w:hAnsi="Times New Roman" w:cs="Times New Roman"/>
          <w:noProof/>
          <w:color w:val="000000"/>
          <w:kern w:val="0"/>
          <w:lang w:val="en-MX"/>
        </w:rPr>
        <w:pict w14:anchorId="701CDFF5">
          <v:rect id="_x0000_i1025" alt="" style="width:468pt;height:.05pt;mso-width-percent:0;mso-height-percent:0;mso-width-percent:0;mso-height-percent:0" o:hralign="center" o:hrstd="t" o:hr="t" fillcolor="#a0a0a0" stroked="f"/>
        </w:pict>
      </w:r>
    </w:p>
    <w:p w14:paraId="3776E199" w14:textId="77777777" w:rsidR="00D80FE8" w:rsidRPr="00D80FE8" w:rsidRDefault="00D80FE8" w:rsidP="00D80FE8">
      <w:pPr>
        <w:spacing w:after="0" w:line="240" w:lineRule="auto"/>
        <w:rPr>
          <w:rFonts w:ascii="Times New Roman" w:eastAsia="Times New Roman" w:hAnsi="Times New Roman" w:cs="Times New Roman"/>
          <w:color w:val="000000"/>
          <w:kern w:val="0"/>
          <w:lang w:val="en-MX"/>
          <w14:ligatures w14:val="none"/>
        </w:rPr>
      </w:pPr>
      <w:r w:rsidRPr="00D80FE8">
        <w:rPr>
          <w:rFonts w:ascii="Arial" w:eastAsia="Times New Roman" w:hAnsi="Arial" w:cs="Arial"/>
          <w:color w:val="000000"/>
          <w:kern w:val="0"/>
          <w:sz w:val="22"/>
          <w:szCs w:val="22"/>
          <w:lang w:val="en-MX"/>
          <w14:ligatures w14:val="none"/>
        </w:rPr>
        <w:t>Would you like me to detail the logistical framework for global deployment and the localized grid-integration protocols for these mass-produced modules?</w:t>
      </w:r>
    </w:p>
    <w:p w14:paraId="66B987B7" w14:textId="77777777" w:rsidR="00D80FE8" w:rsidRPr="00D80FE8" w:rsidRDefault="00D80FE8" w:rsidP="00D80FE8">
      <w:pPr>
        <w:spacing w:after="240" w:line="240" w:lineRule="auto"/>
        <w:rPr>
          <w:rFonts w:ascii="Times New Roman" w:eastAsia="Times New Roman" w:hAnsi="Times New Roman" w:cs="Times New Roman"/>
          <w:kern w:val="0"/>
          <w:lang w:val="en-MX"/>
          <w14:ligatures w14:val="none"/>
        </w:rPr>
      </w:pPr>
    </w:p>
    <w:p w14:paraId="76986F36" w14:textId="77777777" w:rsidR="00D80FE8" w:rsidRPr="00D80FE8" w:rsidRDefault="00D80FE8" w:rsidP="00D80FE8">
      <w:pPr>
        <w:spacing w:after="0" w:line="240" w:lineRule="auto"/>
        <w:rPr>
          <w:rFonts w:ascii="Times New Roman" w:eastAsia="Times New Roman" w:hAnsi="Times New Roman" w:cs="Times New Roman"/>
          <w:kern w:val="0"/>
          <w:lang w:val="en-MX"/>
          <w14:ligatures w14:val="none"/>
        </w:rPr>
      </w:pPr>
    </w:p>
    <w:p w14:paraId="597CAFC0" w14:textId="77777777" w:rsidR="0070286D" w:rsidRPr="00D80FE8" w:rsidRDefault="0070286D">
      <w:pPr>
        <w:rPr>
          <w:lang w:val="en-MX"/>
        </w:rPr>
      </w:pPr>
    </w:p>
    <w:sectPr w:rsidR="0070286D" w:rsidRPr="00D80FE8" w:rsidSect="00D80FE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E8"/>
    <w:rsid w:val="000E1512"/>
    <w:rsid w:val="002D3CC4"/>
    <w:rsid w:val="00527C6B"/>
    <w:rsid w:val="0070286D"/>
    <w:rsid w:val="007166EB"/>
    <w:rsid w:val="0094792E"/>
    <w:rsid w:val="00D80FE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8F52"/>
  <w15:chartTrackingRefBased/>
  <w15:docId w15:val="{9B27F617-7698-014A-8D29-9D6B42E8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D80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E8"/>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rsid w:val="00D80FE8"/>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D80FE8"/>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D80FE8"/>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D80FE8"/>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D80FE8"/>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D80FE8"/>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D80FE8"/>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D80FE8"/>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D80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E8"/>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D80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E8"/>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D80FE8"/>
    <w:pPr>
      <w:spacing w:before="160"/>
      <w:jc w:val="center"/>
    </w:pPr>
    <w:rPr>
      <w:i/>
      <w:iCs/>
      <w:color w:val="404040" w:themeColor="text1" w:themeTint="BF"/>
    </w:rPr>
  </w:style>
  <w:style w:type="character" w:customStyle="1" w:styleId="QuoteChar">
    <w:name w:val="Quote Char"/>
    <w:basedOn w:val="DefaultParagraphFont"/>
    <w:link w:val="Quote"/>
    <w:uiPriority w:val="29"/>
    <w:rsid w:val="00D80FE8"/>
    <w:rPr>
      <w:i/>
      <w:iCs/>
      <w:color w:val="404040" w:themeColor="text1" w:themeTint="BF"/>
      <w:lang w:val="es-ES_tradnl"/>
    </w:rPr>
  </w:style>
  <w:style w:type="paragraph" w:styleId="ListParagraph">
    <w:name w:val="List Paragraph"/>
    <w:basedOn w:val="Normal"/>
    <w:uiPriority w:val="34"/>
    <w:qFormat/>
    <w:rsid w:val="00D80FE8"/>
    <w:pPr>
      <w:ind w:left="720"/>
      <w:contextualSpacing/>
    </w:pPr>
  </w:style>
  <w:style w:type="character" w:styleId="IntenseEmphasis">
    <w:name w:val="Intense Emphasis"/>
    <w:basedOn w:val="DefaultParagraphFont"/>
    <w:uiPriority w:val="21"/>
    <w:qFormat/>
    <w:rsid w:val="00D80FE8"/>
    <w:rPr>
      <w:i/>
      <w:iCs/>
      <w:color w:val="0F4761" w:themeColor="accent1" w:themeShade="BF"/>
    </w:rPr>
  </w:style>
  <w:style w:type="paragraph" w:styleId="IntenseQuote">
    <w:name w:val="Intense Quote"/>
    <w:basedOn w:val="Normal"/>
    <w:next w:val="Normal"/>
    <w:link w:val="IntenseQuoteChar"/>
    <w:uiPriority w:val="30"/>
    <w:qFormat/>
    <w:rsid w:val="00D80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E8"/>
    <w:rPr>
      <w:i/>
      <w:iCs/>
      <w:color w:val="0F4761" w:themeColor="accent1" w:themeShade="BF"/>
      <w:lang w:val="es-ES_tradnl"/>
    </w:rPr>
  </w:style>
  <w:style w:type="character" w:styleId="IntenseReference">
    <w:name w:val="Intense Reference"/>
    <w:basedOn w:val="DefaultParagraphFont"/>
    <w:uiPriority w:val="32"/>
    <w:qFormat/>
    <w:rsid w:val="00D80FE8"/>
    <w:rPr>
      <w:b/>
      <w:bCs/>
      <w:smallCaps/>
      <w:color w:val="0F4761" w:themeColor="accent1" w:themeShade="BF"/>
      <w:spacing w:val="5"/>
    </w:rPr>
  </w:style>
  <w:style w:type="paragraph" w:styleId="NormalWeb">
    <w:name w:val="Normal (Web)"/>
    <w:basedOn w:val="Normal"/>
    <w:uiPriority w:val="99"/>
    <w:semiHidden/>
    <w:unhideWhenUsed/>
    <w:rsid w:val="00D80FE8"/>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1126</Words>
  <Characters>7533</Characters>
  <Application>Microsoft Office Word</Application>
  <DocSecurity>0</DocSecurity>
  <Lines>114</Lines>
  <Paragraphs>20</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2</cp:revision>
  <dcterms:created xsi:type="dcterms:W3CDTF">2026-02-22T16:36:00Z</dcterms:created>
  <dcterms:modified xsi:type="dcterms:W3CDTF">2026-02-26T20:27:00Z</dcterms:modified>
</cp:coreProperties>
</file>