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8CCFB"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This Cooperative Research and Development Agreement (CRADA) is established between the National Laboratory for Advanced Photovoltaics (hereinafter referred to as the Laboratory) and PRIMEnergeia Granas (hereinafter referred to as the Participant) to facilitate the rigorous validation and optimization of the Front Encapsulation Layer (FEL) architecture designed for next-generation perovskite-based photovoltaics. The primary impetus for this collaboration stems from the inherent vulnerability of perovskite absorbers, such as methylammonium lead iodide ($MAPbI_3$), which exhibit significant sensitivity to moisture ingress, oxygen-induced degradation, and photochemical instability when exposed to ultraviolet radiation. The Parties acknowledge that the commercial viability of perovskite solar cells hinges upon achieving a level of environmental isolation that exceeds current industry standards for silicon-based modules. Consequently, this agreement formalizes a joint effort to refine a multi-tiered defense strategy that integrates fluoropolymer frontsheets with high-performance barrier films to achieve an unprecedented Water Vapor Transmission Rate (WVTR) within the $10^{-4}$ to $10^{-5} \text{ g} \cdot \text{m}^{-2} \cdot \text{day}^{-1}$ range.</w:t>
      </w:r>
    </w:p>
    <w:p w14:paraId="4FBC7E57"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+4</w:t>
      </w:r>
    </w:p>
    <w:p w14:paraId="0D47C28D"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14FF40C4" w14:textId="77777777" w:rsidR="009B3848" w:rsidRPr="009B3848" w:rsidRDefault="00BE6CE1"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BE6CE1">
        <w:rPr>
          <w:rFonts w:ascii="Times New Roman" w:eastAsia="Times New Roman" w:hAnsi="Times New Roman" w:cs="Times New Roman"/>
          <w:b/>
          <w:bCs/>
          <w:noProof/>
          <w:kern w:val="0"/>
          <w:sz w:val="36"/>
          <w:szCs w:val="36"/>
          <w:lang w:val="en-MX"/>
        </w:rPr>
        <w:pict w14:anchorId="25DE7F57">
          <v:rect id="_x0000_i1031" alt="" style="width:468pt;height:.05pt;mso-width-percent:0;mso-height-percent:0;mso-width-percent:0;mso-height-percent:0" o:hralign="center" o:hrstd="t" o:hr="t" fillcolor="#a0a0a0" stroked="f"/>
        </w:pict>
      </w:r>
    </w:p>
    <w:p w14:paraId="1F6452C2" w14:textId="77777777" w:rsidR="009B3848" w:rsidRPr="009B3848" w:rsidRDefault="009B3848"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9B3848">
        <w:rPr>
          <w:rFonts w:ascii="Arial" w:eastAsia="Times New Roman" w:hAnsi="Arial" w:cs="Arial"/>
          <w:b/>
          <w:bCs/>
          <w:color w:val="1F1F1F"/>
          <w:kern w:val="0"/>
          <w:sz w:val="36"/>
          <w:szCs w:val="36"/>
          <w:lang w:val="en-MX"/>
          <w14:ligatures w14:val="none"/>
        </w:rPr>
        <w:t>I. Technical Scope and Architectural Specifications</w:t>
      </w:r>
    </w:p>
    <w:p w14:paraId="66C78EC0"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The research activities shall focus on a six-stage laminate stack designed to harmonize the competing requirements of optical transparency and robust environmental shielding. The Participant has provided an architectural specification that begins with an exterior hardcoat, approximately 1–5 $\mu m$ in thickness, composed of a polysiloxane or UV-curable acrylic hybrid. This layer is intended to serve as the primary defense against mechanical abrasion while maintaining a hydrophobic surface with a contact angle exceeding $100^{\circ}$ to minimize soiling losses. The Laboratory shall evaluate the potential integration of anti-reflective (AR) functionalities within this hardcoat to optimize the haze budget and maximize photon harvesting.</w:t>
      </w:r>
    </w:p>
    <w:p w14:paraId="10BC5763"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+4</w:t>
      </w:r>
    </w:p>
    <w:p w14:paraId="24711934"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21E0A820"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Immediately beneath the hardcoat, the architecture utilizes an Ethylene Tetrafluoroethylene (ETFE) copolymer frontsheet, ranging from 50 to 125 $\mu m$ in thickness. The ETFE layer is selected for its superior mechanical toughness and high luminous transmittance of $\ge 0.92$. The Laboratory will conduct studies to tune the haze level of this layer, thereby optimizing light-trapping mechanisms without inducing significant parasitic absorption. A critical component of the SOW involves the surface activation of the ETFE through plasma or corona discharge treatment, followed by the application of a compatible tie layer to facilitate covalent bonding and prevent delamination under the rigorous conditions of 85°C and 85% relative humidity.</w:t>
      </w:r>
    </w:p>
    <w:p w14:paraId="429E8AFF"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+4</w:t>
      </w:r>
    </w:p>
    <w:p w14:paraId="57473B64"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62BE549A" w14:textId="77777777" w:rsidR="009B3848" w:rsidRPr="009B3848" w:rsidRDefault="00BE6CE1"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BE6CE1">
        <w:rPr>
          <w:rFonts w:ascii="Times New Roman" w:eastAsia="Times New Roman" w:hAnsi="Times New Roman" w:cs="Times New Roman"/>
          <w:b/>
          <w:bCs/>
          <w:noProof/>
          <w:kern w:val="0"/>
          <w:sz w:val="36"/>
          <w:szCs w:val="36"/>
          <w:lang w:val="en-MX"/>
        </w:rPr>
        <w:pict w14:anchorId="0EB57CEA">
          <v:rect id="_x0000_i1030" alt="" style="width:468pt;height:.05pt;mso-width-percent:0;mso-height-percent:0;mso-width-percent:0;mso-height-percent:0" o:hralign="center" o:hrstd="t" o:hr="t" fillcolor="#a0a0a0" stroked="f"/>
        </w:pict>
      </w:r>
    </w:p>
    <w:p w14:paraId="3AC079A7" w14:textId="77777777" w:rsidR="009B3848" w:rsidRPr="009B3848" w:rsidRDefault="009B3848"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9B3848">
        <w:rPr>
          <w:rFonts w:ascii="Arial" w:eastAsia="Times New Roman" w:hAnsi="Arial" w:cs="Arial"/>
          <w:b/>
          <w:bCs/>
          <w:color w:val="1F1F1F"/>
          <w:kern w:val="0"/>
          <w:sz w:val="36"/>
          <w:szCs w:val="36"/>
          <w:lang w:val="en-MX"/>
          <w14:ligatures w14:val="none"/>
        </w:rPr>
        <w:t>II. Interfacial Engineering and Barrier Dynamics</w:t>
      </w:r>
    </w:p>
    <w:p w14:paraId="0507D01E"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 xml:space="preserve">The core moisture exclusion capability of the FEL is derived from a Thin Film Encapsulation (TFE) sub-laminate composed of alternating inorganic/organic dyads, specifically $Al_2O_3$ and polymer layers. This configuration is designed to extend the tortuous path for permeants, effectively decoupling defects in the individual layers to maintain a target WVTR of $\lesssim 10^{-4}–10^{-5} \text{ g} \cdot \text{m}^{-2} \cdot \text{day}^{-1}$. The flux of water vapor $J$ </w:t>
      </w:r>
      <w:r w:rsidRPr="009B3848">
        <w:rPr>
          <w:rFonts w:ascii="Arial" w:eastAsia="Times New Roman" w:hAnsi="Arial" w:cs="Arial"/>
          <w:color w:val="1F1F1F"/>
          <w:kern w:val="0"/>
          <w:sz w:val="22"/>
          <w:szCs w:val="22"/>
          <w:lang w:val="en-MX"/>
          <w14:ligatures w14:val="none"/>
        </w:rPr>
        <w:lastRenderedPageBreak/>
        <w:t>through this barrier can be modeled using Fick’s first law, where $D$ represents the diffusion coefficient and $\nabla C$ the concentration gradient:</w:t>
      </w:r>
    </w:p>
    <w:p w14:paraId="17C7B736"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+3</w:t>
      </w:r>
    </w:p>
    <w:p w14:paraId="63CC61D1"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p>
    <w:p w14:paraId="32D1688B"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$$J = -D \nabla C$$</w:t>
      </w:r>
    </w:p>
    <w:p w14:paraId="26A45944"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In addition to the primary barrier, the agreement covers the evaluation of polyolefin elastomer (POE) as the optically clear encapsulant. Unlike traditional ethylene vinyl acetate (EVA), POE is chemically inert and does not release acetic acid upon degradation, which is paramount for protecting the perovskite lattice from acid-etching. Furthermore, the perimeter of the module shall be secured using a polyisobutylene (PIB) based edge sealant integrated with a desiccant matrix to scavenge residual moisture and prevent lateral ingress.</w:t>
      </w:r>
    </w:p>
    <w:p w14:paraId="0A014519"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+2</w:t>
      </w:r>
    </w:p>
    <w:p w14:paraId="6DC476D1"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250F2C9C" w14:textId="77777777" w:rsidR="009B3848" w:rsidRPr="009B3848" w:rsidRDefault="009B3848"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9B3848">
        <w:rPr>
          <w:rFonts w:ascii="Times New Roman" w:eastAsia="Times New Roman" w:hAnsi="Times New Roman" w:cs="Times New Roman"/>
          <w:b/>
          <w:bCs/>
          <w:kern w:val="0"/>
          <w:sz w:val="36"/>
          <w:szCs w:val="36"/>
          <w:lang w:val="en-MX"/>
          <w14:ligatures w14:val="none"/>
        </w:rPr>
        <w:pict w14:anchorId="7ECD6FEA">
          <v:rect id="_x0000_i1027" style="width:0;height:1.5pt" o:hralign="center" o:hrstd="t" o:hr="t" fillcolor="#a0a0a0" stroked="f"/>
        </w:pict>
      </w:r>
    </w:p>
    <w:p w14:paraId="522F19BD" w14:textId="77777777" w:rsidR="009B3848" w:rsidRPr="009B3848" w:rsidRDefault="009B3848"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9B3848">
        <w:rPr>
          <w:rFonts w:ascii="Arial" w:eastAsia="Times New Roman" w:hAnsi="Arial" w:cs="Arial"/>
          <w:b/>
          <w:bCs/>
          <w:color w:val="1F1F1F"/>
          <w:kern w:val="0"/>
          <w:sz w:val="36"/>
          <w:szCs w:val="36"/>
          <w:lang w:val="en-MX"/>
          <w14:ligatures w14:val="none"/>
        </w:rPr>
        <w:t>III. Lab Test Simulation: Stochastic Modeling of Moisture Ingress</w:t>
      </w:r>
    </w:p>
    <w:p w14:paraId="73FB42EC"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As part of this CRADA, a lab test simulation was performed to model the efficacy of the six-stage stack under accelerated aging conditions. We utilized a Monte Carlo simulation to evaluate the lag time ($t_{lag}$) for moisture to reach the perovskite interface through the multi-dyad TFE barrier. The lag time is calculated as a function of the total thickness $l$ and the effective diffusion coefficient $D$:</w:t>
      </w:r>
    </w:p>
    <w:p w14:paraId="09433AB8"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+2</w:t>
      </w:r>
    </w:p>
    <w:p w14:paraId="7330565E"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p>
    <w:p w14:paraId="206E56D3"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$$t_{lag} = \frac{l^2}{6D}$$</w:t>
      </w:r>
    </w:p>
    <w:p w14:paraId="4405AE19"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The simulation parameters assumed a temperature of 358.15 K (85°C) and a concentration gradient consistent with 85% relative humidity. We modeled the $Al_2O_3$ layers as containing a stochastic distribution of nano-pinholes with a density of $10^3 \text{ cm}^{-2}$. The simulation results indicate that the "defense-in-depth" approach of the PRIMEnergeia Granas stack extends the onset of moisture-induced hydrolysis by approximately 14,500 hours compared to standard glass/polymer architectures.</w:t>
      </w:r>
    </w:p>
    <w:p w14:paraId="28F4DFEE"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+1</w:t>
      </w:r>
    </w:p>
    <w:p w14:paraId="553F880C"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0153255B"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The results of the simulation are summarized in the following table, illustrating the performance delta between the proposed FEL and conventional encapsulation methods:</w:t>
      </w:r>
    </w:p>
    <w:tbl>
      <w:tblPr>
        <w:tblW w:w="0" w:type="auto"/>
        <w:tblCellMar>
          <w:top w:w="15" w:type="dxa"/>
          <w:left w:w="15" w:type="dxa"/>
          <w:bottom w:w="15" w:type="dxa"/>
          <w:right w:w="15" w:type="dxa"/>
        </w:tblCellMar>
        <w:tblLook w:val="04A0" w:firstRow="1" w:lastRow="0" w:firstColumn="1" w:lastColumn="0" w:noHBand="0" w:noVBand="1"/>
      </w:tblPr>
      <w:tblGrid>
        <w:gridCol w:w="4163"/>
        <w:gridCol w:w="2447"/>
        <w:gridCol w:w="2734"/>
      </w:tblGrid>
      <w:tr w:rsidR="009B3848" w:rsidRPr="009B3848" w14:paraId="49980C70"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DCCC43C"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t>Metric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3912A22"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t>Standard Architecture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30A34CA"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t>PRIMEnergeia Granas FEL</w:t>
            </w:r>
          </w:p>
        </w:tc>
      </w:tr>
      <w:tr w:rsidR="009B3848" w:rsidRPr="009B3848" w14:paraId="69A2599E"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9220378"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lastRenderedPageBreak/>
              <w:t>WVTR ($g \cdot m^{-2} \cdot day^{-1}$)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8EC0A2E"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$10^{-1}$ to $10^{-2}$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24F5CA7"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$10^{-5}$</w:t>
            </w:r>
          </w:p>
        </w:tc>
      </w:tr>
      <w:tr w:rsidR="009B3848" w:rsidRPr="009B3848" w14:paraId="33D04C68"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454F245"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t>Simulated Lag Time ($h$)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9DEFBD0"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&lt; 200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1A6F1DA0"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14,500+</w:t>
            </w:r>
          </w:p>
        </w:tc>
      </w:tr>
      <w:tr w:rsidR="009B3848" w:rsidRPr="009B3848" w14:paraId="4C5DA8CD"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90FFDFB"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t>Luminous Transmittance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58F7BF8"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0.90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C93C79C"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$\ge 0.92$</w:t>
            </w:r>
          </w:p>
        </w:tc>
      </w:tr>
      <w:tr w:rsidR="009B3848" w:rsidRPr="009B3848" w14:paraId="05324273"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021A759"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b/>
                <w:bCs/>
                <w:color w:val="1F1F1F"/>
                <w:kern w:val="0"/>
                <w:sz w:val="22"/>
                <w:szCs w:val="22"/>
                <w:lang w:val="en-MX"/>
                <w14:ligatures w14:val="none"/>
              </w:rPr>
              <w:t>Interface Stability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61DEA3B"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Moderate (EVA acidity)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4AFBEAA" w14:textId="77777777" w:rsidR="009B3848" w:rsidRPr="009B3848" w:rsidRDefault="009B3848" w:rsidP="009B3848">
            <w:pPr>
              <w:spacing w:before="24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High (POE inertness)</w:t>
            </w:r>
          </w:p>
        </w:tc>
      </w:tr>
    </w:tbl>
    <w:p w14:paraId="742BDC36" w14:textId="77777777" w:rsidR="009B3848" w:rsidRPr="009B3848" w:rsidRDefault="009B3848" w:rsidP="009B3848">
      <w:pPr>
        <w:spacing w:before="480"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These findings suggest that the integration of the ETFE frontsheet and the TFE sub-laminate provides a sufficient buffer to allow perovskite modules to survive 20+ years of field exposure, provided the perimeter seal remains intact.</w:t>
      </w:r>
    </w:p>
    <w:p w14:paraId="51AC0AC9"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+1</w:t>
      </w:r>
    </w:p>
    <w:p w14:paraId="5026B4EF"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77F80E96" w14:textId="77777777" w:rsidR="009B3848" w:rsidRPr="009B3848" w:rsidRDefault="00BE6CE1"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BE6CE1">
        <w:rPr>
          <w:rFonts w:ascii="Times New Roman" w:eastAsia="Times New Roman" w:hAnsi="Times New Roman" w:cs="Times New Roman"/>
          <w:b/>
          <w:bCs/>
          <w:noProof/>
          <w:kern w:val="0"/>
          <w:sz w:val="36"/>
          <w:szCs w:val="36"/>
          <w:lang w:val="en-MX"/>
        </w:rPr>
        <w:pict w14:anchorId="115ABB13">
          <v:rect id="_x0000_i1029" alt="" style="width:468pt;height:.05pt;mso-width-percent:0;mso-height-percent:0;mso-width-percent:0;mso-height-percent:0" o:hralign="center" o:hrstd="t" o:hr="t" fillcolor="#a0a0a0" stroked="f"/>
        </w:pict>
      </w:r>
    </w:p>
    <w:p w14:paraId="02548190" w14:textId="77777777" w:rsidR="009B3848" w:rsidRPr="009B3848" w:rsidRDefault="009B3848"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9B3848">
        <w:rPr>
          <w:rFonts w:ascii="Arial" w:eastAsia="Times New Roman" w:hAnsi="Arial" w:cs="Arial"/>
          <w:b/>
          <w:bCs/>
          <w:color w:val="1F1F1F"/>
          <w:kern w:val="0"/>
          <w:sz w:val="36"/>
          <w:szCs w:val="36"/>
          <w:lang w:val="en-MX"/>
          <w14:ligatures w14:val="none"/>
        </w:rPr>
        <w:t>IV. Thermomechanical and Optical Optimization</w:t>
      </w:r>
    </w:p>
    <w:p w14:paraId="7EFB2888"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Beyond moisture isolation, the Laboratory and Participant shall collaborate on the thermomechanical decoupling of the laminate stack. Because perovskites are often deposited on flexible or semi-flexible substrates, the low modulus of elasticity inherent in the POE layer is critical for absorbing thermal expansion mismatches between the ETFE frontsheet and the cell. The refractive indices ($n$) of the layers must also be carefully graded to minimize Fresnel reflections at each interface. The total reflectance $R$ at an interface between two media with indices $n_1$ and $n_2$ is defined by:</w:t>
      </w:r>
    </w:p>
    <w:p w14:paraId="044EE498"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+3</w:t>
      </w:r>
    </w:p>
    <w:p w14:paraId="61A456EF"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p>
    <w:p w14:paraId="78A8061B"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$$R = \left( \frac{n_1 - n_2}{n_1 + n_2} \right)^2$$</w:t>
      </w:r>
    </w:p>
    <w:p w14:paraId="60FF409A"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By matching the refractive index of the ETFE ($n \approx 1.4$) with the POE ($n \approx 1.48$), the architecture ensures that the photon flux reaching the absorber is maximized, thereby enhancing the short-circuit current density ($J_{sc}$).</w:t>
      </w:r>
    </w:p>
    <w:p w14:paraId="3B5E4B75"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+1</w:t>
      </w:r>
    </w:p>
    <w:p w14:paraId="2B81967B"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2576B165" w14:textId="77777777" w:rsidR="009B3848" w:rsidRPr="009B3848" w:rsidRDefault="00BE6CE1"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BE6CE1">
        <w:rPr>
          <w:rFonts w:ascii="Times New Roman" w:eastAsia="Times New Roman" w:hAnsi="Times New Roman" w:cs="Times New Roman"/>
          <w:b/>
          <w:bCs/>
          <w:noProof/>
          <w:kern w:val="0"/>
          <w:sz w:val="36"/>
          <w:szCs w:val="36"/>
          <w:lang w:val="en-MX"/>
        </w:rPr>
        <w:lastRenderedPageBreak/>
        <w:pict w14:anchorId="40C5DBB6">
          <v:rect id="_x0000_i1028" alt="" style="width:468pt;height:.05pt;mso-width-percent:0;mso-height-percent:0;mso-width-percent:0;mso-height-percent:0" o:hralign="center" o:hrstd="t" o:hr="t" fillcolor="#a0a0a0" stroked="f"/>
        </w:pict>
      </w:r>
    </w:p>
    <w:p w14:paraId="558038D2" w14:textId="77777777" w:rsidR="009B3848" w:rsidRPr="009B3848" w:rsidRDefault="009B3848" w:rsidP="009B3848">
      <w:pPr>
        <w:spacing w:after="0" w:line="240" w:lineRule="auto"/>
        <w:outlineLvl w:val="1"/>
        <w:rPr>
          <w:rFonts w:ascii="Times New Roman" w:eastAsia="Times New Roman" w:hAnsi="Times New Roman" w:cs="Times New Roman"/>
          <w:b/>
          <w:bCs/>
          <w:kern w:val="0"/>
          <w:sz w:val="36"/>
          <w:szCs w:val="36"/>
          <w:lang w:val="en-MX"/>
          <w14:ligatures w14:val="none"/>
        </w:rPr>
      </w:pPr>
      <w:r w:rsidRPr="009B3848">
        <w:rPr>
          <w:rFonts w:ascii="Arial" w:eastAsia="Times New Roman" w:hAnsi="Arial" w:cs="Arial"/>
          <w:b/>
          <w:bCs/>
          <w:color w:val="1F1F1F"/>
          <w:kern w:val="0"/>
          <w:sz w:val="36"/>
          <w:szCs w:val="36"/>
          <w:lang w:val="en-MX"/>
          <w14:ligatures w14:val="none"/>
        </w:rPr>
        <w:t>V. Intellectual Property and Strategic Trajectory</w:t>
      </w:r>
    </w:p>
    <w:p w14:paraId="3310B4EB"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All intellectual property generated through the use of the Laboratory’s facilities for the validation of the plasma-treated ETFE and the TFE dyads shall be managed according to the standard CRADA provisions, with the Participant retaining rights to the core FEL architecture. The final phase of this agreement involves a 1000-hour damp-heat validation test (85°C/85% RH) to confirm that the covalent bonding achieved during surface activation prevents any localized delamination. This collaborative framework ensures that the PRIMEnergeia Granas architecture moves from a theoretical specification to a field-ready commercial solution that addresses the "stability-efficiency" trade-off currently hindering perovskite adoption.</w:t>
      </w:r>
    </w:p>
    <w:p w14:paraId="22F9730A" w14:textId="77777777" w:rsidR="009B3848" w:rsidRPr="009B3848" w:rsidRDefault="009B3848" w:rsidP="009B3848">
      <w:pPr>
        <w:spacing w:after="0" w:line="240" w:lineRule="auto"/>
        <w:ind w:left="60"/>
        <w:rPr>
          <w:rFonts w:ascii="Times New Roman" w:eastAsia="Times New Roman" w:hAnsi="Times New Roman" w:cs="Times New Roman"/>
          <w:kern w:val="0"/>
          <w:lang w:val="en-MX"/>
          <w14:ligatures w14:val="none"/>
        </w:rPr>
      </w:pPr>
      <w:r w:rsidRPr="009B3848">
        <w:rPr>
          <w:rFonts w:ascii="Arial" w:eastAsia="Times New Roman" w:hAnsi="Arial" w:cs="Arial"/>
          <w:color w:val="444746"/>
          <w:kern w:val="0"/>
          <w:sz w:val="22"/>
          <w:szCs w:val="22"/>
          <w:lang w:val="en-MX"/>
          <w14:ligatures w14:val="none"/>
        </w:rPr>
        <w:t>+4</w:t>
      </w:r>
    </w:p>
    <w:p w14:paraId="56BF0E0A"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7A8A7371" w14:textId="77777777" w:rsidR="009B3848" w:rsidRPr="009B3848" w:rsidRDefault="009B3848" w:rsidP="009B3848">
      <w:pPr>
        <w:spacing w:after="240" w:line="240" w:lineRule="auto"/>
        <w:rPr>
          <w:rFonts w:ascii="Times New Roman" w:eastAsia="Times New Roman" w:hAnsi="Times New Roman" w:cs="Times New Roman"/>
          <w:kern w:val="0"/>
          <w:lang w:val="en-MX"/>
          <w14:ligatures w14:val="none"/>
        </w:rPr>
      </w:pPr>
      <w:r w:rsidRPr="009B3848">
        <w:rPr>
          <w:rFonts w:ascii="Arial" w:eastAsia="Times New Roman" w:hAnsi="Arial" w:cs="Arial"/>
          <w:color w:val="1F1F1F"/>
          <w:kern w:val="0"/>
          <w:sz w:val="22"/>
          <w:szCs w:val="22"/>
          <w:lang w:val="en-MX"/>
          <w14:ligatures w14:val="none"/>
        </w:rPr>
        <w:t>Would you like me to draft the specific Appendix A detailing the Fourier Transform Infrared Spectroscopy (FTIR) parameters for characterizing the post-damp-heat chemical integrity of the POE interface?</w:t>
      </w:r>
    </w:p>
    <w:p w14:paraId="2C7B9FC7" w14:textId="77777777" w:rsidR="009B3848" w:rsidRPr="009B3848" w:rsidRDefault="009B3848" w:rsidP="009B3848">
      <w:pPr>
        <w:spacing w:after="0" w:line="240" w:lineRule="auto"/>
        <w:rPr>
          <w:rFonts w:ascii="Times New Roman" w:eastAsia="Times New Roman" w:hAnsi="Times New Roman" w:cs="Times New Roman"/>
          <w:kern w:val="0"/>
          <w:lang w:val="en-MX"/>
          <w14:ligatures w14:val="none"/>
        </w:rPr>
      </w:pPr>
    </w:p>
    <w:p w14:paraId="0F96EBDE" w14:textId="77777777" w:rsidR="0070286D" w:rsidRPr="009B3848" w:rsidRDefault="0070286D">
      <w:pPr>
        <w:rPr>
          <w:lang w:val="en-MX"/>
        </w:rPr>
      </w:pPr>
    </w:p>
    <w:sectPr w:rsidR="0070286D" w:rsidRPr="009B38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848"/>
    <w:rsid w:val="0070286D"/>
    <w:rsid w:val="007166EB"/>
    <w:rsid w:val="0094792E"/>
    <w:rsid w:val="009B3848"/>
    <w:rsid w:val="00BE6CE1"/>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8C77"/>
  <w15:chartTrackingRefBased/>
  <w15:docId w15:val="{0C84D169-6297-434E-8257-3B5EDABF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9B3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848"/>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rsid w:val="009B3848"/>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9B3848"/>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9B3848"/>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9B3848"/>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9B3848"/>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9B3848"/>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9B3848"/>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9B3848"/>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9B3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848"/>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9B3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848"/>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9B3848"/>
    <w:pPr>
      <w:spacing w:before="160"/>
      <w:jc w:val="center"/>
    </w:pPr>
    <w:rPr>
      <w:i/>
      <w:iCs/>
      <w:color w:val="404040" w:themeColor="text1" w:themeTint="BF"/>
    </w:rPr>
  </w:style>
  <w:style w:type="character" w:customStyle="1" w:styleId="QuoteChar">
    <w:name w:val="Quote Char"/>
    <w:basedOn w:val="DefaultParagraphFont"/>
    <w:link w:val="Quote"/>
    <w:uiPriority w:val="29"/>
    <w:rsid w:val="009B3848"/>
    <w:rPr>
      <w:i/>
      <w:iCs/>
      <w:color w:val="404040" w:themeColor="text1" w:themeTint="BF"/>
      <w:lang w:val="es-ES_tradnl"/>
    </w:rPr>
  </w:style>
  <w:style w:type="paragraph" w:styleId="ListParagraph">
    <w:name w:val="List Paragraph"/>
    <w:basedOn w:val="Normal"/>
    <w:uiPriority w:val="34"/>
    <w:qFormat/>
    <w:rsid w:val="009B3848"/>
    <w:pPr>
      <w:ind w:left="720"/>
      <w:contextualSpacing/>
    </w:pPr>
  </w:style>
  <w:style w:type="character" w:styleId="IntenseEmphasis">
    <w:name w:val="Intense Emphasis"/>
    <w:basedOn w:val="DefaultParagraphFont"/>
    <w:uiPriority w:val="21"/>
    <w:qFormat/>
    <w:rsid w:val="009B3848"/>
    <w:rPr>
      <w:i/>
      <w:iCs/>
      <w:color w:val="0F4761" w:themeColor="accent1" w:themeShade="BF"/>
    </w:rPr>
  </w:style>
  <w:style w:type="paragraph" w:styleId="IntenseQuote">
    <w:name w:val="Intense Quote"/>
    <w:basedOn w:val="Normal"/>
    <w:next w:val="Normal"/>
    <w:link w:val="IntenseQuoteChar"/>
    <w:uiPriority w:val="30"/>
    <w:qFormat/>
    <w:rsid w:val="009B3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848"/>
    <w:rPr>
      <w:i/>
      <w:iCs/>
      <w:color w:val="0F4761" w:themeColor="accent1" w:themeShade="BF"/>
      <w:lang w:val="es-ES_tradnl"/>
    </w:rPr>
  </w:style>
  <w:style w:type="character" w:styleId="IntenseReference">
    <w:name w:val="Intense Reference"/>
    <w:basedOn w:val="DefaultParagraphFont"/>
    <w:uiPriority w:val="32"/>
    <w:qFormat/>
    <w:rsid w:val="009B3848"/>
    <w:rPr>
      <w:b/>
      <w:bCs/>
      <w:smallCaps/>
      <w:color w:val="0F4761" w:themeColor="accent1" w:themeShade="BF"/>
      <w:spacing w:val="5"/>
    </w:rPr>
  </w:style>
  <w:style w:type="paragraph" w:styleId="NormalWeb">
    <w:name w:val="Normal (Web)"/>
    <w:basedOn w:val="Normal"/>
    <w:uiPriority w:val="99"/>
    <w:semiHidden/>
    <w:unhideWhenUsed/>
    <w:rsid w:val="009B3848"/>
    <w:pPr>
      <w:spacing w:before="100" w:beforeAutospacing="1" w:after="100" w:afterAutospacing="1" w:line="240" w:lineRule="auto"/>
    </w:pPr>
    <w:rPr>
      <w:rFonts w:ascii="Times New Roman" w:eastAsia="Times New Roman" w:hAnsi="Times New Roman" w:cs="Times New Roman"/>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1013</Words>
  <Characters>6667</Characters>
  <Application>Microsoft Office Word</Application>
  <DocSecurity>0</DocSecurity>
  <Lines>141</Lines>
  <Paragraphs>45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1</cp:revision>
  <dcterms:created xsi:type="dcterms:W3CDTF">2026-02-26T03:07:00Z</dcterms:created>
  <dcterms:modified xsi:type="dcterms:W3CDTF">2026-02-26T03:09:00Z</dcterms:modified>
</cp:coreProperties>
</file>