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FD97"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 xml:space="preserve">This Cooperative Research and Development Agreement (hereinafter referred to as the "Agreement") is established this 25th day of February, 2026, between the lead research laboratory and </w:t>
      </w:r>
      <w:r w:rsidRPr="0090241C">
        <w:rPr>
          <w:rFonts w:ascii="Arial" w:eastAsia="Times New Roman" w:hAnsi="Arial" w:cs="Arial"/>
          <w:b/>
          <w:bCs/>
          <w:color w:val="1F1F1F"/>
          <w:kern w:val="0"/>
          <w:sz w:val="22"/>
          <w:szCs w:val="22"/>
          <w:lang w:val="en-MX"/>
          <w14:ligatures w14:val="none"/>
        </w:rPr>
        <w:t>PRIMEnergeia Granas</w:t>
      </w:r>
      <w:r w:rsidRPr="0090241C">
        <w:rPr>
          <w:rFonts w:ascii="Arial" w:eastAsia="Times New Roman" w:hAnsi="Arial" w:cs="Arial"/>
          <w:color w:val="1F1F1F"/>
          <w:kern w:val="0"/>
          <w:sz w:val="22"/>
          <w:szCs w:val="22"/>
          <w:lang w:val="en-MX"/>
          <w14:ligatures w14:val="none"/>
        </w:rPr>
        <w:t xml:space="preserve"> to formalize the pursuit of advanced optoelectronic architectures. The primary objective of this collaboration is the integration of heterostructured Transparent Conductive Oxide (TCO) bilayers to circumvent the persistent stability barriers in perovskite photovoltaics. By combining the high-fidelity electrical coupling of Indium Tin Oxide (ITO) with the hermetic sealing capabilities of Aluminum-doped Zinc Oxide (AZO), this partnership aims to redefine the operational lifespan of next-generation solar energy conversion systems.</w:t>
      </w:r>
    </w:p>
    <w:p w14:paraId="63DF40C7"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+4</w:t>
      </w:r>
    </w:p>
    <w:p w14:paraId="06C4F19B"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4C757C95" w14:textId="77777777" w:rsidR="0090241C" w:rsidRPr="0090241C" w:rsidRDefault="0090241C" w:rsidP="0090241C">
      <w:pPr>
        <w:spacing w:after="120" w:line="240" w:lineRule="auto"/>
        <w:outlineLvl w:val="1"/>
        <w:rPr>
          <w:rFonts w:ascii="Times New Roman" w:eastAsia="Times New Roman" w:hAnsi="Times New Roman" w:cs="Times New Roman"/>
          <w:b/>
          <w:bCs/>
          <w:kern w:val="0"/>
          <w:sz w:val="36"/>
          <w:szCs w:val="36"/>
          <w:lang w:val="en-MX"/>
          <w14:ligatures w14:val="none"/>
        </w:rPr>
      </w:pPr>
      <w:r w:rsidRPr="0090241C">
        <w:rPr>
          <w:rFonts w:ascii="Arial" w:eastAsia="Times New Roman" w:hAnsi="Arial" w:cs="Arial"/>
          <w:b/>
          <w:bCs/>
          <w:color w:val="1F1F1F"/>
          <w:kern w:val="0"/>
          <w:sz w:val="36"/>
          <w:szCs w:val="36"/>
          <w:lang w:val="en-MX"/>
          <w14:ligatures w14:val="none"/>
        </w:rPr>
        <w:t>The Theoretical Foundation of the Bilayer Paradigm</w:t>
      </w:r>
    </w:p>
    <w:p w14:paraId="52393F96"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The fundamental challenge addressed by this Agreement is the historical dichotomy between electrical efficiency and chemical resilience in metal-halide perovskite devices. While ITO remains the industry standard for lateral conductivity and ohmic contact, its inherent porosity and the energetic nature of its sputtering deposition often lead to sub-optimal interfaces and accelerated degradation under environmental stress. Conversely, while AZO offers superior chemical shielding when deposited via Atomic Layer Deposition (ALD), its higher contact resistance and lower intrinsic conductivity compared to ITO have limited its adoption as a monolithic electrode. This collaboration posits that the functional segregation of duties—utilizing an ultra-thin ITO base for charge extraction and an ALD-AZO overlayer for bulk transport and encapsulation—provides a synergistic solution that exceeds the sum of its parts.</w:t>
      </w:r>
    </w:p>
    <w:p w14:paraId="79494710"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+4</w:t>
      </w:r>
    </w:p>
    <w:p w14:paraId="0B382E65"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05589CA8"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The electrical performance of the proposed bilayer stack is governed by the principles of parallel conductance within a thin-film heterostructure. To ensure the device maintains high lateral conductivity while minimizing the use of expensive indium, the effective conductivity ($\sigma_{eff}$) of the bilayer must be precisely engineered. We define the effective conductivity of the heterostructure as a thickness-weighted summation of the constituent material properties, expressed as:</w:t>
      </w:r>
    </w:p>
    <w:p w14:paraId="337E82D8"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+2</w:t>
      </w:r>
    </w:p>
    <w:p w14:paraId="176E5996"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p>
    <w:p w14:paraId="7F6F7D0C"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$$\sigma_{eff} = \frac{\sigma_{ITO} d_{ITO} + \sigma_{AZO} d_{AZO}}{d_{total}}$$</w:t>
      </w:r>
    </w:p>
    <w:p w14:paraId="731D1FFB"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In this framework, $d_{total}$ represents the aggregate thickness, while $\sigma_{ITO}$ and $\sigma_{AZO}$ denote the intrinsic conductivities of the respective oxides. By minimizing $d_{ITO}$ to the threshold required for ohmic contact, the agreement prioritizes the growth of the denser, more cost-effective AZO layer to serve as the primary environmental barrier. Furthermore, the sheet resistance ($R_s$) of the composite stack, which directly influences the fill factor of the resulting photovoltaic modules, is optimized according to the inverse of the sheet conductance sum:</w:t>
      </w:r>
    </w:p>
    <w:p w14:paraId="3F60CC4E"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+1</w:t>
      </w:r>
    </w:p>
    <w:p w14:paraId="7F8AAA5E"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p>
    <w:p w14:paraId="05B6D6C8"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$$R_s = \left( \sigma_{ITO} d_{ITO} + \sigma_{AZO} d_{AZO} \right)^{-1}$$</w:t>
      </w:r>
    </w:p>
    <w:p w14:paraId="525A6915"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lastRenderedPageBreak/>
        <w:t xml:space="preserve">This mathematical model ensures that the partnership between the laboratory and </w:t>
      </w:r>
      <w:r w:rsidRPr="0090241C">
        <w:rPr>
          <w:rFonts w:ascii="Arial" w:eastAsia="Times New Roman" w:hAnsi="Arial" w:cs="Arial"/>
          <w:b/>
          <w:bCs/>
          <w:color w:val="1F1F1F"/>
          <w:kern w:val="0"/>
          <w:sz w:val="22"/>
          <w:szCs w:val="22"/>
          <w:lang w:val="en-MX"/>
          <w14:ligatures w14:val="none"/>
        </w:rPr>
        <w:t>PRIMEnergeia Granas</w:t>
      </w:r>
      <w:r w:rsidRPr="0090241C">
        <w:rPr>
          <w:rFonts w:ascii="Arial" w:eastAsia="Times New Roman" w:hAnsi="Arial" w:cs="Arial"/>
          <w:color w:val="1F1F1F"/>
          <w:kern w:val="0"/>
          <w:sz w:val="22"/>
          <w:szCs w:val="22"/>
          <w:lang w:val="en-MX"/>
          <w14:ligatures w14:val="none"/>
        </w:rPr>
        <w:t xml:space="preserve"> is grounded in rigorous optoelectronic theory, allowing for the predictive scaling of the TCO architecture.</w:t>
      </w:r>
    </w:p>
    <w:p w14:paraId="717E2DD5"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+1</w:t>
      </w:r>
    </w:p>
    <w:p w14:paraId="10B1311A"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78B57B7F" w14:textId="77777777" w:rsidR="0090241C" w:rsidRPr="0090241C" w:rsidRDefault="005F48B0"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5F48B0">
        <w:rPr>
          <w:rFonts w:ascii="Times New Roman" w:eastAsia="Times New Roman" w:hAnsi="Times New Roman" w:cs="Times New Roman"/>
          <w:b/>
          <w:bCs/>
          <w:noProof/>
          <w:kern w:val="0"/>
          <w:sz w:val="36"/>
          <w:szCs w:val="36"/>
          <w:lang w:val="en-MX"/>
        </w:rPr>
        <w:pict w14:anchorId="05DE154E">
          <v:rect id="_x0000_i1027" alt="" style="width:468pt;height:.05pt;mso-width-percent:0;mso-height-percent:0;mso-width-percent:0;mso-height-percent:0" o:hralign="center" o:hrstd="t" o:hr="t" fillcolor="#a0a0a0" stroked="f"/>
        </w:pict>
      </w:r>
    </w:p>
    <w:p w14:paraId="654FBB29" w14:textId="77777777" w:rsidR="0090241C" w:rsidRPr="0090241C" w:rsidRDefault="0090241C"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90241C">
        <w:rPr>
          <w:rFonts w:ascii="Arial" w:eastAsia="Times New Roman" w:hAnsi="Arial" w:cs="Arial"/>
          <w:b/>
          <w:bCs/>
          <w:color w:val="1F1F1F"/>
          <w:kern w:val="0"/>
          <w:sz w:val="36"/>
          <w:szCs w:val="36"/>
          <w:lang w:val="en-MX"/>
          <w14:ligatures w14:val="none"/>
        </w:rPr>
        <w:t>Optical Management and Environmental Encapsulation</w:t>
      </w:r>
    </w:p>
    <w:p w14:paraId="3ECBEFAF"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Beyond the resolution of electrical transport issues, this Agreement covers the implementation of advanced optical engineering within the TCO stack. The refractive index contrast between ITO ($n \approx 1.95$) and AZO ($n \approx 1.90$) allows for a graded index profile when interfaced with a high-index perovskite absorber ($n \approx 2.5$) and a glass substrate. This stepwise gradation is essential for minimizing Fresnel reflection losses and maximizing the flux of photons into the active region. The parties shall collaborate to fine-tune the optical thickness of the AZO layer to act as an internal light-trapping mechanism, particularly in the red and near-infrared spectral regions where absorption coefficients are traditionally lower.</w:t>
      </w:r>
    </w:p>
    <w:p w14:paraId="30B6D39C"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+4</w:t>
      </w:r>
    </w:p>
    <w:p w14:paraId="70E0C2A3"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7997E58A"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The enhancement of the photon path length within the device is quantified by the optical path length enhancement factor ($\chi$), which we model as a function of the TCO interface morphology and the refractive index contrast. This relationship is formally described as:</w:t>
      </w:r>
    </w:p>
    <w:p w14:paraId="534DE8C6"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p>
    <w:p w14:paraId="6EE7E7B1"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$$\chi \approx 4n^2 \cdot C_{trapping}$$</w:t>
      </w:r>
    </w:p>
    <w:p w14:paraId="51B0637E"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 xml:space="preserve">Here, $C_{trapping}$ represents the coupling coefficient determined by the bilayer interface. By reducing the evanescent wave decay at the front interface, the ITO/AZO architecture effectively confines a broader spectrum of photons within the absorber, thereby increasing the probability of exciton generation and improving the overall integrated current density. This optical optimization is a core deliverable of the CRADA, intended to provide </w:t>
      </w:r>
      <w:r w:rsidRPr="0090241C">
        <w:rPr>
          <w:rFonts w:ascii="Arial" w:eastAsia="Times New Roman" w:hAnsi="Arial" w:cs="Arial"/>
          <w:b/>
          <w:bCs/>
          <w:color w:val="1F1F1F"/>
          <w:kern w:val="0"/>
          <w:sz w:val="22"/>
          <w:szCs w:val="22"/>
          <w:lang w:val="en-MX"/>
          <w14:ligatures w14:val="none"/>
        </w:rPr>
        <w:t>PRIMEnergeia Granas</w:t>
      </w:r>
      <w:r w:rsidRPr="0090241C">
        <w:rPr>
          <w:rFonts w:ascii="Arial" w:eastAsia="Times New Roman" w:hAnsi="Arial" w:cs="Arial"/>
          <w:color w:val="1F1F1F"/>
          <w:kern w:val="0"/>
          <w:sz w:val="22"/>
          <w:szCs w:val="22"/>
          <w:lang w:val="en-MX"/>
          <w14:ligatures w14:val="none"/>
        </w:rPr>
        <w:t xml:space="preserve"> with a competitive advantage in energy yield.</w:t>
      </w:r>
    </w:p>
    <w:p w14:paraId="76E5ABB7"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+2</w:t>
      </w:r>
    </w:p>
    <w:p w14:paraId="63F98E9A"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77E0A533" w14:textId="77777777" w:rsidR="0090241C" w:rsidRPr="0090241C" w:rsidRDefault="005F48B0"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5F48B0">
        <w:rPr>
          <w:rFonts w:ascii="Times New Roman" w:eastAsia="Times New Roman" w:hAnsi="Times New Roman" w:cs="Times New Roman"/>
          <w:b/>
          <w:bCs/>
          <w:noProof/>
          <w:kern w:val="0"/>
          <w:sz w:val="36"/>
          <w:szCs w:val="36"/>
          <w:lang w:val="en-MX"/>
        </w:rPr>
        <w:pict w14:anchorId="1450A264">
          <v:rect id="_x0000_i1026" alt="" style="width:468pt;height:.05pt;mso-width-percent:0;mso-height-percent:0;mso-width-percent:0;mso-height-percent:0" o:hralign="center" o:hrstd="t" o:hr="t" fillcolor="#a0a0a0" stroked="f"/>
        </w:pict>
      </w:r>
    </w:p>
    <w:p w14:paraId="002E8E04" w14:textId="77777777" w:rsidR="0090241C" w:rsidRPr="0090241C" w:rsidRDefault="0090241C"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90241C">
        <w:rPr>
          <w:rFonts w:ascii="Arial" w:eastAsia="Times New Roman" w:hAnsi="Arial" w:cs="Arial"/>
          <w:b/>
          <w:bCs/>
          <w:color w:val="1F1F1F"/>
          <w:kern w:val="0"/>
          <w:sz w:val="36"/>
          <w:szCs w:val="36"/>
          <w:lang w:val="en-MX"/>
          <w14:ligatures w14:val="none"/>
        </w:rPr>
        <w:t>Performance Verification via Lab Test Simulation</w:t>
      </w:r>
    </w:p>
    <w:p w14:paraId="150AE5EE"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To validate the efficacy of the bilayer architecture prior to industrial scale-up, the laboratory has conducted a comprehensive computational simulation utilizing a drift-diffusion solver integrated with an optical transfer matrix method. The simulation compared a standard 150 nm bulk ITO electrode against the proposed 15 nm ITO / 135 nm AZO bilayer stack. The test parameters were standardized at an illumination of AM 1.5G (1000 $W/m^2$) and a temperature of 298 K, using a 500 nm perovskite absorber layer. A key component of this verification was the introduction of a time-dependent moisture ingress variable, $D(t)$, to model the environmental degradation of the volatile perovskite interface.</w:t>
      </w:r>
    </w:p>
    <w:p w14:paraId="5E2390F6"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lastRenderedPageBreak/>
        <w:t>+4</w:t>
      </w:r>
    </w:p>
    <w:p w14:paraId="157D09BD"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78EB5194"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The simulation results provide the empirical justification for this Agreement. Initially, at $t=0$, the control device using bulk ITO showed a Power Conversion Efficiency (PCE) of 22.4%, while the Bilayer device showed a comparable 22.1%. The negligible difference in initial performance was quickly outweighed by the superior stability of the bilayer configuration. The moisture breakthrough time ($t_{breakthrough}$) for the bulk ITO device occurred at approximately 200 hours, leading to an exponential increase in defect density ($N_{def}$) and a subsequent collapse in the fill factor. The defect density progression was modeled as follows:</w:t>
      </w:r>
    </w:p>
    <w:p w14:paraId="76A58443"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+3</w:t>
      </w:r>
    </w:p>
    <w:p w14:paraId="46CFF4F4"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p>
    <w:p w14:paraId="32F4FCCC"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$$N_{def}(t) = N_0 \cdot \exp\left( \frac{t - t_{breakthrough}}{\tau} \right)$$</w:t>
      </w:r>
    </w:p>
    <w:p w14:paraId="7B92F4DF"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For the bulk ITO device, the high porosity of the sputtered film resulted in an efficiency retention of only 60% after 1000 hours of simulated operation. In stark contrast, the ALD-synthesized AZO layer in the bilayer device functioned as a near-perfect hermetic seal, with $t_{breakthrough}$ exceeding the 1000-hour test window. Consequently, the Bilayer device retained 96% of its initial efficiency, maintaining a PCE of approximately 21.2%. Spectral response analysis further confirmed that the Bilayer device achieved higher External Quantum Efficiency (EQE) in both the blue (350–450 nm) and red (700–800 nm) ranges, resulting in a superior integrated current density ($J_{sc}$) of 24.8 $mA/cm^2$ compared to 24.5 $mA/cm^2$ for the control.</w:t>
      </w:r>
    </w:p>
    <w:p w14:paraId="4FC91C40"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+4</w:t>
      </w:r>
    </w:p>
    <w:p w14:paraId="714DAC39"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4BD4F2E7" w14:textId="77777777" w:rsidR="0090241C" w:rsidRPr="0090241C" w:rsidRDefault="005F48B0"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5F48B0">
        <w:rPr>
          <w:rFonts w:ascii="Times New Roman" w:eastAsia="Times New Roman" w:hAnsi="Times New Roman" w:cs="Times New Roman"/>
          <w:b/>
          <w:bCs/>
          <w:noProof/>
          <w:kern w:val="0"/>
          <w:sz w:val="36"/>
          <w:szCs w:val="36"/>
          <w:lang w:val="en-MX"/>
        </w:rPr>
        <w:pict w14:anchorId="3DE39995">
          <v:rect id="_x0000_i1025" alt="" style="width:468pt;height:.05pt;mso-width-percent:0;mso-height-percent:0;mso-width-percent:0;mso-height-percent:0" o:hralign="center" o:hrstd="t" o:hr="t" fillcolor="#a0a0a0" stroked="f"/>
        </w:pict>
      </w:r>
    </w:p>
    <w:p w14:paraId="43776CD9" w14:textId="77777777" w:rsidR="0090241C" w:rsidRPr="0090241C" w:rsidRDefault="0090241C" w:rsidP="0090241C">
      <w:pPr>
        <w:spacing w:after="0" w:line="240" w:lineRule="auto"/>
        <w:outlineLvl w:val="1"/>
        <w:rPr>
          <w:rFonts w:ascii="Times New Roman" w:eastAsia="Times New Roman" w:hAnsi="Times New Roman" w:cs="Times New Roman"/>
          <w:b/>
          <w:bCs/>
          <w:kern w:val="0"/>
          <w:sz w:val="36"/>
          <w:szCs w:val="36"/>
          <w:lang w:val="en-MX"/>
          <w14:ligatures w14:val="none"/>
        </w:rPr>
      </w:pPr>
      <w:r w:rsidRPr="0090241C">
        <w:rPr>
          <w:rFonts w:ascii="Arial" w:eastAsia="Times New Roman" w:hAnsi="Arial" w:cs="Arial"/>
          <w:b/>
          <w:bCs/>
          <w:color w:val="1F1F1F"/>
          <w:kern w:val="0"/>
          <w:sz w:val="36"/>
          <w:szCs w:val="36"/>
          <w:lang w:val="en-MX"/>
          <w14:ligatures w14:val="none"/>
        </w:rPr>
        <w:t>Collaborative Framework and Intellectual Property</w:t>
      </w:r>
    </w:p>
    <w:p w14:paraId="57978E02"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 xml:space="preserve">The success of this CRADA relies on the seamless exchange of technical data and the joint development of ALD deposition protocols optimized for high-throughput manufacturing. The laboratory shall provide the foundational theoretical modeling and small-scale prototyping, while </w:t>
      </w:r>
      <w:r w:rsidRPr="0090241C">
        <w:rPr>
          <w:rFonts w:ascii="Arial" w:eastAsia="Times New Roman" w:hAnsi="Arial" w:cs="Arial"/>
          <w:b/>
          <w:bCs/>
          <w:color w:val="1F1F1F"/>
          <w:kern w:val="0"/>
          <w:sz w:val="22"/>
          <w:szCs w:val="22"/>
          <w:lang w:val="en-MX"/>
          <w14:ligatures w14:val="none"/>
        </w:rPr>
        <w:t>PRIMEnergeia Granas</w:t>
      </w:r>
      <w:r w:rsidRPr="0090241C">
        <w:rPr>
          <w:rFonts w:ascii="Arial" w:eastAsia="Times New Roman" w:hAnsi="Arial" w:cs="Arial"/>
          <w:color w:val="1F1F1F"/>
          <w:kern w:val="0"/>
          <w:sz w:val="22"/>
          <w:szCs w:val="22"/>
          <w:lang w:val="en-MX"/>
          <w14:ligatures w14:val="none"/>
        </w:rPr>
        <w:t xml:space="preserve"> shall focus on the industrial integration and life-cycle assessment of the bilayer modules. All intellectual property generated during this partnership, specifically regarding the precise thickness ratios of the ITO/AZO stacks and the associated optical trapping geometries, shall be shared according to the specific licensing terms established in the accompanying appendices.</w:t>
      </w:r>
    </w:p>
    <w:p w14:paraId="6C2FC003"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+2</w:t>
      </w:r>
    </w:p>
    <w:p w14:paraId="7EE61265"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5B5CAEB1"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This Agreement represents a significant shift from monolithic electrode designs toward a functionalized heterostructure approach that resolves the long-standing conductivity-stability dichotomy. The data indicates that while initial efficiencies are comparable, the cumulative energy yield over the device's operational lifetime is significantly higher for the bilayer architecture. This durable, high-performance pathway is essential for the commercialization of perovskite photovoltaics in real-world environments. Both parties acknowledge that the implementation of these findings will mark a new epoch in thin-film solar technology, characterized by the harmonious balance of electrical fidelity and environmental resilience.</w:t>
      </w:r>
    </w:p>
    <w:p w14:paraId="0DA69BD6" w14:textId="77777777" w:rsidR="0090241C" w:rsidRPr="0090241C" w:rsidRDefault="0090241C" w:rsidP="0090241C">
      <w:pPr>
        <w:spacing w:after="0" w:line="240" w:lineRule="auto"/>
        <w:ind w:left="60"/>
        <w:rPr>
          <w:rFonts w:ascii="Times New Roman" w:eastAsia="Times New Roman" w:hAnsi="Times New Roman" w:cs="Times New Roman"/>
          <w:kern w:val="0"/>
          <w:lang w:val="en-MX"/>
          <w14:ligatures w14:val="none"/>
        </w:rPr>
      </w:pPr>
      <w:r w:rsidRPr="0090241C">
        <w:rPr>
          <w:rFonts w:ascii="Arial" w:eastAsia="Times New Roman" w:hAnsi="Arial" w:cs="Arial"/>
          <w:color w:val="444746"/>
          <w:kern w:val="0"/>
          <w:sz w:val="22"/>
          <w:szCs w:val="22"/>
          <w:lang w:val="en-MX"/>
          <w14:ligatures w14:val="none"/>
        </w:rPr>
        <w:t>+4</w:t>
      </w:r>
    </w:p>
    <w:p w14:paraId="4BB52AEC"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003C72D6" w14:textId="77777777" w:rsidR="0090241C" w:rsidRPr="0090241C" w:rsidRDefault="0090241C" w:rsidP="0090241C">
      <w:pPr>
        <w:spacing w:after="240" w:line="240" w:lineRule="auto"/>
        <w:rPr>
          <w:rFonts w:ascii="Times New Roman" w:eastAsia="Times New Roman" w:hAnsi="Times New Roman" w:cs="Times New Roman"/>
          <w:kern w:val="0"/>
          <w:lang w:val="en-MX"/>
          <w14:ligatures w14:val="none"/>
        </w:rPr>
      </w:pPr>
      <w:r w:rsidRPr="0090241C">
        <w:rPr>
          <w:rFonts w:ascii="Arial" w:eastAsia="Times New Roman" w:hAnsi="Arial" w:cs="Arial"/>
          <w:color w:val="1F1F1F"/>
          <w:kern w:val="0"/>
          <w:sz w:val="22"/>
          <w:szCs w:val="22"/>
          <w:lang w:val="en-MX"/>
          <w14:ligatures w14:val="none"/>
        </w:rPr>
        <w:t>Would you like me to refine the collaborative timeline within this CRADA, or perhaps generate a detailed risk-assessment section for the ALD scale-up phase?</w:t>
      </w:r>
    </w:p>
    <w:p w14:paraId="2A0E19B7" w14:textId="77777777" w:rsidR="0090241C" w:rsidRPr="0090241C" w:rsidRDefault="0090241C" w:rsidP="0090241C">
      <w:pPr>
        <w:spacing w:after="0" w:line="240" w:lineRule="auto"/>
        <w:rPr>
          <w:rFonts w:ascii="Times New Roman" w:eastAsia="Times New Roman" w:hAnsi="Times New Roman" w:cs="Times New Roman"/>
          <w:kern w:val="0"/>
          <w:lang w:val="en-MX"/>
          <w14:ligatures w14:val="none"/>
        </w:rPr>
      </w:pPr>
    </w:p>
    <w:p w14:paraId="7B23B799" w14:textId="77777777" w:rsidR="0070286D" w:rsidRPr="0090241C" w:rsidRDefault="0070286D">
      <w:pPr>
        <w:rPr>
          <w:lang w:val="en-MX"/>
        </w:rPr>
      </w:pPr>
    </w:p>
    <w:sectPr w:rsidR="0070286D" w:rsidRPr="009024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1C"/>
    <w:rsid w:val="005F48B0"/>
    <w:rsid w:val="0070286D"/>
    <w:rsid w:val="007166EB"/>
    <w:rsid w:val="0090241C"/>
    <w:rsid w:val="0094792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DB72"/>
  <w15:chartTrackingRefBased/>
  <w15:docId w15:val="{0ACC7D07-C4A4-744E-8008-6A4C69F1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902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41C"/>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rsid w:val="0090241C"/>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90241C"/>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90241C"/>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90241C"/>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90241C"/>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90241C"/>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90241C"/>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90241C"/>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902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41C"/>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902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41C"/>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90241C"/>
    <w:pPr>
      <w:spacing w:before="160"/>
      <w:jc w:val="center"/>
    </w:pPr>
    <w:rPr>
      <w:i/>
      <w:iCs/>
      <w:color w:val="404040" w:themeColor="text1" w:themeTint="BF"/>
    </w:rPr>
  </w:style>
  <w:style w:type="character" w:customStyle="1" w:styleId="QuoteChar">
    <w:name w:val="Quote Char"/>
    <w:basedOn w:val="DefaultParagraphFont"/>
    <w:link w:val="Quote"/>
    <w:uiPriority w:val="29"/>
    <w:rsid w:val="0090241C"/>
    <w:rPr>
      <w:i/>
      <w:iCs/>
      <w:color w:val="404040" w:themeColor="text1" w:themeTint="BF"/>
      <w:lang w:val="es-ES_tradnl"/>
    </w:rPr>
  </w:style>
  <w:style w:type="paragraph" w:styleId="ListParagraph">
    <w:name w:val="List Paragraph"/>
    <w:basedOn w:val="Normal"/>
    <w:uiPriority w:val="34"/>
    <w:qFormat/>
    <w:rsid w:val="0090241C"/>
    <w:pPr>
      <w:ind w:left="720"/>
      <w:contextualSpacing/>
    </w:pPr>
  </w:style>
  <w:style w:type="character" w:styleId="IntenseEmphasis">
    <w:name w:val="Intense Emphasis"/>
    <w:basedOn w:val="DefaultParagraphFont"/>
    <w:uiPriority w:val="21"/>
    <w:qFormat/>
    <w:rsid w:val="0090241C"/>
    <w:rPr>
      <w:i/>
      <w:iCs/>
      <w:color w:val="0F4761" w:themeColor="accent1" w:themeShade="BF"/>
    </w:rPr>
  </w:style>
  <w:style w:type="paragraph" w:styleId="IntenseQuote">
    <w:name w:val="Intense Quote"/>
    <w:basedOn w:val="Normal"/>
    <w:next w:val="Normal"/>
    <w:link w:val="IntenseQuoteChar"/>
    <w:uiPriority w:val="30"/>
    <w:qFormat/>
    <w:rsid w:val="00902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41C"/>
    <w:rPr>
      <w:i/>
      <w:iCs/>
      <w:color w:val="0F4761" w:themeColor="accent1" w:themeShade="BF"/>
      <w:lang w:val="es-ES_tradnl"/>
    </w:rPr>
  </w:style>
  <w:style w:type="character" w:styleId="IntenseReference">
    <w:name w:val="Intense Reference"/>
    <w:basedOn w:val="DefaultParagraphFont"/>
    <w:uiPriority w:val="32"/>
    <w:qFormat/>
    <w:rsid w:val="0090241C"/>
    <w:rPr>
      <w:b/>
      <w:bCs/>
      <w:smallCaps/>
      <w:color w:val="0F4761" w:themeColor="accent1" w:themeShade="BF"/>
      <w:spacing w:val="5"/>
    </w:rPr>
  </w:style>
  <w:style w:type="paragraph" w:styleId="NormalWeb">
    <w:name w:val="Normal (Web)"/>
    <w:basedOn w:val="Normal"/>
    <w:uiPriority w:val="99"/>
    <w:semiHidden/>
    <w:unhideWhenUsed/>
    <w:rsid w:val="0090241C"/>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1141</Words>
  <Characters>7511</Characters>
  <Application>Microsoft Office Word</Application>
  <DocSecurity>0</DocSecurity>
  <Lines>159</Lines>
  <Paragraphs>51</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1</cp:revision>
  <dcterms:created xsi:type="dcterms:W3CDTF">2026-02-26T03:07:00Z</dcterms:created>
  <dcterms:modified xsi:type="dcterms:W3CDTF">2026-02-26T03:14:00Z</dcterms:modified>
</cp:coreProperties>
</file>