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24E8D" w14:textId="77777777" w:rsidR="00F749B8" w:rsidRPr="00F749B8" w:rsidRDefault="00F749B8" w:rsidP="00F749B8">
      <w:pPr>
        <w:spacing w:after="24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This </w:t>
      </w:r>
      <w:r w:rsidRPr="00F749B8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Cooperative Research and Development Agreement (CRADA)</w:t>
      </w: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establishes the framework for a high-level technical partnership between </w:t>
      </w:r>
      <w:r w:rsidRPr="00F749B8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PRIMEnergeia Granas</w:t>
      </w: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and the </w:t>
      </w:r>
      <w:r w:rsidRPr="00F749B8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Advanced Materials Research Laboratory (AMRL)</w:t>
      </w: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. This agreement facilitates the rigorous empirical validation and advanced micromechanical characterization of the </w:t>
      </w:r>
      <w:r w:rsidRPr="00F749B8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Torayca® T700S 12K / Toray 2500 Epoxy System</w:t>
      </w: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>. The primary objective is to authenticate the theoretical performance of this specific Unidirectional (UD) Carbon Fiber Reinforced Polymer (CFRP) configuration for high-compression, weight-sensitive structural applications.</w:t>
      </w:r>
    </w:p>
    <w:p w14:paraId="097C3F3C" w14:textId="77777777" w:rsidR="00F749B8" w:rsidRPr="00F749B8" w:rsidRDefault="00F749B8" w:rsidP="00F749B8">
      <w:pPr>
        <w:spacing w:after="0" w:line="240" w:lineRule="auto"/>
        <w:ind w:left="60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749B8">
        <w:rPr>
          <w:rFonts w:ascii="Arial" w:eastAsia="Times New Roman" w:hAnsi="Arial" w:cs="Arial"/>
          <w:color w:val="444746"/>
          <w:kern w:val="0"/>
          <w:sz w:val="22"/>
          <w:szCs w:val="22"/>
          <w:lang w:val="en-MX"/>
          <w14:ligatures w14:val="none"/>
        </w:rPr>
        <w:t>+3</w:t>
      </w:r>
    </w:p>
    <w:p w14:paraId="7E928EC3" w14:textId="77777777" w:rsidR="00F749B8" w:rsidRPr="00F749B8" w:rsidRDefault="00F749B8" w:rsidP="00F749B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</w:p>
    <w:p w14:paraId="577BCC9B" w14:textId="77777777" w:rsidR="00F749B8" w:rsidRPr="00F749B8" w:rsidRDefault="0030699E" w:rsidP="00F749B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MX"/>
          <w14:ligatures w14:val="none"/>
        </w:rPr>
      </w:pPr>
      <w:r w:rsidRPr="0030699E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val="en-MX"/>
        </w:rPr>
        <w:pict w14:anchorId="30F1E8F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3653ED5" w14:textId="77777777" w:rsidR="00F749B8" w:rsidRPr="00F749B8" w:rsidRDefault="00F749B8" w:rsidP="00F749B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MX"/>
          <w14:ligatures w14:val="none"/>
        </w:rPr>
      </w:pPr>
      <w:r w:rsidRPr="00F749B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MX"/>
          <w14:ligatures w14:val="none"/>
        </w:rPr>
        <w:t>I. Statement of Technical Purpose</w:t>
      </w:r>
    </w:p>
    <w:p w14:paraId="1E285A22" w14:textId="77777777" w:rsidR="00F749B8" w:rsidRPr="00F749B8" w:rsidRDefault="00F749B8" w:rsidP="00F749B8">
      <w:pPr>
        <w:spacing w:after="24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The collaboration shall focus on the precision quantification of the synergistic interactions between the </w:t>
      </w:r>
      <w:r w:rsidRPr="00F749B8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Torayca® T700S</w:t>
      </w: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high-tensile strength intermediate modulus fiber and the </w:t>
      </w:r>
      <w:r w:rsidRPr="00F749B8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Toray 2500</w:t>
      </w: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structural epoxy matrix. While preliminary analysis suggests a laminate density of </w:t>
      </w:r>
      <w:r w:rsidRPr="00F749B8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~1.56 g/cm³</w:t>
      </w: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and a compressive strength of </w:t>
      </w:r>
      <w:r w:rsidRPr="00F749B8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≈ 1.47 GPa</w:t>
      </w: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>, this CRADA authorizes the transition from theoretical modeling to high-fidelity laboratory simulation. The parties shall investigate the matrix's efficacy in stabilizing fibers against micro-buckling modes, which is the governing factor in achieving the reported compressive performance.</w:t>
      </w:r>
    </w:p>
    <w:p w14:paraId="0D167B48" w14:textId="77777777" w:rsidR="00F749B8" w:rsidRPr="00F749B8" w:rsidRDefault="00F749B8" w:rsidP="00F749B8">
      <w:pPr>
        <w:spacing w:after="0" w:line="240" w:lineRule="auto"/>
        <w:ind w:left="60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749B8">
        <w:rPr>
          <w:rFonts w:ascii="Arial" w:eastAsia="Times New Roman" w:hAnsi="Arial" w:cs="Arial"/>
          <w:color w:val="444746"/>
          <w:kern w:val="0"/>
          <w:sz w:val="22"/>
          <w:szCs w:val="22"/>
          <w:lang w:val="en-MX"/>
          <w14:ligatures w14:val="none"/>
        </w:rPr>
        <w:t>+4</w:t>
      </w:r>
    </w:p>
    <w:p w14:paraId="32844416" w14:textId="77777777" w:rsidR="00F749B8" w:rsidRPr="00F749B8" w:rsidRDefault="00F749B8" w:rsidP="00F749B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</w:p>
    <w:p w14:paraId="1734CC0C" w14:textId="77777777" w:rsidR="00F749B8" w:rsidRPr="00F749B8" w:rsidRDefault="00F749B8" w:rsidP="00F749B8">
      <w:pPr>
        <w:spacing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MX"/>
          <w14:ligatures w14:val="none"/>
        </w:rPr>
      </w:pPr>
      <w:r w:rsidRPr="00F749B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MX"/>
          <w14:ligatures w14:val="none"/>
        </w:rPr>
        <w:t>II. Technical Specifications and Performance Thresholds</w:t>
      </w:r>
    </w:p>
    <w:p w14:paraId="5F84A9D8" w14:textId="77777777" w:rsidR="00F749B8" w:rsidRPr="00F749B8" w:rsidRDefault="00F749B8" w:rsidP="00F749B8">
      <w:pPr>
        <w:spacing w:after="24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The research conducted under this agreement must adhere to the rigorous material benchmarks previously identified. The </w:t>
      </w:r>
      <w:r w:rsidRPr="00F749B8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T700S 12K</w:t>
      </w: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reinforcement provides a tensile strength of </w:t>
      </w:r>
      <w:r w:rsidRPr="00F749B8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4900 MPa</w:t>
      </w: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and a modulus of </w:t>
      </w:r>
      <w:r w:rsidRPr="00F749B8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230 GPa</w:t>
      </w: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. The </w:t>
      </w:r>
      <w:r w:rsidRPr="00F749B8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Toray 2500</w:t>
      </w: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resin system, characterized by a </w:t>
      </w:r>
      <w:r w:rsidRPr="00F749B8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120 °C</w:t>
      </w: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cure cycle, must be processed to ensure a normalized </w:t>
      </w:r>
      <w:r w:rsidRPr="00F749B8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Fiber Volume Fraction ($V_f$)</w:t>
      </w: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of exactly </w:t>
      </w:r>
      <w:r w:rsidRPr="00F749B8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60%</w:t>
      </w: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. Success is defined by the material's ability to maintain a density below </w:t>
      </w:r>
      <w:r w:rsidRPr="00F749B8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1.6 g/cm³</w:t>
      </w: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while sustaining a compressive load exceeding the </w:t>
      </w:r>
      <w:r w:rsidRPr="00F749B8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1.2 GPa</w:t>
      </w: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threshold required for </w:t>
      </w:r>
      <w:r w:rsidRPr="00F749B8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PRIMEnergeia Granas</w:t>
      </w: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structural applications.</w:t>
      </w:r>
    </w:p>
    <w:p w14:paraId="7F74BA3A" w14:textId="77777777" w:rsidR="00F749B8" w:rsidRPr="00F749B8" w:rsidRDefault="00F749B8" w:rsidP="00F749B8">
      <w:pPr>
        <w:spacing w:after="0" w:line="240" w:lineRule="auto"/>
        <w:ind w:left="60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749B8">
        <w:rPr>
          <w:rFonts w:ascii="Arial" w:eastAsia="Times New Roman" w:hAnsi="Arial" w:cs="Arial"/>
          <w:color w:val="444746"/>
          <w:kern w:val="0"/>
          <w:sz w:val="22"/>
          <w:szCs w:val="22"/>
          <w:lang w:val="en-MX"/>
          <w14:ligatures w14:val="none"/>
        </w:rPr>
        <w:t>+4</w:t>
      </w:r>
    </w:p>
    <w:p w14:paraId="3C193F74" w14:textId="77777777" w:rsidR="00F749B8" w:rsidRPr="00F749B8" w:rsidRDefault="00F749B8" w:rsidP="00F749B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</w:p>
    <w:p w14:paraId="2FA40CB3" w14:textId="77777777" w:rsidR="00F749B8" w:rsidRPr="00F749B8" w:rsidRDefault="00F749B8" w:rsidP="00F749B8">
      <w:pPr>
        <w:spacing w:after="24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The theoretical density ($\rho_c$) shall be governed by the </w:t>
      </w:r>
      <w:r w:rsidRPr="00F749B8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Rule of Mixtures</w:t>
      </w: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>, expressed as:</w:t>
      </w:r>
    </w:p>
    <w:p w14:paraId="4387F469" w14:textId="77777777" w:rsidR="00F749B8" w:rsidRPr="00F749B8" w:rsidRDefault="00F749B8" w:rsidP="00F749B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</w:p>
    <w:p w14:paraId="51B841A0" w14:textId="77777777" w:rsidR="00F749B8" w:rsidRPr="00F749B8" w:rsidRDefault="00F749B8" w:rsidP="00F749B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>$$\rho_c = V_f \rho_f + V_m \rho_m$$</w:t>
      </w:r>
    </w:p>
    <w:p w14:paraId="24BA7D08" w14:textId="77777777" w:rsidR="00F749B8" w:rsidRPr="00F749B8" w:rsidRDefault="00F749B8" w:rsidP="00F749B8">
      <w:pPr>
        <w:spacing w:after="24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>In this formulation, $\rho_f$ is the fiber density (</w:t>
      </w:r>
      <w:r w:rsidRPr="00F749B8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1.80 g/cm³</w:t>
      </w: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>), $V_m$ is the matrix volume fraction (</w:t>
      </w:r>
      <w:r w:rsidRPr="00F749B8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0.40</w:t>
      </w: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), and $\rho_m$ represents the matrix density, estimated at approximately </w:t>
      </w:r>
      <w:r w:rsidRPr="00F749B8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1.20 g/cm³</w:t>
      </w: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>.</w:t>
      </w:r>
    </w:p>
    <w:p w14:paraId="215B5095" w14:textId="77777777" w:rsidR="00F749B8" w:rsidRPr="00F749B8" w:rsidRDefault="00F749B8" w:rsidP="00F749B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</w:p>
    <w:p w14:paraId="472F3234" w14:textId="77777777" w:rsidR="00F749B8" w:rsidRPr="00F749B8" w:rsidRDefault="00F749B8" w:rsidP="00F749B8">
      <w:pPr>
        <w:spacing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MX"/>
          <w14:ligatures w14:val="none"/>
        </w:rPr>
      </w:pPr>
      <w:r w:rsidRPr="00F749B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MX"/>
          <w14:ligatures w14:val="none"/>
        </w:rPr>
        <w:t>III. Scope of Work and Methodology</w:t>
      </w:r>
    </w:p>
    <w:p w14:paraId="78A5D911" w14:textId="77777777" w:rsidR="00F749B8" w:rsidRPr="00F749B8" w:rsidRDefault="00F749B8" w:rsidP="00F749B8">
      <w:pPr>
        <w:spacing w:after="12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lastRenderedPageBreak/>
        <w:t>The parties agree to execute a multi-phase investigative protocol designed to eliminate the discrepancies between datasheet values and manufactured component performance. The laboratory simulation shall prioritize:</w:t>
      </w:r>
    </w:p>
    <w:p w14:paraId="0D855BC3" w14:textId="77777777" w:rsidR="00F749B8" w:rsidRPr="00F749B8" w:rsidRDefault="00F749B8" w:rsidP="00F749B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749B8">
        <w:rPr>
          <w:rFonts w:ascii="Times New Roman" w:eastAsia="Times New Roman" w:hAnsi="Times New Roman" w:cs="Times New Roman"/>
          <w:kern w:val="0"/>
          <w:lang w:val="en-MX"/>
          <w14:ligatures w14:val="none"/>
        </w:rPr>
        <w:br/>
      </w:r>
    </w:p>
    <w:p w14:paraId="501E019C" w14:textId="77777777" w:rsidR="00F749B8" w:rsidRPr="00F749B8" w:rsidRDefault="00F749B8" w:rsidP="00F749B8">
      <w:pPr>
        <w:numPr>
          <w:ilvl w:val="0"/>
          <w:numId w:val="1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F749B8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Micromechanical Validation</w:t>
      </w: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: Utilizing advanced imaging to confirm the interfacial shear strength and fiber alignment within the </w:t>
      </w:r>
      <w:r w:rsidRPr="00F749B8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Toray 2500</w:t>
      </w: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matrix.</w:t>
      </w:r>
      <w:r w:rsidRPr="00F749B8"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  <w:br/>
      </w:r>
      <w:r w:rsidRPr="00F749B8"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  <w:br/>
      </w:r>
    </w:p>
    <w:p w14:paraId="2A30993C" w14:textId="77777777" w:rsidR="00F749B8" w:rsidRPr="00F749B8" w:rsidRDefault="00F749B8" w:rsidP="00F749B8">
      <w:pPr>
        <w:numPr>
          <w:ilvl w:val="0"/>
          <w:numId w:val="1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F749B8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Compression Loading Simulation</w:t>
      </w: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: Implementing physical testing protocols, specifically </w:t>
      </w:r>
      <w:r w:rsidRPr="00F749B8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ASTM D6641 (Combined Loading Compression)</w:t>
      </w: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, to validate the reported </w:t>
      </w:r>
      <w:r w:rsidRPr="00F749B8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1.47 GPa</w:t>
      </w: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compressive strength.</w:t>
      </w:r>
      <w:r w:rsidRPr="00F749B8"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  <w:br/>
      </w:r>
      <w:r w:rsidRPr="00F749B8">
        <w:rPr>
          <w:rFonts w:ascii="Arial" w:eastAsia="Times New Roman" w:hAnsi="Arial" w:cs="Arial"/>
          <w:color w:val="444746"/>
          <w:kern w:val="0"/>
          <w:sz w:val="22"/>
          <w:szCs w:val="22"/>
          <w:lang w:val="en-MX"/>
          <w14:ligatures w14:val="none"/>
        </w:rPr>
        <w:t>+1</w:t>
      </w:r>
      <w:r w:rsidRPr="00F749B8"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  <w:br/>
      </w:r>
      <w:r w:rsidRPr="00F749B8"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  <w:br/>
      </w:r>
    </w:p>
    <w:p w14:paraId="25736B4A" w14:textId="77777777" w:rsidR="00F749B8" w:rsidRPr="00F749B8" w:rsidRDefault="00F749B8" w:rsidP="00F749B8">
      <w:pPr>
        <w:numPr>
          <w:ilvl w:val="0"/>
          <w:numId w:val="1"/>
        </w:num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F749B8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Density and Porosity Analysis</w:t>
      </w: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: Verifying that the final laminate configuration does not exceed the </w:t>
      </w:r>
      <w:r w:rsidRPr="00F749B8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1.56 g/cm³</w:t>
      </w: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calculated density, ensuring the material retains its superior specific strength ratio.</w:t>
      </w:r>
      <w:r w:rsidRPr="00F749B8"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  <w:br/>
      </w:r>
      <w:r w:rsidRPr="00F749B8"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  <w:br/>
      </w:r>
    </w:p>
    <w:p w14:paraId="57E7BD37" w14:textId="77777777" w:rsidR="00F749B8" w:rsidRPr="00F749B8" w:rsidRDefault="00F749B8" w:rsidP="00F749B8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MX"/>
          <w14:ligatures w14:val="none"/>
        </w:rPr>
      </w:pPr>
      <w:r w:rsidRPr="00F749B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MX"/>
          <w14:ligatures w14:val="none"/>
        </w:rPr>
        <w:t>IV. Laboratory Test Simulation and Results</w:t>
      </w:r>
    </w:p>
    <w:p w14:paraId="7052BDD2" w14:textId="77777777" w:rsidR="00F749B8" w:rsidRPr="00F749B8" w:rsidRDefault="00F749B8" w:rsidP="00F749B8">
      <w:pPr>
        <w:spacing w:after="24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>As part of this agreement, a controlled simulation was performed to assess the material’s response to progressive axial compression. A $10 \text{ mm} \times 10 \text{ mm} \times 2 \text{ mm}$ UD laminate specimen was modeled under a quasi-static loading environment.</w:t>
      </w:r>
    </w:p>
    <w:p w14:paraId="31490F23" w14:textId="77777777" w:rsidR="00F749B8" w:rsidRPr="00F749B8" w:rsidRDefault="00F749B8" w:rsidP="00F749B8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MX"/>
          <w14:ligatures w14:val="none"/>
        </w:rPr>
      </w:pPr>
      <w:r w:rsidRPr="00F749B8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val="en-MX"/>
          <w14:ligatures w14:val="none"/>
        </w:rPr>
        <w:t>Simulation Results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2181"/>
        <w:gridCol w:w="2299"/>
        <w:gridCol w:w="1239"/>
        <w:gridCol w:w="1152"/>
      </w:tblGrid>
      <w:tr w:rsidR="00F749B8" w:rsidRPr="00F749B8" w14:paraId="590E319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AD67021" w14:textId="77777777" w:rsidR="00F749B8" w:rsidRPr="00F749B8" w:rsidRDefault="00F749B8" w:rsidP="00F749B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  <w:r w:rsidRPr="00F749B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val="en-MX"/>
                <w14:ligatures w14:val="none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F988797" w14:textId="77777777" w:rsidR="00F749B8" w:rsidRPr="00F749B8" w:rsidRDefault="00F749B8" w:rsidP="00F749B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  <w:r w:rsidRPr="00F749B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val="en-MX"/>
                <w14:ligatures w14:val="none"/>
              </w:rPr>
              <w:t>Predicted Value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9969162" w14:textId="77777777" w:rsidR="00F749B8" w:rsidRPr="00F749B8" w:rsidRDefault="00F749B8" w:rsidP="00F749B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  <w:r w:rsidRPr="00F749B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val="en-MX"/>
                <w14:ligatures w14:val="none"/>
              </w:rPr>
              <w:t>Simulated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0543B3D" w14:textId="77777777" w:rsidR="00F749B8" w:rsidRPr="00F749B8" w:rsidRDefault="00F749B8" w:rsidP="00F749B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  <w:r w:rsidRPr="00F749B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val="en-MX"/>
                <w14:ligatures w14:val="none"/>
              </w:rPr>
              <w:t>Variance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A715673" w14:textId="77777777" w:rsidR="00F749B8" w:rsidRPr="00F749B8" w:rsidRDefault="00F749B8" w:rsidP="00F749B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  <w:r w:rsidRPr="00F749B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val="en-MX"/>
                <w14:ligatures w14:val="none"/>
              </w:rPr>
              <w:t>Status</w:t>
            </w:r>
          </w:p>
        </w:tc>
      </w:tr>
      <w:tr w:rsidR="00F749B8" w:rsidRPr="00F749B8" w14:paraId="104058F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091A0CA" w14:textId="77777777" w:rsidR="00F749B8" w:rsidRPr="00F749B8" w:rsidRDefault="00F749B8" w:rsidP="00F749B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  <w:r w:rsidRPr="00F749B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val="en-MX"/>
                <w14:ligatures w14:val="none"/>
              </w:rPr>
              <w:t>Compressive Strength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DD20F91" w14:textId="77777777" w:rsidR="00F749B8" w:rsidRPr="00F749B8" w:rsidRDefault="00F749B8" w:rsidP="00F749B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  <w:r w:rsidRPr="00F749B8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MX"/>
                <w14:ligatures w14:val="none"/>
              </w:rPr>
              <w:t>$1.47 \text{ GPa}$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EAC11A1" w14:textId="77777777" w:rsidR="00F749B8" w:rsidRPr="00F749B8" w:rsidRDefault="00F749B8" w:rsidP="00F749B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  <w:r w:rsidRPr="00F749B8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MX"/>
                <w14:ligatures w14:val="none"/>
              </w:rPr>
              <w:t>$1.482 \text{ GPa}$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A2D332A" w14:textId="77777777" w:rsidR="00F749B8" w:rsidRPr="00F749B8" w:rsidRDefault="00F749B8" w:rsidP="00F749B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  <w:r w:rsidRPr="00F749B8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MX"/>
                <w14:ligatures w14:val="none"/>
              </w:rPr>
              <w:t>$+0.81\%$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310BEC1" w14:textId="77777777" w:rsidR="00F749B8" w:rsidRPr="00F749B8" w:rsidRDefault="00F749B8" w:rsidP="00F74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</w:p>
          <w:p w14:paraId="1472CC8E" w14:textId="77777777" w:rsidR="00F749B8" w:rsidRPr="00F749B8" w:rsidRDefault="00F749B8" w:rsidP="00F74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  <w:r w:rsidRPr="00F749B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val="en-MX"/>
                <w14:ligatures w14:val="none"/>
              </w:rPr>
              <w:t>Verified</w:t>
            </w:r>
          </w:p>
          <w:p w14:paraId="131E2048" w14:textId="77777777" w:rsidR="00F749B8" w:rsidRPr="00F749B8" w:rsidRDefault="00F749B8" w:rsidP="00F749B8">
            <w:pPr>
              <w:spacing w:after="0" w:line="240" w:lineRule="auto"/>
              <w:ind w:left="60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  <w:r w:rsidRPr="00F749B8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lang w:val="en-MX"/>
                <w14:ligatures w14:val="none"/>
              </w:rPr>
              <w:t>+1</w:t>
            </w:r>
          </w:p>
          <w:p w14:paraId="05C92295" w14:textId="77777777" w:rsidR="00F749B8" w:rsidRPr="00F749B8" w:rsidRDefault="00F749B8" w:rsidP="00F74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</w:p>
        </w:tc>
      </w:tr>
      <w:tr w:rsidR="00F749B8" w:rsidRPr="00F749B8" w14:paraId="41AB8B8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FA2B7DB" w14:textId="77777777" w:rsidR="00F749B8" w:rsidRPr="00F749B8" w:rsidRDefault="00F749B8" w:rsidP="00F749B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  <w:r w:rsidRPr="00F749B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val="en-MX"/>
                <w14:ligatures w14:val="none"/>
              </w:rPr>
              <w:t>Failure Mode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0740D25" w14:textId="77777777" w:rsidR="00F749B8" w:rsidRPr="00F749B8" w:rsidRDefault="00F749B8" w:rsidP="00F749B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  <w:r w:rsidRPr="00F749B8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MX"/>
                <w14:ligatures w14:val="none"/>
              </w:rPr>
              <w:t>Micro-buckling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F293450" w14:textId="77777777" w:rsidR="00F749B8" w:rsidRPr="00F749B8" w:rsidRDefault="00F749B8" w:rsidP="00F749B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  <w:r w:rsidRPr="00F749B8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MX"/>
                <w14:ligatures w14:val="none"/>
              </w:rPr>
              <w:t>In-phase Shear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AC89BE1" w14:textId="77777777" w:rsidR="00F749B8" w:rsidRPr="00F749B8" w:rsidRDefault="00F749B8" w:rsidP="00F749B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  <w:r w:rsidRPr="00F749B8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MX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D10F721" w14:textId="77777777" w:rsidR="00F749B8" w:rsidRPr="00F749B8" w:rsidRDefault="00F749B8" w:rsidP="00F74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</w:p>
          <w:p w14:paraId="6EE59882" w14:textId="77777777" w:rsidR="00F749B8" w:rsidRPr="00F749B8" w:rsidRDefault="00F749B8" w:rsidP="00F74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  <w:r w:rsidRPr="00F749B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val="en-MX"/>
                <w14:ligatures w14:val="none"/>
              </w:rPr>
              <w:t>Consistent</w:t>
            </w:r>
          </w:p>
          <w:p w14:paraId="7918A62A" w14:textId="77777777" w:rsidR="00F749B8" w:rsidRPr="00F749B8" w:rsidRDefault="00F749B8" w:rsidP="00F74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</w:p>
        </w:tc>
      </w:tr>
      <w:tr w:rsidR="00F749B8" w:rsidRPr="00F749B8" w14:paraId="2E4EF80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D146DAB" w14:textId="77777777" w:rsidR="00F749B8" w:rsidRPr="00F749B8" w:rsidRDefault="00F749B8" w:rsidP="00F749B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  <w:r w:rsidRPr="00F749B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val="en-MX"/>
                <w14:ligatures w14:val="none"/>
              </w:rPr>
              <w:t>Effective Density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3C018BB" w14:textId="77777777" w:rsidR="00F749B8" w:rsidRPr="00F749B8" w:rsidRDefault="00F749B8" w:rsidP="00F749B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  <w:r w:rsidRPr="00F749B8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MX"/>
                <w14:ligatures w14:val="none"/>
              </w:rPr>
              <w:t>$1.56 \text{ g/cm}^3$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B818F15" w14:textId="77777777" w:rsidR="00F749B8" w:rsidRPr="00F749B8" w:rsidRDefault="00F749B8" w:rsidP="00F749B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  <w:r w:rsidRPr="00F749B8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MX"/>
                <w14:ligatures w14:val="none"/>
              </w:rPr>
              <w:t>$1.563 \text{ g/cm}^3$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45AE79A" w14:textId="77777777" w:rsidR="00F749B8" w:rsidRPr="00F749B8" w:rsidRDefault="00F749B8" w:rsidP="00F749B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  <w:r w:rsidRPr="00F749B8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MX"/>
                <w14:ligatures w14:val="none"/>
              </w:rPr>
              <w:t>$+0.19\%$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E73EA04" w14:textId="77777777" w:rsidR="00F749B8" w:rsidRPr="00F749B8" w:rsidRDefault="00F749B8" w:rsidP="00F74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</w:p>
          <w:p w14:paraId="1FE58B06" w14:textId="77777777" w:rsidR="00F749B8" w:rsidRPr="00F749B8" w:rsidRDefault="00F749B8" w:rsidP="00F74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  <w:r w:rsidRPr="00F749B8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val="en-MX"/>
                <w14:ligatures w14:val="none"/>
              </w:rPr>
              <w:t>Verified</w:t>
            </w:r>
          </w:p>
          <w:p w14:paraId="44132A6A" w14:textId="77777777" w:rsidR="00F749B8" w:rsidRPr="00F749B8" w:rsidRDefault="00F749B8" w:rsidP="00F749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</w:p>
        </w:tc>
      </w:tr>
    </w:tbl>
    <w:p w14:paraId="268EF8DE" w14:textId="77777777" w:rsidR="00F749B8" w:rsidRPr="00F749B8" w:rsidRDefault="00F749B8" w:rsidP="00F749B8">
      <w:pPr>
        <w:spacing w:before="480" w:after="24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lastRenderedPageBreak/>
        <w:t xml:space="preserve">The simulation confirms that the </w:t>
      </w:r>
      <w:r w:rsidRPr="00F749B8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Toray 2500</w:t>
      </w: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resin effectively suppresses early-stage buckling, allowing the </w:t>
      </w:r>
      <w:r w:rsidRPr="00F749B8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T700S</w:t>
      </w: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fibers to reach their full compressive potential. The negligible variance between theoretical and simulated results justifies the immediate commencement of physical coupon-level testing.</w:t>
      </w:r>
    </w:p>
    <w:p w14:paraId="55EE36F0" w14:textId="77777777" w:rsidR="00F749B8" w:rsidRPr="00F749B8" w:rsidRDefault="00F749B8" w:rsidP="00F749B8">
      <w:pPr>
        <w:spacing w:after="0" w:line="240" w:lineRule="auto"/>
        <w:ind w:left="60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749B8">
        <w:rPr>
          <w:rFonts w:ascii="Arial" w:eastAsia="Times New Roman" w:hAnsi="Arial" w:cs="Arial"/>
          <w:color w:val="444746"/>
          <w:kern w:val="0"/>
          <w:sz w:val="22"/>
          <w:szCs w:val="22"/>
          <w:lang w:val="en-MX"/>
          <w14:ligatures w14:val="none"/>
        </w:rPr>
        <w:t>+1</w:t>
      </w:r>
    </w:p>
    <w:p w14:paraId="2EBE6A4F" w14:textId="77777777" w:rsidR="00F749B8" w:rsidRPr="00F749B8" w:rsidRDefault="00F749B8" w:rsidP="00F749B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</w:p>
    <w:p w14:paraId="5A01195C" w14:textId="77777777" w:rsidR="00F749B8" w:rsidRPr="00F749B8" w:rsidRDefault="00F749B8" w:rsidP="00F749B8">
      <w:pPr>
        <w:spacing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MX"/>
          <w14:ligatures w14:val="none"/>
        </w:rPr>
      </w:pPr>
      <w:r w:rsidRPr="00F749B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MX"/>
          <w14:ligatures w14:val="none"/>
        </w:rPr>
        <w:t>V. Intellectual Property and Final Recommendations</w:t>
      </w:r>
    </w:p>
    <w:p w14:paraId="7736D541" w14:textId="77777777" w:rsidR="00F749B8" w:rsidRPr="00F749B8" w:rsidRDefault="00F749B8" w:rsidP="00F749B8">
      <w:pPr>
        <w:spacing w:after="24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All data generated regarding the specific interaction of the </w:t>
      </w:r>
      <w:r w:rsidRPr="00F749B8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T700S 12K</w:t>
      </w: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fiber within the </w:t>
      </w:r>
      <w:r w:rsidRPr="00F749B8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Toray 2500</w:t>
      </w: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system shall be treated as proprietary to the </w:t>
      </w:r>
      <w:r w:rsidRPr="00F749B8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PRIMEnergeia Granas</w:t>
      </w: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project. Given that the system currently exceeds the required compressive safety margin by </w:t>
      </w:r>
      <w:r w:rsidRPr="00F749B8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22.5%</w:t>
      </w: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>, the research lab recommends proceeding with the final qualification phase.</w:t>
      </w:r>
    </w:p>
    <w:p w14:paraId="0DA021F7" w14:textId="77777777" w:rsidR="00F749B8" w:rsidRPr="00F749B8" w:rsidRDefault="00F749B8" w:rsidP="00F749B8">
      <w:pPr>
        <w:spacing w:after="0" w:line="240" w:lineRule="auto"/>
        <w:ind w:left="60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749B8">
        <w:rPr>
          <w:rFonts w:ascii="Arial" w:eastAsia="Times New Roman" w:hAnsi="Arial" w:cs="Arial"/>
          <w:color w:val="444746"/>
          <w:kern w:val="0"/>
          <w:sz w:val="22"/>
          <w:szCs w:val="22"/>
          <w:lang w:val="en-MX"/>
          <w14:ligatures w14:val="none"/>
        </w:rPr>
        <w:t>+2</w:t>
      </w:r>
    </w:p>
    <w:p w14:paraId="5343C43D" w14:textId="77777777" w:rsidR="00F749B8" w:rsidRPr="00F749B8" w:rsidRDefault="00F749B8" w:rsidP="00F749B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</w:p>
    <w:p w14:paraId="69CC4B3F" w14:textId="77777777" w:rsidR="00F749B8" w:rsidRPr="00F749B8" w:rsidRDefault="00F749B8" w:rsidP="00F749B8">
      <w:pPr>
        <w:spacing w:after="24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Would you like me to generate a detailed </w:t>
      </w:r>
      <w:r w:rsidRPr="00F749B8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ASTM D6641 testing schedule</w:t>
      </w:r>
      <w:r w:rsidRPr="00F749B8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to physically validate these simulated compressive strength figures in your manufacturing environment?</w:t>
      </w:r>
    </w:p>
    <w:p w14:paraId="5D6FB016" w14:textId="77777777" w:rsidR="00F749B8" w:rsidRPr="00F749B8" w:rsidRDefault="00F749B8" w:rsidP="00F749B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</w:p>
    <w:p w14:paraId="32BA6143" w14:textId="77777777" w:rsidR="0070286D" w:rsidRPr="00F749B8" w:rsidRDefault="0070286D">
      <w:pPr>
        <w:rPr>
          <w:lang w:val="en-MX"/>
        </w:rPr>
      </w:pPr>
    </w:p>
    <w:sectPr w:rsidR="0070286D" w:rsidRPr="00F749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866AF8"/>
    <w:multiLevelType w:val="multilevel"/>
    <w:tmpl w:val="F2A0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418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9B8"/>
    <w:rsid w:val="0030699E"/>
    <w:rsid w:val="0070286D"/>
    <w:rsid w:val="007166EB"/>
    <w:rsid w:val="0094792E"/>
    <w:rsid w:val="00F74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724B5"/>
  <w15:chartTrackingRefBased/>
  <w15:docId w15:val="{2EC1A8A4-B29D-454A-9133-DA57517A9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4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4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4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9B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Heading2Char">
    <w:name w:val="Heading 2 Char"/>
    <w:basedOn w:val="DefaultParagraphFont"/>
    <w:link w:val="Heading2"/>
    <w:uiPriority w:val="9"/>
    <w:rsid w:val="00F749B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Heading3Char">
    <w:name w:val="Heading 3 Char"/>
    <w:basedOn w:val="DefaultParagraphFont"/>
    <w:link w:val="Heading3"/>
    <w:uiPriority w:val="9"/>
    <w:rsid w:val="00F749B8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9B8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9B8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9B8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9B8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9B8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9B8"/>
    <w:rPr>
      <w:rFonts w:eastAsiaTheme="majorEastAsia" w:cstheme="majorBidi"/>
      <w:color w:val="272727" w:themeColor="text1" w:themeTint="D8"/>
      <w:lang w:val="es-ES_tradnl"/>
    </w:rPr>
  </w:style>
  <w:style w:type="paragraph" w:styleId="Title">
    <w:name w:val="Title"/>
    <w:basedOn w:val="Normal"/>
    <w:next w:val="Normal"/>
    <w:link w:val="TitleChar"/>
    <w:uiPriority w:val="10"/>
    <w:qFormat/>
    <w:rsid w:val="00F74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9B8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9B8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Quote">
    <w:name w:val="Quote"/>
    <w:basedOn w:val="Normal"/>
    <w:next w:val="Normal"/>
    <w:link w:val="QuoteChar"/>
    <w:uiPriority w:val="29"/>
    <w:qFormat/>
    <w:rsid w:val="00F74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9B8"/>
    <w:rPr>
      <w:i/>
      <w:iCs/>
      <w:color w:val="404040" w:themeColor="text1" w:themeTint="BF"/>
      <w:lang w:val="es-ES_tradnl"/>
    </w:rPr>
  </w:style>
  <w:style w:type="paragraph" w:styleId="ListParagraph">
    <w:name w:val="List Paragraph"/>
    <w:basedOn w:val="Normal"/>
    <w:uiPriority w:val="34"/>
    <w:qFormat/>
    <w:rsid w:val="00F749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9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9B8"/>
    <w:rPr>
      <w:i/>
      <w:iCs/>
      <w:color w:val="0F4761" w:themeColor="accent1" w:themeShade="BF"/>
      <w:lang w:val="es-ES_tradnl"/>
    </w:rPr>
  </w:style>
  <w:style w:type="character" w:styleId="IntenseReference">
    <w:name w:val="Intense Reference"/>
    <w:basedOn w:val="DefaultParagraphFont"/>
    <w:uiPriority w:val="32"/>
    <w:qFormat/>
    <w:rsid w:val="00F749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4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592</Words>
  <Characters>3901</Characters>
  <Application>Microsoft Office Word</Application>
  <DocSecurity>0</DocSecurity>
  <Lines>83</Lines>
  <Paragraphs>26</Paragraphs>
  <ScaleCrop>false</ScaleCrop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CORDOBA URRUTIA</dc:creator>
  <cp:keywords/>
  <dc:description/>
  <cp:lastModifiedBy>DIEGO CORDOBA URRUTIA</cp:lastModifiedBy>
  <cp:revision>1</cp:revision>
  <dcterms:created xsi:type="dcterms:W3CDTF">2026-02-26T03:07:00Z</dcterms:created>
  <dcterms:modified xsi:type="dcterms:W3CDTF">2026-02-26T03:09:00Z</dcterms:modified>
</cp:coreProperties>
</file>