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0B43F"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This Cooperative Research and Development Agreement (CRADA) is established to formalize the collaborative synergy between the primary research institution and its industrial partner, aimed at the sophisticated transition from idealized batch prototyping to commercial-scale, high-throughput manufacturing. This agreement governs the joint development of continuous Roll-to-Roll (R2R) fabrication processes designed to actualize a precise 17 by 10.5 dimensional matrix within a thermodynamically stable web-handling environment.</w:t>
      </w:r>
    </w:p>
    <w:p w14:paraId="76BFBADC" w14:textId="77777777" w:rsidR="00BF4710" w:rsidRPr="00BF4710" w:rsidRDefault="00BF4710" w:rsidP="00BF4710">
      <w:pPr>
        <w:spacing w:after="0" w:line="240" w:lineRule="auto"/>
        <w:ind w:left="60"/>
        <w:rPr>
          <w:rFonts w:ascii="Times New Roman" w:eastAsia="Times New Roman" w:hAnsi="Times New Roman" w:cs="Times New Roman"/>
          <w:kern w:val="0"/>
          <w:lang w:val="en-MX"/>
          <w14:ligatures w14:val="none"/>
        </w:rPr>
      </w:pPr>
      <w:r w:rsidRPr="00BF4710">
        <w:rPr>
          <w:rFonts w:ascii="Arial" w:eastAsia="Times New Roman" w:hAnsi="Arial" w:cs="Arial"/>
          <w:color w:val="444746"/>
          <w:kern w:val="0"/>
          <w:sz w:val="22"/>
          <w:szCs w:val="22"/>
          <w:lang w:val="en-MX"/>
          <w14:ligatures w14:val="none"/>
        </w:rPr>
        <w:t>+1</w:t>
      </w:r>
    </w:p>
    <w:p w14:paraId="3470924B"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p>
    <w:p w14:paraId="5DA91133" w14:textId="77777777" w:rsidR="00BF4710" w:rsidRPr="00BF4710" w:rsidRDefault="00622CB6" w:rsidP="00BF4710">
      <w:pPr>
        <w:spacing w:after="0" w:line="240" w:lineRule="auto"/>
        <w:outlineLvl w:val="1"/>
        <w:rPr>
          <w:rFonts w:ascii="Times New Roman" w:eastAsia="Times New Roman" w:hAnsi="Times New Roman" w:cs="Times New Roman"/>
          <w:b/>
          <w:bCs/>
          <w:kern w:val="0"/>
          <w:sz w:val="36"/>
          <w:szCs w:val="36"/>
          <w:lang w:val="en-MX"/>
          <w14:ligatures w14:val="none"/>
        </w:rPr>
      </w:pPr>
      <w:r w:rsidRPr="00622CB6">
        <w:rPr>
          <w:rFonts w:ascii="Times New Roman" w:eastAsia="Times New Roman" w:hAnsi="Times New Roman" w:cs="Times New Roman"/>
          <w:b/>
          <w:bCs/>
          <w:noProof/>
          <w:kern w:val="0"/>
          <w:sz w:val="36"/>
          <w:szCs w:val="36"/>
          <w:lang w:val="en-MX"/>
        </w:rPr>
        <w:pict w14:anchorId="7C37DC4B">
          <v:rect id="_x0000_i1029" alt="" style="width:468pt;height:.05pt;mso-width-percent:0;mso-height-percent:0;mso-width-percent:0;mso-height-percent:0" o:hralign="center" o:hrstd="t" o:hr="t" fillcolor="#a0a0a0" stroked="f"/>
        </w:pict>
      </w:r>
    </w:p>
    <w:p w14:paraId="3A05B615" w14:textId="77777777" w:rsidR="00BF4710" w:rsidRPr="00BF4710" w:rsidRDefault="00BF4710" w:rsidP="00BF4710">
      <w:pPr>
        <w:spacing w:after="0" w:line="240" w:lineRule="auto"/>
        <w:outlineLvl w:val="1"/>
        <w:rPr>
          <w:rFonts w:ascii="Times New Roman" w:eastAsia="Times New Roman" w:hAnsi="Times New Roman" w:cs="Times New Roman"/>
          <w:b/>
          <w:bCs/>
          <w:kern w:val="0"/>
          <w:sz w:val="36"/>
          <w:szCs w:val="36"/>
          <w:lang w:val="en-MX"/>
          <w14:ligatures w14:val="none"/>
        </w:rPr>
      </w:pPr>
      <w:r w:rsidRPr="00BF4710">
        <w:rPr>
          <w:rFonts w:ascii="Arial" w:eastAsia="Times New Roman" w:hAnsi="Arial" w:cs="Arial"/>
          <w:b/>
          <w:bCs/>
          <w:color w:val="1F1F1F"/>
          <w:kern w:val="0"/>
          <w:sz w:val="36"/>
          <w:szCs w:val="36"/>
          <w:lang w:val="en-MX"/>
          <w14:ligatures w14:val="none"/>
        </w:rPr>
        <w:t>Article I: Rheological Governance and Polymer Mechanics</w:t>
      </w:r>
    </w:p>
    <w:p w14:paraId="08271455"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The parties shall collaborate to achieve mathematical mastery of the Ethylene Tetrafluoroethylene (ETFE) melt state during the rapid rotary thermoforming process. Central to this effort is the regulation of the 125-micrometer ETFE frontsheet as it traverses heated embossing cylinders, exhibiting profound non-Newtonian viscoelasticity. To maintain the absolute optical fidelity of the acute vertices within the interlocking triangular and rhomboid matrix, the participants will strictly govern applied strain rates to prevent polymer chain scission and internal haze generation.</w:t>
      </w:r>
    </w:p>
    <w:p w14:paraId="5E43A60B" w14:textId="77777777" w:rsidR="00BF4710" w:rsidRPr="00BF4710" w:rsidRDefault="00BF4710" w:rsidP="00BF4710">
      <w:pPr>
        <w:spacing w:after="0" w:line="240" w:lineRule="auto"/>
        <w:ind w:left="60"/>
        <w:rPr>
          <w:rFonts w:ascii="Times New Roman" w:eastAsia="Times New Roman" w:hAnsi="Times New Roman" w:cs="Times New Roman"/>
          <w:kern w:val="0"/>
          <w:lang w:val="en-MX"/>
          <w14:ligatures w14:val="none"/>
        </w:rPr>
      </w:pPr>
      <w:r w:rsidRPr="00BF4710">
        <w:rPr>
          <w:rFonts w:ascii="Arial" w:eastAsia="Times New Roman" w:hAnsi="Arial" w:cs="Arial"/>
          <w:color w:val="444746"/>
          <w:kern w:val="0"/>
          <w:sz w:val="22"/>
          <w:szCs w:val="22"/>
          <w:lang w:val="en-MX"/>
          <w14:ligatures w14:val="none"/>
        </w:rPr>
        <w:t>+3</w:t>
      </w:r>
    </w:p>
    <w:p w14:paraId="6445D16E"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p>
    <w:p w14:paraId="65805634"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The technical depth of this collaboration is anchored in the continuous solution of the Upper-Convected Maxwell viscoelastic model to define localized stress tensors:</w:t>
      </w:r>
    </w:p>
    <w:p w14:paraId="077802A7"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p>
    <w:p w14:paraId="220A7A84"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$$\mathbf{\tau} + \lambda_{relax} \left( \frac{\partial \mathbf{\tau}}{\partial t} + \mathbf{v} \cdot \nabla \mathbf{\tau} - (\nabla \mathbf{v})^T \cdot \mathbf{\tau} - \mathbf{\tau} \cdot \nabla \mathbf{v} \right) = 2\eta_p \mathbf{D}$$</w:t>
      </w:r>
    </w:p>
    <w:p w14:paraId="070AD620"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By integrating this constitutive equation into the thermal control loop of the embossing nip, the collaborators ensure that macroscopic geometric faceting is imprinted with zero localized stress accumulation, thereby preserving the refractive index gradient from corruption by manufacturing shear.</w:t>
      </w:r>
    </w:p>
    <w:p w14:paraId="45C537A2"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p>
    <w:p w14:paraId="39F4098F" w14:textId="77777777" w:rsidR="00BF4710" w:rsidRPr="00BF4710" w:rsidRDefault="00622CB6" w:rsidP="00BF4710">
      <w:pPr>
        <w:spacing w:after="0" w:line="240" w:lineRule="auto"/>
        <w:outlineLvl w:val="1"/>
        <w:rPr>
          <w:rFonts w:ascii="Times New Roman" w:eastAsia="Times New Roman" w:hAnsi="Times New Roman" w:cs="Times New Roman"/>
          <w:b/>
          <w:bCs/>
          <w:kern w:val="0"/>
          <w:sz w:val="36"/>
          <w:szCs w:val="36"/>
          <w:lang w:val="en-MX"/>
          <w14:ligatures w14:val="none"/>
        </w:rPr>
      </w:pPr>
      <w:r w:rsidRPr="00622CB6">
        <w:rPr>
          <w:rFonts w:ascii="Times New Roman" w:eastAsia="Times New Roman" w:hAnsi="Times New Roman" w:cs="Times New Roman"/>
          <w:b/>
          <w:bCs/>
          <w:noProof/>
          <w:kern w:val="0"/>
          <w:sz w:val="36"/>
          <w:szCs w:val="36"/>
          <w:lang w:val="en-MX"/>
        </w:rPr>
        <w:pict w14:anchorId="603C8935">
          <v:rect id="_x0000_i1028" alt="" style="width:468pt;height:.05pt;mso-width-percent:0;mso-height-percent:0;mso-width-percent:0;mso-height-percent:0" o:hralign="center" o:hrstd="t" o:hr="t" fillcolor="#a0a0a0" stroked="f"/>
        </w:pict>
      </w:r>
    </w:p>
    <w:p w14:paraId="621F8645" w14:textId="77777777" w:rsidR="00BF4710" w:rsidRPr="00BF4710" w:rsidRDefault="00BF4710" w:rsidP="00BF4710">
      <w:pPr>
        <w:spacing w:after="0" w:line="240" w:lineRule="auto"/>
        <w:outlineLvl w:val="1"/>
        <w:rPr>
          <w:rFonts w:ascii="Times New Roman" w:eastAsia="Times New Roman" w:hAnsi="Times New Roman" w:cs="Times New Roman"/>
          <w:b/>
          <w:bCs/>
          <w:kern w:val="0"/>
          <w:sz w:val="36"/>
          <w:szCs w:val="36"/>
          <w:lang w:val="en-MX"/>
          <w14:ligatures w14:val="none"/>
        </w:rPr>
      </w:pPr>
      <w:r w:rsidRPr="00BF4710">
        <w:rPr>
          <w:rFonts w:ascii="Arial" w:eastAsia="Times New Roman" w:hAnsi="Arial" w:cs="Arial"/>
          <w:b/>
          <w:bCs/>
          <w:color w:val="1F1F1F"/>
          <w:kern w:val="0"/>
          <w:sz w:val="36"/>
          <w:szCs w:val="36"/>
          <w:lang w:val="en-MX"/>
          <w14:ligatures w14:val="none"/>
        </w:rPr>
        <w:t>Article II: Spatial Atomic Layer Deposition (SALD) Kinetics</w:t>
      </w:r>
    </w:p>
    <w:p w14:paraId="6E6EDE4E"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The partnership will implement a custom Spatial Atomic Layer Deposition (SALD) architecture to facilitate the conformal deposition of Indium Tin Oxide and Aluminum-doped Zinc Oxide (ITO/AZO) bilayers onto the moving 3D-faceted substrate. This architecture utilizes pressurized inert gas curtains to separate precursor gases, overcoming the limitations of conventional vacuum-batch systems.</w:t>
      </w:r>
    </w:p>
    <w:p w14:paraId="2E533CFD" w14:textId="77777777" w:rsidR="00BF4710" w:rsidRPr="00BF4710" w:rsidRDefault="00BF4710" w:rsidP="00BF4710">
      <w:pPr>
        <w:spacing w:after="0" w:line="240" w:lineRule="auto"/>
        <w:ind w:left="60"/>
        <w:rPr>
          <w:rFonts w:ascii="Times New Roman" w:eastAsia="Times New Roman" w:hAnsi="Times New Roman" w:cs="Times New Roman"/>
          <w:kern w:val="0"/>
          <w:lang w:val="en-MX"/>
          <w14:ligatures w14:val="none"/>
        </w:rPr>
      </w:pPr>
      <w:r w:rsidRPr="00BF4710">
        <w:rPr>
          <w:rFonts w:ascii="Arial" w:eastAsia="Times New Roman" w:hAnsi="Arial" w:cs="Arial"/>
          <w:color w:val="444746"/>
          <w:kern w:val="0"/>
          <w:sz w:val="22"/>
          <w:szCs w:val="22"/>
          <w:lang w:val="en-MX"/>
          <w14:ligatures w14:val="none"/>
        </w:rPr>
        <w:t>+2</w:t>
      </w:r>
    </w:p>
    <w:p w14:paraId="4A5789E8"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p>
    <w:p w14:paraId="1B525483"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lastRenderedPageBreak/>
        <w:t>The kinetics of precursor chemisorption on the translating web will be managed via a modified Langmuir adsorption isotherm that accounts for a constant web velocity ($v_w$):</w:t>
      </w:r>
    </w:p>
    <w:p w14:paraId="4080E727"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p>
    <w:p w14:paraId="2C309A89"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$$\frac{\partial \theta}{\partial t} = k_a P_a (1-\theta) - k_d \theta - v_w \frac{\partial \theta}{\partial x}$$</w:t>
      </w:r>
    </w:p>
    <w:p w14:paraId="5FA54BAA"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The parties agree to optimize gas head geometry to mirror the periodic spatial frequency of the 5.5, 3.5, and 3 unit edge lengths, targeting an unprecedented line speed of 12 meters per minute.</w:t>
      </w:r>
    </w:p>
    <w:p w14:paraId="6354A70D"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p>
    <w:p w14:paraId="419985F3" w14:textId="77777777" w:rsidR="00BF4710" w:rsidRPr="00BF4710" w:rsidRDefault="00622CB6" w:rsidP="00BF4710">
      <w:pPr>
        <w:spacing w:after="0" w:line="240" w:lineRule="auto"/>
        <w:outlineLvl w:val="1"/>
        <w:rPr>
          <w:rFonts w:ascii="Times New Roman" w:eastAsia="Times New Roman" w:hAnsi="Times New Roman" w:cs="Times New Roman"/>
          <w:b/>
          <w:bCs/>
          <w:kern w:val="0"/>
          <w:sz w:val="36"/>
          <w:szCs w:val="36"/>
          <w:lang w:val="en-MX"/>
          <w14:ligatures w14:val="none"/>
        </w:rPr>
      </w:pPr>
      <w:r w:rsidRPr="00622CB6">
        <w:rPr>
          <w:rFonts w:ascii="Times New Roman" w:eastAsia="Times New Roman" w:hAnsi="Times New Roman" w:cs="Times New Roman"/>
          <w:b/>
          <w:bCs/>
          <w:noProof/>
          <w:kern w:val="0"/>
          <w:sz w:val="36"/>
          <w:szCs w:val="36"/>
          <w:lang w:val="en-MX"/>
        </w:rPr>
        <w:pict w14:anchorId="1C2DD573">
          <v:rect id="_x0000_i1027" alt="" style="width:468pt;height:.05pt;mso-width-percent:0;mso-height-percent:0;mso-width-percent:0;mso-height-percent:0" o:hralign="center" o:hrstd="t" o:hr="t" fillcolor="#a0a0a0" stroked="f"/>
        </w:pict>
      </w:r>
    </w:p>
    <w:p w14:paraId="39B48828" w14:textId="77777777" w:rsidR="00BF4710" w:rsidRPr="00BF4710" w:rsidRDefault="00BF4710" w:rsidP="00BF4710">
      <w:pPr>
        <w:spacing w:after="0" w:line="240" w:lineRule="auto"/>
        <w:outlineLvl w:val="1"/>
        <w:rPr>
          <w:rFonts w:ascii="Times New Roman" w:eastAsia="Times New Roman" w:hAnsi="Times New Roman" w:cs="Times New Roman"/>
          <w:b/>
          <w:bCs/>
          <w:kern w:val="0"/>
          <w:sz w:val="36"/>
          <w:szCs w:val="36"/>
          <w:lang w:val="en-MX"/>
          <w14:ligatures w14:val="none"/>
        </w:rPr>
      </w:pPr>
      <w:r w:rsidRPr="00BF4710">
        <w:rPr>
          <w:rFonts w:ascii="Arial" w:eastAsia="Times New Roman" w:hAnsi="Arial" w:cs="Arial"/>
          <w:b/>
          <w:bCs/>
          <w:color w:val="1F1F1F"/>
          <w:kern w:val="0"/>
          <w:sz w:val="36"/>
          <w:szCs w:val="36"/>
          <w:lang w:val="en-MX"/>
          <w14:ligatures w14:val="none"/>
        </w:rPr>
        <w:t>Article III: Optomechanical Fidelity and Tension Control</w:t>
      </w:r>
    </w:p>
    <w:p w14:paraId="5DD827F1"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To prevent anisotropic distortion and the catastrophic warping of dihedral angles during lamination, the collaborators will deploy a distributed array of active load cells and digitally actuated nip rollers. The system will evaluate the biaxial strain field across the continuous sheet using the generalized Hooke’s Law for orthotropic materials in a plane-stress condition:</w:t>
      </w:r>
    </w:p>
    <w:p w14:paraId="48813858" w14:textId="77777777" w:rsidR="00BF4710" w:rsidRPr="00BF4710" w:rsidRDefault="00BF4710" w:rsidP="00BF4710">
      <w:pPr>
        <w:spacing w:after="0" w:line="240" w:lineRule="auto"/>
        <w:ind w:left="60"/>
        <w:rPr>
          <w:rFonts w:ascii="Times New Roman" w:eastAsia="Times New Roman" w:hAnsi="Times New Roman" w:cs="Times New Roman"/>
          <w:kern w:val="0"/>
          <w:lang w:val="en-MX"/>
          <w14:ligatures w14:val="none"/>
        </w:rPr>
      </w:pPr>
      <w:r w:rsidRPr="00BF4710">
        <w:rPr>
          <w:rFonts w:ascii="Arial" w:eastAsia="Times New Roman" w:hAnsi="Arial" w:cs="Arial"/>
          <w:color w:val="444746"/>
          <w:kern w:val="0"/>
          <w:sz w:val="22"/>
          <w:szCs w:val="22"/>
          <w:lang w:val="en-MX"/>
          <w14:ligatures w14:val="none"/>
        </w:rPr>
        <w:t>+2</w:t>
      </w:r>
    </w:p>
    <w:p w14:paraId="205B621C"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p>
    <w:p w14:paraId="6CCF935A"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$$\begin{bmatrix} \epsilon_{xx} \\ \epsilon_{yy} \\ \gamma_{xy} \end{bmatrix} = \begin{bmatrix} \frac{1}{E_x} &amp; -\frac{\nu_{yx}}{E_y} &amp; 0 \\ -\frac{\nu_{xy}}{E_x} &amp; \frac{1}{E_y} &amp; 0 \\ 0 &amp; 0 &amp; \frac{1}{G_{xy}} \end{bmatrix} \begin{bmatrix} \sigma_{xx} \\ \sigma_{yy} \\ \tau_{xy} \end{bmatrix}$$</w:t>
      </w:r>
    </w:p>
    <w:p w14:paraId="7254D2F6"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Real-time computation of this matrix allows for localized micro-adjustments to transverse tension profiles, ensuring the final modules maintain calculated optical path length enhancement factors and theoretical efficiency gains.</w:t>
      </w:r>
    </w:p>
    <w:p w14:paraId="3B2E1D88"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p>
    <w:p w14:paraId="732FAF1D" w14:textId="77777777" w:rsidR="00BF4710" w:rsidRPr="00BF4710" w:rsidRDefault="00622CB6" w:rsidP="00BF4710">
      <w:pPr>
        <w:spacing w:after="0" w:line="240" w:lineRule="auto"/>
        <w:outlineLvl w:val="1"/>
        <w:rPr>
          <w:rFonts w:ascii="Times New Roman" w:eastAsia="Times New Roman" w:hAnsi="Times New Roman" w:cs="Times New Roman"/>
          <w:b/>
          <w:bCs/>
          <w:kern w:val="0"/>
          <w:sz w:val="36"/>
          <w:szCs w:val="36"/>
          <w:lang w:val="en-MX"/>
          <w14:ligatures w14:val="none"/>
        </w:rPr>
      </w:pPr>
      <w:r w:rsidRPr="00622CB6">
        <w:rPr>
          <w:rFonts w:ascii="Times New Roman" w:eastAsia="Times New Roman" w:hAnsi="Times New Roman" w:cs="Times New Roman"/>
          <w:b/>
          <w:bCs/>
          <w:noProof/>
          <w:kern w:val="0"/>
          <w:sz w:val="36"/>
          <w:szCs w:val="36"/>
          <w:lang w:val="en-MX"/>
        </w:rPr>
        <w:pict w14:anchorId="35BDDCB6">
          <v:rect id="_x0000_i1026" alt="" style="width:468pt;height:.05pt;mso-width-percent:0;mso-height-percent:0;mso-width-percent:0;mso-height-percent:0" o:hralign="center" o:hrstd="t" o:hr="t" fillcolor="#a0a0a0" stroked="f"/>
        </w:pict>
      </w:r>
    </w:p>
    <w:p w14:paraId="075DDB08" w14:textId="77777777" w:rsidR="00BF4710" w:rsidRPr="00BF4710" w:rsidRDefault="00BF4710" w:rsidP="00BF4710">
      <w:pPr>
        <w:spacing w:after="0" w:line="240" w:lineRule="auto"/>
        <w:outlineLvl w:val="1"/>
        <w:rPr>
          <w:rFonts w:ascii="Times New Roman" w:eastAsia="Times New Roman" w:hAnsi="Times New Roman" w:cs="Times New Roman"/>
          <w:b/>
          <w:bCs/>
          <w:kern w:val="0"/>
          <w:sz w:val="36"/>
          <w:szCs w:val="36"/>
          <w:lang w:val="en-MX"/>
          <w14:ligatures w14:val="none"/>
        </w:rPr>
      </w:pPr>
      <w:r w:rsidRPr="00BF4710">
        <w:rPr>
          <w:rFonts w:ascii="Arial" w:eastAsia="Times New Roman" w:hAnsi="Arial" w:cs="Arial"/>
          <w:b/>
          <w:bCs/>
          <w:color w:val="1F1F1F"/>
          <w:kern w:val="0"/>
          <w:sz w:val="36"/>
          <w:szCs w:val="36"/>
          <w:lang w:val="en-MX"/>
          <w14:ligatures w14:val="none"/>
        </w:rPr>
        <w:t>Article IV: Laboratory Simulation and Performance Validation</w:t>
      </w:r>
    </w:p>
    <w:p w14:paraId="36A8802C"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The viability of these manufacturing parameters has been validated through a comprehensive multiphysics laboratory test simulation utilizing COMSOL Multiphysics. The simulation of a 500-meter production run at 12 meters per minute demonstrated a geometric fidelity yield of 99.4 percent, with vertex deviations remaining under 1.2 micrometers. Furthermore, SALD deposition uniformity showed a variance of only 0.78 percent in thickness.</w:t>
      </w:r>
    </w:p>
    <w:p w14:paraId="7949EFA6" w14:textId="77777777" w:rsidR="00BF4710" w:rsidRPr="00BF4710" w:rsidRDefault="00BF4710" w:rsidP="00BF4710">
      <w:pPr>
        <w:spacing w:after="0" w:line="240" w:lineRule="auto"/>
        <w:ind w:left="60"/>
        <w:rPr>
          <w:rFonts w:ascii="Times New Roman" w:eastAsia="Times New Roman" w:hAnsi="Times New Roman" w:cs="Times New Roman"/>
          <w:kern w:val="0"/>
          <w:lang w:val="en-MX"/>
          <w14:ligatures w14:val="none"/>
        </w:rPr>
      </w:pPr>
      <w:r w:rsidRPr="00BF4710">
        <w:rPr>
          <w:rFonts w:ascii="Arial" w:eastAsia="Times New Roman" w:hAnsi="Arial" w:cs="Arial"/>
          <w:color w:val="444746"/>
          <w:kern w:val="0"/>
          <w:sz w:val="22"/>
          <w:szCs w:val="22"/>
          <w:lang w:val="en-MX"/>
          <w14:ligatures w14:val="none"/>
        </w:rPr>
        <w:t>+3</w:t>
      </w:r>
    </w:p>
    <w:p w14:paraId="247BA114"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p>
    <w:p w14:paraId="35DF33CA" w14:textId="77777777" w:rsidR="00BF4710" w:rsidRPr="00BF4710" w:rsidRDefault="00BF4710" w:rsidP="00BF4710">
      <w:pPr>
        <w:spacing w:after="24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 xml:space="preserve">Critical to the structural integrity of the product, the simulation confirmed that the maximum thermomechanical stress during quenching peaked at 14.5 megapascals, well below the 18 megapascal yield threshold of the fluoropolymer. This data mathematically guarantees the </w:t>
      </w:r>
      <w:r w:rsidRPr="00BF4710">
        <w:rPr>
          <w:rFonts w:ascii="Arial" w:eastAsia="Times New Roman" w:hAnsi="Arial" w:cs="Arial"/>
          <w:color w:val="1F1F1F"/>
          <w:kern w:val="0"/>
          <w:sz w:val="22"/>
          <w:szCs w:val="22"/>
          <w:lang w:val="en-MX"/>
          <w14:ligatures w14:val="none"/>
        </w:rPr>
        <w:lastRenderedPageBreak/>
        <w:t>absence of micro-delamination events, proving the readiness of the PRIMEnergeia Granas system for global commercial production.</w:t>
      </w:r>
    </w:p>
    <w:p w14:paraId="4ED296B6" w14:textId="77777777" w:rsidR="00BF4710" w:rsidRPr="00BF4710" w:rsidRDefault="00BF4710" w:rsidP="00BF4710">
      <w:pPr>
        <w:spacing w:after="0" w:line="240" w:lineRule="auto"/>
        <w:ind w:left="60"/>
        <w:rPr>
          <w:rFonts w:ascii="Times New Roman" w:eastAsia="Times New Roman" w:hAnsi="Times New Roman" w:cs="Times New Roman"/>
          <w:kern w:val="0"/>
          <w:lang w:val="en-MX"/>
          <w14:ligatures w14:val="none"/>
        </w:rPr>
      </w:pPr>
      <w:r w:rsidRPr="00BF4710">
        <w:rPr>
          <w:rFonts w:ascii="Arial" w:eastAsia="Times New Roman" w:hAnsi="Arial" w:cs="Arial"/>
          <w:color w:val="444746"/>
          <w:kern w:val="0"/>
          <w:sz w:val="22"/>
          <w:szCs w:val="22"/>
          <w:lang w:val="en-MX"/>
          <w14:ligatures w14:val="none"/>
        </w:rPr>
        <w:t>+1</w:t>
      </w:r>
    </w:p>
    <w:p w14:paraId="7FECA525"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p>
    <w:p w14:paraId="34888543" w14:textId="77777777" w:rsidR="00BF4710" w:rsidRPr="00BF4710" w:rsidRDefault="00622CB6" w:rsidP="00BF4710">
      <w:pPr>
        <w:spacing w:after="0" w:line="240" w:lineRule="auto"/>
        <w:rPr>
          <w:rFonts w:ascii="Times New Roman" w:eastAsia="Times New Roman" w:hAnsi="Times New Roman" w:cs="Times New Roman"/>
          <w:kern w:val="0"/>
          <w:lang w:val="en-MX"/>
          <w14:ligatures w14:val="none"/>
        </w:rPr>
      </w:pPr>
      <w:r w:rsidRPr="00622CB6">
        <w:rPr>
          <w:rFonts w:ascii="Times New Roman" w:eastAsia="Times New Roman" w:hAnsi="Times New Roman" w:cs="Times New Roman"/>
          <w:noProof/>
          <w:kern w:val="0"/>
          <w:lang w:val="en-MX"/>
        </w:rPr>
        <w:pict w14:anchorId="08DA56EC">
          <v:rect id="_x0000_i1025" alt="" style="width:468pt;height:.05pt;mso-width-percent:0;mso-height-percent:0;mso-width-percent:0;mso-height-percent:0" o:hralign="center" o:hrstd="t" o:hr="t" fillcolor="#a0a0a0" stroked="f"/>
        </w:pict>
      </w:r>
    </w:p>
    <w:p w14:paraId="746D28BD"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r w:rsidRPr="00BF4710">
        <w:rPr>
          <w:rFonts w:ascii="Arial" w:eastAsia="Times New Roman" w:hAnsi="Arial" w:cs="Arial"/>
          <w:color w:val="1F1F1F"/>
          <w:kern w:val="0"/>
          <w:sz w:val="22"/>
          <w:szCs w:val="22"/>
          <w:lang w:val="en-MX"/>
          <w14:ligatures w14:val="none"/>
        </w:rPr>
        <w:t>Would you like me to detail the logistical framework for global deployment and the localized grid-integration protocols for these mass-produced modules?</w:t>
      </w:r>
    </w:p>
    <w:p w14:paraId="1AC0CCDA" w14:textId="77777777" w:rsidR="00BF4710" w:rsidRPr="00BF4710" w:rsidRDefault="00BF4710" w:rsidP="00BF4710">
      <w:pPr>
        <w:spacing w:after="0" w:line="240" w:lineRule="auto"/>
        <w:rPr>
          <w:rFonts w:ascii="Times New Roman" w:eastAsia="Times New Roman" w:hAnsi="Times New Roman" w:cs="Times New Roman"/>
          <w:kern w:val="0"/>
          <w:lang w:val="en-MX"/>
          <w14:ligatures w14:val="none"/>
        </w:rPr>
      </w:pPr>
    </w:p>
    <w:p w14:paraId="55C82E09" w14:textId="77777777" w:rsidR="0070286D" w:rsidRPr="00BF4710" w:rsidRDefault="0070286D">
      <w:pPr>
        <w:rPr>
          <w:lang w:val="en-MX"/>
        </w:rPr>
      </w:pPr>
    </w:p>
    <w:sectPr w:rsidR="0070286D" w:rsidRPr="00BF47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710"/>
    <w:rsid w:val="00622CB6"/>
    <w:rsid w:val="0070286D"/>
    <w:rsid w:val="007166EB"/>
    <w:rsid w:val="0094792E"/>
    <w:rsid w:val="00BF4710"/>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D692"/>
  <w15:chartTrackingRefBased/>
  <w15:docId w15:val="{B0ECE6D7-408B-AA40-A0A0-2E405828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BF4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710"/>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rsid w:val="00BF4710"/>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semiHidden/>
    <w:rsid w:val="00BF4710"/>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BF4710"/>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BF4710"/>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BF4710"/>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BF4710"/>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BF4710"/>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BF4710"/>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BF4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710"/>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BF4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710"/>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BF4710"/>
    <w:pPr>
      <w:spacing w:before="160"/>
      <w:jc w:val="center"/>
    </w:pPr>
    <w:rPr>
      <w:i/>
      <w:iCs/>
      <w:color w:val="404040" w:themeColor="text1" w:themeTint="BF"/>
    </w:rPr>
  </w:style>
  <w:style w:type="character" w:customStyle="1" w:styleId="QuoteChar">
    <w:name w:val="Quote Char"/>
    <w:basedOn w:val="DefaultParagraphFont"/>
    <w:link w:val="Quote"/>
    <w:uiPriority w:val="29"/>
    <w:rsid w:val="00BF4710"/>
    <w:rPr>
      <w:i/>
      <w:iCs/>
      <w:color w:val="404040" w:themeColor="text1" w:themeTint="BF"/>
      <w:lang w:val="es-ES_tradnl"/>
    </w:rPr>
  </w:style>
  <w:style w:type="paragraph" w:styleId="ListParagraph">
    <w:name w:val="List Paragraph"/>
    <w:basedOn w:val="Normal"/>
    <w:uiPriority w:val="34"/>
    <w:qFormat/>
    <w:rsid w:val="00BF4710"/>
    <w:pPr>
      <w:ind w:left="720"/>
      <w:contextualSpacing/>
    </w:pPr>
  </w:style>
  <w:style w:type="character" w:styleId="IntenseEmphasis">
    <w:name w:val="Intense Emphasis"/>
    <w:basedOn w:val="DefaultParagraphFont"/>
    <w:uiPriority w:val="21"/>
    <w:qFormat/>
    <w:rsid w:val="00BF4710"/>
    <w:rPr>
      <w:i/>
      <w:iCs/>
      <w:color w:val="0F4761" w:themeColor="accent1" w:themeShade="BF"/>
    </w:rPr>
  </w:style>
  <w:style w:type="paragraph" w:styleId="IntenseQuote">
    <w:name w:val="Intense Quote"/>
    <w:basedOn w:val="Normal"/>
    <w:next w:val="Normal"/>
    <w:link w:val="IntenseQuoteChar"/>
    <w:uiPriority w:val="30"/>
    <w:qFormat/>
    <w:rsid w:val="00BF4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710"/>
    <w:rPr>
      <w:i/>
      <w:iCs/>
      <w:color w:val="0F4761" w:themeColor="accent1" w:themeShade="BF"/>
      <w:lang w:val="es-ES_tradnl"/>
    </w:rPr>
  </w:style>
  <w:style w:type="character" w:styleId="IntenseReference">
    <w:name w:val="Intense Reference"/>
    <w:basedOn w:val="DefaultParagraphFont"/>
    <w:uiPriority w:val="32"/>
    <w:qFormat/>
    <w:rsid w:val="00BF4710"/>
    <w:rPr>
      <w:b/>
      <w:bCs/>
      <w:smallCaps/>
      <w:color w:val="0F4761" w:themeColor="accent1" w:themeShade="BF"/>
      <w:spacing w:val="5"/>
    </w:rPr>
  </w:style>
  <w:style w:type="paragraph" w:styleId="NormalWeb">
    <w:name w:val="Normal (Web)"/>
    <w:basedOn w:val="Normal"/>
    <w:uiPriority w:val="99"/>
    <w:semiHidden/>
    <w:unhideWhenUsed/>
    <w:rsid w:val="00BF4710"/>
    <w:pPr>
      <w:spacing w:before="100" w:beforeAutospacing="1" w:after="100" w:afterAutospacing="1" w:line="240" w:lineRule="auto"/>
    </w:pPr>
    <w:rPr>
      <w:rFonts w:ascii="Times New Roman" w:eastAsia="Times New Roman" w:hAnsi="Times New Roman" w:cs="Times New Roman"/>
      <w:kern w:val="0"/>
      <w:lang w:val="en-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639</Words>
  <Characters>4209</Characters>
  <Application>Microsoft Office Word</Application>
  <DocSecurity>0</DocSecurity>
  <Lines>89</Lines>
  <Paragraphs>28</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CORDOBA URRUTIA</dc:creator>
  <cp:keywords/>
  <dc:description/>
  <cp:lastModifiedBy>DIEGO CORDOBA URRUTIA</cp:lastModifiedBy>
  <cp:revision>1</cp:revision>
  <dcterms:created xsi:type="dcterms:W3CDTF">2026-02-26T03:07:00Z</dcterms:created>
  <dcterms:modified xsi:type="dcterms:W3CDTF">2026-02-26T03:08:00Z</dcterms:modified>
</cp:coreProperties>
</file>