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7578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This </w:t>
      </w: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Cooperative Research and Development Agreement (CRADA)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is entered into by and between </w:t>
      </w: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PRIMEnergeia Granas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(hereinafter "PRIMEnergeia") and the </w:t>
      </w: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National Laboratory for Advanced Electrochemical Systems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(hereinafter the "Laboratory"), collectively referred to as the "Parties".</w:t>
      </w:r>
    </w:p>
    <w:p w14:paraId="06BC5F21" w14:textId="77777777" w:rsidR="00D2134A" w:rsidRPr="00D2134A" w:rsidRDefault="00D2134A" w:rsidP="00D2134A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+3</w:t>
      </w:r>
    </w:p>
    <w:p w14:paraId="039A2300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4B3D5858" w14:textId="77777777" w:rsidR="00D2134A" w:rsidRPr="00D2134A" w:rsidRDefault="005865B5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5865B5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MX"/>
        </w:rPr>
        <w:pict w14:anchorId="60A50D4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72FB4B" w14:textId="77777777" w:rsidR="00D2134A" w:rsidRPr="00D2134A" w:rsidRDefault="00D2134A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1. Statement of Purpose and Scope</w:t>
      </w:r>
    </w:p>
    <w:p w14:paraId="551F1F1F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The primary objective of this CRADA is to facilitate a collaborative framework for the advanced development and validation of the </w:t>
      </w: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PG-MoSA-BC (Molybdenum Single-Site Back Contact)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technology. The research aims to transcend the energetic penalties of the traditional Haber-Bosch process by optimizing a "Hydrogen-Compatible" back contact specifically engineered to decouple the competitive Hydrogen Evolution Reaction (HER) from the desired Electrochemical Nitrogen Reduction Reaction (e-NRR).</w:t>
      </w:r>
    </w:p>
    <w:p w14:paraId="25F9CEEA" w14:textId="77777777" w:rsidR="00D2134A" w:rsidRPr="00D2134A" w:rsidRDefault="00D2134A" w:rsidP="00D2134A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+4</w:t>
      </w:r>
    </w:p>
    <w:p w14:paraId="7B83BB00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07A9E098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By leveraging the principles of </w:t>
      </w: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Proton-Coupled Electron Transfer (PCET)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and vacancy-stabilized single-site catalysis, the Parties seek to refine an architecture that enhances the chemisorption of dinitrogen ($N_2$) while kinetically suppressing proton recombination into molecular hydrogen.</w:t>
      </w:r>
    </w:p>
    <w:p w14:paraId="1B19E8C9" w14:textId="77777777" w:rsidR="00D2134A" w:rsidRPr="00D2134A" w:rsidRDefault="00D2134A" w:rsidP="00D2134A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+1</w:t>
      </w:r>
    </w:p>
    <w:p w14:paraId="4C041806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541A7013" w14:textId="77777777" w:rsidR="00D2134A" w:rsidRPr="00D2134A" w:rsidRDefault="005865B5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5865B5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MX"/>
        </w:rPr>
        <w:pict w14:anchorId="24BA39A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4A7733" w14:textId="77777777" w:rsidR="00D2134A" w:rsidRPr="00D2134A" w:rsidRDefault="00D2134A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2. Technical Objectives and Methodology</w:t>
      </w:r>
    </w:p>
    <w:p w14:paraId="64CBA163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The collaboration shall focus on the following technical pillars:</w:t>
      </w:r>
    </w:p>
    <w:p w14:paraId="72FB4634" w14:textId="77777777" w:rsidR="00D2134A" w:rsidRPr="00D2134A" w:rsidRDefault="00D2134A" w:rsidP="00D2134A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t>I. Atomic Coordination and Site Tuning</w:t>
      </w:r>
    </w:p>
    <w:p w14:paraId="2CC120AB" w14:textId="77777777" w:rsidR="00D2134A" w:rsidRPr="00D2134A" w:rsidRDefault="00D2134A" w:rsidP="00D2134A">
      <w:pPr>
        <w:spacing w:after="12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The Laboratory will utilize advanced spectroscopic characterization to validate the atomic coordination of the Molybdenum single sites ($Mo_{SA}$) anchored within the carbonaceous matrix. This includes:</w:t>
      </w:r>
    </w:p>
    <w:p w14:paraId="080F09A1" w14:textId="77777777" w:rsidR="00D2134A" w:rsidRPr="00D2134A" w:rsidRDefault="00D2134A" w:rsidP="00D2134A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+2</w:t>
      </w:r>
    </w:p>
    <w:p w14:paraId="43F1203B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Times New Roman" w:eastAsia="Times New Roman" w:hAnsi="Times New Roman" w:cs="Times New Roman"/>
          <w:kern w:val="0"/>
          <w:lang w:val="en-MX"/>
          <w14:ligatures w14:val="none"/>
        </w:rPr>
        <w:br/>
      </w:r>
    </w:p>
    <w:p w14:paraId="146E60DC" w14:textId="77777777" w:rsidR="00D2134A" w:rsidRPr="00D2134A" w:rsidRDefault="00D2134A" w:rsidP="00D2134A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X-ray Photoelectron Spectroscopy (XPS)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to probe oxidation states.</w:t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6986A133" w14:textId="77777777" w:rsidR="00D2134A" w:rsidRPr="00D2134A" w:rsidRDefault="00D2134A" w:rsidP="00D2134A">
      <w:pPr>
        <w:numPr>
          <w:ilvl w:val="0"/>
          <w:numId w:val="1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X-ray Absorption Spectroscopy (XAS)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, specifically XANES and EXAFS regions, to determine coordination numbers and bond lengths ($Mo-N$ and $Mo-C$).</w:t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6CE31417" w14:textId="77777777" w:rsidR="00D2134A" w:rsidRPr="00D2134A" w:rsidRDefault="00D2134A" w:rsidP="00D2134A">
      <w:pPr>
        <w:numPr>
          <w:ilvl w:val="0"/>
          <w:numId w:val="1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Electron Paramagnetic Resonance (EPR)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for real-time monitoring of paramagnetic defect evolution during the NRR process.</w:t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5E86AC24" w14:textId="77777777" w:rsidR="00D2134A" w:rsidRPr="00D2134A" w:rsidRDefault="00D2134A" w:rsidP="00D2134A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lastRenderedPageBreak/>
        <w:t>II. Kinetic Modeling and PCET Optimization</w:t>
      </w:r>
    </w:p>
    <w:p w14:paraId="6F86CF98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The Parties will refine the generalized electrochemical potential equation governing the PCET process:</w:t>
      </w:r>
    </w:p>
    <w:p w14:paraId="21D6F75A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4EDBF835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$$\Delta G_{electrochemical} = \Delta G^0 + RT \ln(Q) - nF E + \Delta G^{\ddagger}_{interaction}$$</w:t>
      </w:r>
    </w:p>
    <w:p w14:paraId="67CDF227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Optimizing the interaction term ($\Delta G^{\ddagger}_{interaction}$) is paramount to promoting $N_2$ activation while limiting the parasitic HER.</w:t>
      </w:r>
    </w:p>
    <w:p w14:paraId="62CFA765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5355B6BD" w14:textId="77777777" w:rsidR="00D2134A" w:rsidRPr="00D2134A" w:rsidRDefault="005865B5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5865B5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MX"/>
        </w:rPr>
        <w:pict w14:anchorId="676C89B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5063D4" w14:textId="77777777" w:rsidR="00D2134A" w:rsidRPr="00D2134A" w:rsidRDefault="00D2134A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3. Laboratory Simulation and Performance Benchmarking</w:t>
      </w:r>
    </w:p>
    <w:p w14:paraId="19127676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A high-fidelity simulation environment will be maintained to evaluate the </w:t>
      </w: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PG-MoSA-BC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against standard </w:t>
      </w: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Platinum on Carbon (Pt/C)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electrodes. The simulation parameters are established as follows:</w:t>
      </w:r>
    </w:p>
    <w:p w14:paraId="74575A6A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280"/>
      </w:tblGrid>
      <w:tr w:rsidR="00D2134A" w:rsidRPr="00D2134A" w14:paraId="6A6B43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3494A2" w14:textId="77777777" w:rsidR="00D2134A" w:rsidRPr="00D2134A" w:rsidRDefault="00D2134A" w:rsidP="00D2134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36FBEB" w14:textId="77777777" w:rsidR="00D2134A" w:rsidRPr="00D2134A" w:rsidRDefault="00D2134A" w:rsidP="00D2134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Value</w:t>
            </w:r>
          </w:p>
        </w:tc>
      </w:tr>
      <w:tr w:rsidR="00D2134A" w:rsidRPr="00D2134A" w14:paraId="1F42AD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01802F4" w14:textId="77777777" w:rsidR="00D2134A" w:rsidRPr="00D2134A" w:rsidRDefault="00D2134A" w:rsidP="00D2134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Electrolyte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3619EB" w14:textId="77777777" w:rsidR="00D2134A" w:rsidRPr="00D2134A" w:rsidRDefault="00D2134A" w:rsidP="00D2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0.1 M HCl (saturated with $N_2$)</w:t>
            </w:r>
          </w:p>
          <w:p w14:paraId="4A8D0697" w14:textId="77777777" w:rsidR="00D2134A" w:rsidRPr="00D2134A" w:rsidRDefault="00D2134A" w:rsidP="00D2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</w:tc>
      </w:tr>
      <w:tr w:rsidR="00D2134A" w:rsidRPr="00D2134A" w14:paraId="6039B2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C14DD69" w14:textId="77777777" w:rsidR="00D2134A" w:rsidRPr="00D2134A" w:rsidRDefault="00D2134A" w:rsidP="00D2134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7EF517" w14:textId="77777777" w:rsidR="00D2134A" w:rsidRPr="00D2134A" w:rsidRDefault="00D2134A" w:rsidP="00D2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298 K ($25^\circ C$)</w:t>
            </w:r>
          </w:p>
          <w:p w14:paraId="4C8D3511" w14:textId="77777777" w:rsidR="00D2134A" w:rsidRPr="00D2134A" w:rsidRDefault="00D2134A" w:rsidP="00D2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</w:tc>
      </w:tr>
      <w:tr w:rsidR="00D2134A" w:rsidRPr="00D2134A" w14:paraId="1A38FC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80E257" w14:textId="77777777" w:rsidR="00D2134A" w:rsidRPr="00D2134A" w:rsidRDefault="00D2134A" w:rsidP="00D2134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Pressure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B77EC4A" w14:textId="77777777" w:rsidR="00D2134A" w:rsidRPr="00D2134A" w:rsidRDefault="00D2134A" w:rsidP="00D2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50 bar $N_2$</w:t>
            </w:r>
          </w:p>
          <w:p w14:paraId="12B08DB4" w14:textId="77777777" w:rsidR="00D2134A" w:rsidRPr="00D2134A" w:rsidRDefault="00D2134A" w:rsidP="00D2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</w:tc>
      </w:tr>
      <w:tr w:rsidR="00D2134A" w:rsidRPr="00D2134A" w14:paraId="332185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7388065" w14:textId="77777777" w:rsidR="00D2134A" w:rsidRPr="00D2134A" w:rsidRDefault="00D2134A" w:rsidP="00D2134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Applied Potential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DA26F44" w14:textId="77777777" w:rsidR="00D2134A" w:rsidRPr="00D2134A" w:rsidRDefault="00D2134A" w:rsidP="00D2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  <w:r w:rsidRPr="00D2134A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MX"/>
                <w14:ligatures w14:val="none"/>
              </w:rPr>
              <w:t>-0.4 V vs. RHE</w:t>
            </w:r>
          </w:p>
          <w:p w14:paraId="0B9375F9" w14:textId="77777777" w:rsidR="00D2134A" w:rsidRPr="00D2134A" w:rsidRDefault="00D2134A" w:rsidP="00D213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MX"/>
                <w14:ligatures w14:val="none"/>
              </w:rPr>
            </w:pPr>
          </w:p>
        </w:tc>
      </w:tr>
    </w:tbl>
    <w:p w14:paraId="27FB563D" w14:textId="77777777" w:rsidR="00D2134A" w:rsidRPr="00D2134A" w:rsidRDefault="00D2134A" w:rsidP="00D2134A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lang w:val="en-MX"/>
          <w14:ligatures w14:val="none"/>
        </w:rPr>
        <w:t>Results of Baseline Simulation</w:t>
      </w:r>
    </w:p>
    <w:p w14:paraId="7028334E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lastRenderedPageBreak/>
        <w:t xml:space="preserve">Initial data indicates that while Pt/C is dominated by HER (99.2% current consumption), the PRIMEnergeia architecture achieves a </w:t>
      </w: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Faradaic Efficiency (FE) of 58.4%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for ammonia synthesis. This is attributed to the thermodynamically unfavorable free energy of hydrogen adsorption ($\Delta G_{*H} = +0.45 \text{ eV}$) on the PG-MoSA-BC surface.</w:t>
      </w:r>
    </w:p>
    <w:p w14:paraId="51452CAC" w14:textId="77777777" w:rsidR="00D2134A" w:rsidRPr="00D2134A" w:rsidRDefault="00D2134A" w:rsidP="00D2134A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+2</w:t>
      </w:r>
    </w:p>
    <w:p w14:paraId="65CFAD8E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6B421014" w14:textId="77777777" w:rsidR="00D2134A" w:rsidRPr="00D2134A" w:rsidRDefault="005865B5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5865B5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MX"/>
        </w:rPr>
        <w:pict w14:anchorId="56E0E9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6FB3E5" w14:textId="77777777" w:rsidR="00D2134A" w:rsidRPr="00D2134A" w:rsidRDefault="00D2134A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4. Intellectual Property and Deliverables</w:t>
      </w:r>
    </w:p>
    <w:p w14:paraId="38552FEF" w14:textId="77777777" w:rsidR="00D2134A" w:rsidRPr="00D2134A" w:rsidRDefault="00D2134A" w:rsidP="00D2134A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Background IP: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All single-site Molybdenum catalyst designs and carbon framework engineering remains the sole property of PRIMEnergeia.</w:t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D2134A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+1</w:t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371CB233" w14:textId="77777777" w:rsidR="00D2134A" w:rsidRPr="00D2134A" w:rsidRDefault="00D2134A" w:rsidP="00D2134A">
      <w:pPr>
        <w:numPr>
          <w:ilvl w:val="0"/>
          <w:numId w:val="2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Joint Research Products: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Any improvements in Gas-Diffusion Electrode (GDE) scale-up or the integration of aprotic ionic liquids developed during the CRADA term shall be subject to joint ownership.</w:t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62ED2837" w14:textId="77777777" w:rsidR="00D2134A" w:rsidRPr="00D2134A" w:rsidRDefault="00D2134A" w:rsidP="00D2134A">
      <w:pPr>
        <w:numPr>
          <w:ilvl w:val="0"/>
          <w:numId w:val="2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Final Report:</w:t>
      </w: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 xml:space="preserve"> A comprehensive white paper detailing the mechanistic pathways and the inversion of the typical HER/NRR selectivity ratio.</w:t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D2134A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+2</w:t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  <w:r w:rsidRPr="00D2134A">
        <w:rPr>
          <w:rFonts w:ascii="Arial" w:eastAsia="Times New Roman" w:hAnsi="Arial" w:cs="Arial"/>
          <w:color w:val="000000"/>
          <w:kern w:val="0"/>
          <w:sz w:val="22"/>
          <w:szCs w:val="22"/>
          <w:lang w:val="en-MX"/>
          <w14:ligatures w14:val="none"/>
        </w:rPr>
        <w:br/>
      </w:r>
    </w:p>
    <w:p w14:paraId="3F2CB014" w14:textId="77777777" w:rsidR="00D2134A" w:rsidRPr="00D2134A" w:rsidRDefault="005865B5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5865B5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MX"/>
        </w:rPr>
        <w:pict w14:anchorId="11C1ED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6BD0E6" w14:textId="77777777" w:rsidR="00D2134A" w:rsidRPr="00D2134A" w:rsidRDefault="00D2134A" w:rsidP="00D2134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MX"/>
          <w14:ligatures w14:val="none"/>
        </w:rPr>
        <w:t>5. Conclusion</w:t>
      </w:r>
    </w:p>
    <w:p w14:paraId="3339D508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1F1F1F"/>
          <w:kern w:val="0"/>
          <w:sz w:val="22"/>
          <w:szCs w:val="22"/>
          <w:lang w:val="en-MX"/>
          <w14:ligatures w14:val="none"/>
        </w:rPr>
        <w:t>The validation of the PG-MoSA-BC through this CRADA represents a critical milestone toward a decentralized, green ammonia economy. By strategically modulating surface binding energies, the Parties aim to render ambient-condition nitrogen fixation technologically viable and industrially scalable.</w:t>
      </w:r>
    </w:p>
    <w:p w14:paraId="4CAE66B4" w14:textId="77777777" w:rsidR="00D2134A" w:rsidRPr="00D2134A" w:rsidRDefault="00D2134A" w:rsidP="00D2134A">
      <w:pPr>
        <w:spacing w:after="0" w:line="240" w:lineRule="auto"/>
        <w:ind w:left="60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color w:val="444746"/>
          <w:kern w:val="0"/>
          <w:sz w:val="22"/>
          <w:szCs w:val="22"/>
          <w:lang w:val="en-MX"/>
          <w14:ligatures w14:val="none"/>
        </w:rPr>
        <w:t>+1</w:t>
      </w:r>
    </w:p>
    <w:p w14:paraId="59A6D637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7074D91D" w14:textId="77777777" w:rsidR="00D2134A" w:rsidRPr="00D2134A" w:rsidRDefault="00D2134A" w:rsidP="00D2134A">
      <w:pPr>
        <w:spacing w:after="24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  <w:r w:rsidRPr="00D2134A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:lang w:val="en-MX"/>
          <w14:ligatures w14:val="none"/>
        </w:rPr>
        <w:t>Would you like me to refine the simulation parameters within this CRADA to include a variation in pH levels to observe the shift between Ammonium and Ammonia production?</w:t>
      </w:r>
    </w:p>
    <w:p w14:paraId="4DBA2545" w14:textId="77777777" w:rsidR="00D2134A" w:rsidRPr="00D2134A" w:rsidRDefault="00D2134A" w:rsidP="00D213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MX"/>
          <w14:ligatures w14:val="none"/>
        </w:rPr>
      </w:pPr>
    </w:p>
    <w:p w14:paraId="060D5B2A" w14:textId="77777777" w:rsidR="0070286D" w:rsidRPr="00D2134A" w:rsidRDefault="0070286D">
      <w:pPr>
        <w:rPr>
          <w:lang w:val="en-MX"/>
        </w:rPr>
      </w:pPr>
    </w:p>
    <w:sectPr w:rsidR="0070286D" w:rsidRPr="00D21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E86"/>
    <w:multiLevelType w:val="multilevel"/>
    <w:tmpl w:val="D350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67D8A"/>
    <w:multiLevelType w:val="multilevel"/>
    <w:tmpl w:val="DE6E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980040">
    <w:abstractNumId w:val="0"/>
  </w:num>
  <w:num w:numId="2" w16cid:durableId="1575551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4A"/>
    <w:rsid w:val="005865B5"/>
    <w:rsid w:val="0070286D"/>
    <w:rsid w:val="007166EB"/>
    <w:rsid w:val="0094792E"/>
    <w:rsid w:val="00D2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3D69"/>
  <w15:chartTrackingRefBased/>
  <w15:docId w15:val="{783B4C7D-940C-2A43-9C64-91AEBDA3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D213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D2134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4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4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4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4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4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4A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D21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4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4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D21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4A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D21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4A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D213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1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3471</Characters>
  <Application>Microsoft Office Word</Application>
  <DocSecurity>0</DocSecurity>
  <Lines>73</Lines>
  <Paragraphs>23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CORDOBA URRUTIA</dc:creator>
  <cp:keywords/>
  <dc:description/>
  <cp:lastModifiedBy>DIEGO CORDOBA URRUTIA</cp:lastModifiedBy>
  <cp:revision>1</cp:revision>
  <dcterms:created xsi:type="dcterms:W3CDTF">2026-02-26T03:07:00Z</dcterms:created>
  <dcterms:modified xsi:type="dcterms:W3CDTF">2026-02-26T03:11:00Z</dcterms:modified>
</cp:coreProperties>
</file>