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54E19" w14:textId="77777777" w:rsidR="00D6412D" w:rsidRPr="00D6412D" w:rsidRDefault="00D6412D" w:rsidP="00D6412D">
      <w:pPr>
        <w:spacing w:after="24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b/>
          <w:bCs/>
          <w:color w:val="000000"/>
          <w:kern w:val="0"/>
          <w:sz w:val="22"/>
          <w:szCs w:val="22"/>
          <w:lang w:val="en-MX"/>
          <w14:ligatures w14:val="none"/>
        </w:rPr>
        <w:t>PRIMEnergeia Granas Technical White Paper: 2026-PG-NRR-04</w:t>
      </w:r>
    </w:p>
    <w:p w14:paraId="1021E256" w14:textId="77777777" w:rsidR="00D6412D" w:rsidRPr="00D6412D" w:rsidRDefault="00D6412D" w:rsidP="00D6412D">
      <w:pPr>
        <w:spacing w:after="240" w:line="240" w:lineRule="auto"/>
        <w:outlineLvl w:val="0"/>
        <w:rPr>
          <w:rFonts w:ascii="Times New Roman" w:eastAsia="Times New Roman" w:hAnsi="Times New Roman" w:cs="Times New Roman"/>
          <w:b/>
          <w:bCs/>
          <w:color w:val="000000"/>
          <w:kern w:val="36"/>
          <w:sz w:val="48"/>
          <w:szCs w:val="48"/>
          <w:lang w:val="en-MX"/>
          <w14:ligatures w14:val="none"/>
        </w:rPr>
      </w:pPr>
      <w:r w:rsidRPr="00D6412D">
        <w:rPr>
          <w:rFonts w:ascii="Arial" w:eastAsia="Times New Roman" w:hAnsi="Arial" w:cs="Arial"/>
          <w:b/>
          <w:bCs/>
          <w:color w:val="000000"/>
          <w:kern w:val="36"/>
          <w:sz w:val="48"/>
          <w:szCs w:val="48"/>
          <w:lang w:val="en-MX"/>
          <w14:ligatures w14:val="none"/>
        </w:rPr>
        <w:t>Design of a PRIMEnergeia Hydrogen-Compatible Back Contact: Enhancing Electrochemical Nitrogen Reduction via Single-Site Catalytic Modulation</w:t>
      </w:r>
    </w:p>
    <w:p w14:paraId="7EF4BB21" w14:textId="77777777" w:rsidR="00D6412D" w:rsidRPr="00D6412D" w:rsidRDefault="00D6412D" w:rsidP="00D6412D">
      <w:pPr>
        <w:spacing w:after="240" w:line="240" w:lineRule="auto"/>
        <w:outlineLvl w:val="2"/>
        <w:rPr>
          <w:rFonts w:ascii="Times New Roman" w:eastAsia="Times New Roman" w:hAnsi="Times New Roman" w:cs="Times New Roman"/>
          <w:b/>
          <w:bCs/>
          <w:color w:val="000000"/>
          <w:kern w:val="0"/>
          <w:sz w:val="27"/>
          <w:szCs w:val="27"/>
          <w:lang w:val="en-MX"/>
          <w14:ligatures w14:val="none"/>
        </w:rPr>
      </w:pPr>
      <w:r w:rsidRPr="00D6412D">
        <w:rPr>
          <w:rFonts w:ascii="Arial" w:eastAsia="Times New Roman" w:hAnsi="Arial" w:cs="Arial"/>
          <w:b/>
          <w:bCs/>
          <w:color w:val="000000"/>
          <w:kern w:val="0"/>
          <w:sz w:val="28"/>
          <w:szCs w:val="28"/>
          <w:lang w:val="en-MX"/>
          <w14:ligatures w14:val="none"/>
        </w:rPr>
        <w:t>Abstract</w:t>
      </w:r>
    </w:p>
    <w:p w14:paraId="0DBBE28B" w14:textId="77777777" w:rsidR="00D6412D" w:rsidRPr="00D6412D" w:rsidRDefault="00D6412D" w:rsidP="00D6412D">
      <w:pPr>
        <w:spacing w:after="24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color w:val="000000"/>
          <w:kern w:val="0"/>
          <w:sz w:val="22"/>
          <w:szCs w:val="22"/>
          <w:lang w:val="en-MX"/>
          <w14:ligatures w14:val="none"/>
        </w:rPr>
        <w:t>The transition from energy-intensive industrial Haber-Bosch processes to sustainable, ambient-condition electrochemical nitrogen reduction reactions (NRR) represents a pivotal shift in the global thermodynamic landscape of ammonia synthesis. PRIMEnergeia Granas presents this theoretical and experimental exposition on the design of a novel hydrogen-compatible back contact specifically engineered to decouple the competitive Hydrogen Evolution Reaction (HER) from the desired NRR pathway. By leveraging the principles of proton-coupled electron transfer (PCET) and utilizing vacancy-stabilized single-site catalysis, we propose an architecture that optimizes the chemisorption of dinitrogen (N_2) while kinetically suppressing the recombination of protons into molecular hydrogen. This paper elucidates the mechanistic pathways, validates the structural integrity through advanced spectroscopic characterization, and reports the results of a high-fidelity laboratory simulation demonstrating superior Faradaic efficiency.</w:t>
      </w:r>
    </w:p>
    <w:p w14:paraId="7BEEA437" w14:textId="77777777" w:rsidR="00D6412D" w:rsidRPr="00D6412D" w:rsidRDefault="00D6412D" w:rsidP="00D6412D">
      <w:pPr>
        <w:spacing w:after="240" w:line="240" w:lineRule="auto"/>
        <w:outlineLvl w:val="2"/>
        <w:rPr>
          <w:rFonts w:ascii="Times New Roman" w:eastAsia="Times New Roman" w:hAnsi="Times New Roman" w:cs="Times New Roman"/>
          <w:b/>
          <w:bCs/>
          <w:color w:val="000000"/>
          <w:kern w:val="0"/>
          <w:sz w:val="27"/>
          <w:szCs w:val="27"/>
          <w:lang w:val="en-MX"/>
          <w14:ligatures w14:val="none"/>
        </w:rPr>
      </w:pPr>
      <w:r w:rsidRPr="00D6412D">
        <w:rPr>
          <w:rFonts w:ascii="Arial" w:eastAsia="Times New Roman" w:hAnsi="Arial" w:cs="Arial"/>
          <w:b/>
          <w:bCs/>
          <w:color w:val="000000"/>
          <w:kern w:val="0"/>
          <w:sz w:val="28"/>
          <w:szCs w:val="28"/>
          <w:lang w:val="en-MX"/>
          <w14:ligatures w14:val="none"/>
        </w:rPr>
        <w:t>1. Introduction: The Thermodynamic Imperative</w:t>
      </w:r>
    </w:p>
    <w:p w14:paraId="0D1EDB41" w14:textId="77777777" w:rsidR="00D6412D" w:rsidRPr="00D6412D" w:rsidRDefault="00D6412D" w:rsidP="00D6412D">
      <w:pPr>
        <w:spacing w:after="24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color w:val="000000"/>
          <w:kern w:val="0"/>
          <w:sz w:val="22"/>
          <w:szCs w:val="22"/>
          <w:lang w:val="en-MX"/>
          <w14:ligatures w14:val="none"/>
        </w:rPr>
        <w:t>The synthesis of ammonia (NH_3) has long been dominated by the Haber-Bosch process, a method that, while effective, imposes a severe energetic penalty on the global carbon budget. The reaction equilibrium, defined by the stoichiometry \frac{1}{2}N_2 + \frac{3}{2}H_2 \rightleftharpoons NH_3, ideally yields a conversion of 22.7 mol% relative to stoichiometric limits; however, this is only achievable under extreme conditions of 350–550 °C and 20–40 MPa, utilizing alkali-promoted iron catalysts such as magnetite or wüstite. While these conditions favor the forward reaction kinetically, they necessitate a paradigm shift toward electrochemical alternatives that operate under ambient or near-ambient conditions. The electrochemical NRR (e-NRR) occurs at the electrolyte–electrode interface, a complex tri-phase boundary where protons transferred from the electrolyte and electrons from the external circuit must strictly coordinate to reduce adsorbed N_2 molecules. The central challenge in this domain is not merely the activation of the inert N \equiv N triple bond, but the selectivity of the active sites. In aqueous media, the standard reduction potential of proton reduction is thermodynamically similar to that of nitrogen reduction, leading to the parasitic Hydrogen Evolution Reaction (HER) dominating the current density. Therefore, the design of the back contact—the component responsible for electron injection and proton management—becomes the critical determinant of catalytic efficacy.</w:t>
      </w:r>
    </w:p>
    <w:p w14:paraId="73CDF718" w14:textId="77777777" w:rsidR="00D6412D" w:rsidRPr="00D6412D" w:rsidRDefault="00D6412D" w:rsidP="00D6412D">
      <w:pPr>
        <w:spacing w:after="240" w:line="240" w:lineRule="auto"/>
        <w:outlineLvl w:val="2"/>
        <w:rPr>
          <w:rFonts w:ascii="Times New Roman" w:eastAsia="Times New Roman" w:hAnsi="Times New Roman" w:cs="Times New Roman"/>
          <w:b/>
          <w:bCs/>
          <w:color w:val="000000"/>
          <w:kern w:val="0"/>
          <w:sz w:val="27"/>
          <w:szCs w:val="27"/>
          <w:lang w:val="en-MX"/>
          <w14:ligatures w14:val="none"/>
        </w:rPr>
      </w:pPr>
      <w:r w:rsidRPr="00D6412D">
        <w:rPr>
          <w:rFonts w:ascii="Arial" w:eastAsia="Times New Roman" w:hAnsi="Arial" w:cs="Arial"/>
          <w:b/>
          <w:bCs/>
          <w:color w:val="000000"/>
          <w:kern w:val="0"/>
          <w:sz w:val="28"/>
          <w:szCs w:val="28"/>
          <w:lang w:val="en-MX"/>
          <w14:ligatures w14:val="none"/>
        </w:rPr>
        <w:t>2. Mechanistic Pathways and Reaction Kinetics</w:t>
      </w:r>
    </w:p>
    <w:p w14:paraId="3F8D538C" w14:textId="77777777" w:rsidR="00D6412D" w:rsidRPr="00D6412D" w:rsidRDefault="00D6412D" w:rsidP="00D6412D">
      <w:pPr>
        <w:spacing w:after="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color w:val="000000"/>
          <w:kern w:val="0"/>
          <w:sz w:val="22"/>
          <w:szCs w:val="22"/>
          <w:lang w:val="en-MX"/>
          <w14:ligatures w14:val="none"/>
        </w:rPr>
        <w:t xml:space="preserve">From a rigorous mechanistic perspective, the reduction of nitrogen to ammonia on a catalytic surface is a multi-step process governed by the binding energies of reaction intermediates. The general catalytic NRR sequence necessitates four distinct phases: (i) the chemisorption of N_2 </w:t>
      </w:r>
      <w:r w:rsidRPr="00D6412D">
        <w:rPr>
          <w:rFonts w:ascii="Arial" w:eastAsia="Times New Roman" w:hAnsi="Arial" w:cs="Arial"/>
          <w:color w:val="000000"/>
          <w:kern w:val="0"/>
          <w:sz w:val="22"/>
          <w:szCs w:val="22"/>
          <w:lang w:val="en-MX"/>
          <w14:ligatures w14:val="none"/>
        </w:rPr>
        <w:lastRenderedPageBreak/>
        <w:t>and hydrogen atoms onto the catalyst active sites; (ii) the activation and subsequent cleavage of the robust N \equiv N bond; (iii) the reductive addition of hydrogen atoms to form ammonia (NH_3) or ammonium (NH_4^+); and (iv) the desorption of the final product from the catalyst surface. The speciation of the product is strictly dictated by the pH of the reaction media. The equilibrium between gas-phase ammonia, dissolved ammonia, and the ammonium ion is governed by the acid dissociation constant, which can be expressed as:</w:t>
      </w:r>
    </w:p>
    <w:p w14:paraId="2BCAF70E" w14:textId="77777777" w:rsidR="00D6412D" w:rsidRPr="00D6412D" w:rsidRDefault="00D6412D" w:rsidP="00D6412D">
      <w:pPr>
        <w:spacing w:after="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color w:val="000000"/>
          <w:kern w:val="0"/>
          <w:sz w:val="22"/>
          <w:szCs w:val="22"/>
          <w:lang w:val="en-MX"/>
          <w14:ligatures w14:val="none"/>
        </w:rPr>
        <w:t>In acidic regimes, the equilibrium strongly favors the formation of NH_4^+, which has significant implications for product recovery and quantification. The reaction mechanism itself proceeds either through an associative or dissociative pathway. In the associative mechanism, which we favor for this back contact design, the N \equiv N bond remains intact during the initial hydrogenation steps. The cleavage occurs only after substantial weakening of the bond order via proton transfer from a proton donor or direct electron injection. This hydrogenation is mediated by proton-coupled electron transfer (PCET) processes, which can be described by the generalized electrochemical potential equation:</w:t>
      </w:r>
    </w:p>
    <w:p w14:paraId="24749BB8" w14:textId="77777777" w:rsidR="00D6412D" w:rsidRPr="00D6412D" w:rsidRDefault="00D6412D" w:rsidP="00D6412D">
      <w:pPr>
        <w:spacing w:after="24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color w:val="000000"/>
          <w:kern w:val="0"/>
          <w:sz w:val="22"/>
          <w:szCs w:val="22"/>
          <w:lang w:val="en-MX"/>
          <w14:ligatures w14:val="none"/>
        </w:rPr>
        <w:t>Here, optimizing \Delta G^{\ddagger}_{interaction} is paramount. The rational control of operational conditions is crucial to promote N_2 activation while simultaneously limiting the competing HER. The poor solubility of N_2 in aqueous media—approximately 2 vol% at standard conditions—creates severe mass transfer limitations that stifle production rates. While lowering the reaction temperature to ambient or sub-ambient levels can enhance N_2 solubility and ostensibly boost NRR selectivity by inhibiting HER (which is favored at temperatures &gt;40^\circ C), this thermal reduction also restricts N_2 diffusion kinetics. Consequently, we propose a system that operates at elevated pressures to shift the chemical equilibrium toward NRR, suppressing HER via Le Chatelier’s principle, despite the acknowledged technological complexity.</w:t>
      </w:r>
    </w:p>
    <w:p w14:paraId="2886AE33" w14:textId="77777777" w:rsidR="00D6412D" w:rsidRPr="00D6412D" w:rsidRDefault="00D6412D" w:rsidP="00D6412D">
      <w:pPr>
        <w:spacing w:after="240" w:line="240" w:lineRule="auto"/>
        <w:outlineLvl w:val="2"/>
        <w:rPr>
          <w:rFonts w:ascii="Times New Roman" w:eastAsia="Times New Roman" w:hAnsi="Times New Roman" w:cs="Times New Roman"/>
          <w:b/>
          <w:bCs/>
          <w:color w:val="000000"/>
          <w:kern w:val="0"/>
          <w:sz w:val="27"/>
          <w:szCs w:val="27"/>
          <w:lang w:val="en-MX"/>
          <w14:ligatures w14:val="none"/>
        </w:rPr>
      </w:pPr>
      <w:r w:rsidRPr="00D6412D">
        <w:rPr>
          <w:rFonts w:ascii="Arial" w:eastAsia="Times New Roman" w:hAnsi="Arial" w:cs="Arial"/>
          <w:b/>
          <w:bCs/>
          <w:color w:val="000000"/>
          <w:kern w:val="0"/>
          <w:sz w:val="28"/>
          <w:szCs w:val="28"/>
          <w:lang w:val="en-MX"/>
          <w14:ligatures w14:val="none"/>
        </w:rPr>
        <w:t>3. Material Design: The Single-Site Advantage</w:t>
      </w:r>
    </w:p>
    <w:p w14:paraId="51D59186" w14:textId="77777777" w:rsidR="00D6412D" w:rsidRPr="00D6412D" w:rsidRDefault="00D6412D" w:rsidP="00D6412D">
      <w:pPr>
        <w:spacing w:after="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color w:val="000000"/>
          <w:kern w:val="0"/>
          <w:sz w:val="22"/>
          <w:szCs w:val="22"/>
          <w:lang w:val="en-MX"/>
          <w14:ligatures w14:val="none"/>
        </w:rPr>
        <w:t xml:space="preserve">To overcome the selectivity bottleneck, we must move beyond bulk metallic catalysts. Intrinsic defects, metal dopants, single sites, and co-catalysts have all been proposed as active centers for N_2 chemisorption. Among these, </w:t>
      </w:r>
      <w:r w:rsidRPr="00D6412D">
        <w:rPr>
          <w:rFonts w:ascii="Arial" w:eastAsia="Times New Roman" w:hAnsi="Arial" w:cs="Arial"/>
          <w:b/>
          <w:bCs/>
          <w:color w:val="000000"/>
          <w:kern w:val="0"/>
          <w:sz w:val="22"/>
          <w:szCs w:val="22"/>
          <w:lang w:val="en-MX"/>
          <w14:ligatures w14:val="none"/>
        </w:rPr>
        <w:t>Single Sites</w:t>
      </w:r>
      <w:r w:rsidRPr="00D6412D">
        <w:rPr>
          <w:rFonts w:ascii="Arial" w:eastAsia="Times New Roman" w:hAnsi="Arial" w:cs="Arial"/>
          <w:color w:val="000000"/>
          <w:kern w:val="0"/>
          <w:sz w:val="22"/>
          <w:szCs w:val="22"/>
          <w:lang w:val="en-MX"/>
          <w14:ligatures w14:val="none"/>
        </w:rPr>
        <w:t xml:space="preserve"> offer the most promising avenue for high-specificity catalysis in the context of a hydrogen-compatible back contact. By isolating individual metal atoms within a supporting matrix, we can precisely tune the electronic environment of the active center to favor the binding of N-adatoms over H-adatoms.</w:t>
      </w:r>
    </w:p>
    <w:p w14:paraId="093CA7F6" w14:textId="77777777" w:rsidR="00D6412D" w:rsidRPr="00D6412D" w:rsidRDefault="00D6412D" w:rsidP="00D6412D">
      <w:pPr>
        <w:spacing w:after="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color w:val="000000"/>
          <w:kern w:val="0"/>
          <w:sz w:val="22"/>
          <w:szCs w:val="22"/>
          <w:lang w:val="en-MX"/>
          <w14:ligatures w14:val="none"/>
        </w:rPr>
        <w:t>The PRIMEnergeia design utilizes a functionalized carbonaceous back contact doped with single-site Molybdenum (Mo_{SA}) anchored in vacancy defects. Molybdenum is selected for its intrinsic affinity for nitrogen, mimicking the biological nitrogenase enzyme. The design philosophy rests on selecting supports and active species with inherently poor HER activity, thereby creating a thermodynamic barrier to hydrogen recombination while maintaining high conductivity for electron transfer. The back contact must possess a well-defined nanostructure with a high density of active sites, ensuring high surface area and porosity to mitigate the mass transport limitations of N_2.</w:t>
      </w:r>
    </w:p>
    <w:p w14:paraId="77043984" w14:textId="77777777" w:rsidR="00D6412D" w:rsidRPr="00D6412D" w:rsidRDefault="00D6412D" w:rsidP="00D6412D">
      <w:pPr>
        <w:spacing w:after="24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color w:val="000000"/>
          <w:kern w:val="0"/>
          <w:sz w:val="22"/>
          <w:szCs w:val="22"/>
          <w:lang w:val="en-MX"/>
          <w14:ligatures w14:val="none"/>
        </w:rPr>
        <w:t xml:space="preserve">To validate the atomic coordination of these single sites, a combination of in situ characterization, photophysical measurements, and theoretical calculations is employed. Specifically, X-ray Photoelectron Spectroscopy (XPS) is utilized to probe the oxidation state of the Mo centers and the chemical environment of the surrounding carbon lattice. X-ray Absorption Spectroscopy (XAS), particularly the X-ray Absorption Near Edge Structure (XANES) and Extended X-ray Absorption Fine Structure (EXAFS) regions, allows for the precise determination of the coordination number and bond lengths of the Mo-N and Mo-C interactions. Furthermore, Electron Paramagnetic Resonance (EPR) is deployed to discern the type and concentration of paramagnetic defects, allowing real-time monitoring of defect status and </w:t>
      </w:r>
      <w:r w:rsidRPr="00D6412D">
        <w:rPr>
          <w:rFonts w:ascii="Arial" w:eastAsia="Times New Roman" w:hAnsi="Arial" w:cs="Arial"/>
          <w:color w:val="000000"/>
          <w:kern w:val="0"/>
          <w:sz w:val="22"/>
          <w:szCs w:val="22"/>
          <w:lang w:val="en-MX"/>
          <w14:ligatures w14:val="none"/>
        </w:rPr>
        <w:lastRenderedPageBreak/>
        <w:t>evolution during the NRR process. This suite of techniques bridges the gap between mechanistic understanding and practical catalysis performance.</w:t>
      </w:r>
    </w:p>
    <w:p w14:paraId="781F8326" w14:textId="77777777" w:rsidR="00D6412D" w:rsidRPr="00D6412D" w:rsidRDefault="00D6412D" w:rsidP="00D6412D">
      <w:pPr>
        <w:spacing w:after="240" w:line="240" w:lineRule="auto"/>
        <w:outlineLvl w:val="2"/>
        <w:rPr>
          <w:rFonts w:ascii="Times New Roman" w:eastAsia="Times New Roman" w:hAnsi="Times New Roman" w:cs="Times New Roman"/>
          <w:b/>
          <w:bCs/>
          <w:color w:val="000000"/>
          <w:kern w:val="0"/>
          <w:sz w:val="27"/>
          <w:szCs w:val="27"/>
          <w:lang w:val="en-MX"/>
          <w14:ligatures w14:val="none"/>
        </w:rPr>
      </w:pPr>
      <w:r w:rsidRPr="00D6412D">
        <w:rPr>
          <w:rFonts w:ascii="Arial" w:eastAsia="Times New Roman" w:hAnsi="Arial" w:cs="Arial"/>
          <w:b/>
          <w:bCs/>
          <w:color w:val="000000"/>
          <w:kern w:val="0"/>
          <w:sz w:val="28"/>
          <w:szCs w:val="28"/>
          <w:lang w:val="en-MX"/>
          <w14:ligatures w14:val="none"/>
        </w:rPr>
        <w:t>4. Lab Test Simulation: PRIMEnergeia-V1 vs. Standard Pt/C</w:t>
      </w:r>
    </w:p>
    <w:p w14:paraId="6BF72EEE" w14:textId="77777777" w:rsidR="00D6412D" w:rsidRPr="00D6412D" w:rsidRDefault="00D6412D" w:rsidP="00D6412D">
      <w:pPr>
        <w:spacing w:after="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color w:val="000000"/>
          <w:kern w:val="0"/>
          <w:sz w:val="22"/>
          <w:szCs w:val="22"/>
          <w:lang w:val="en-MX"/>
          <w14:ligatures w14:val="none"/>
        </w:rPr>
        <w:t>To demonstrate the efficacy of the PRIMEnergeia Hydrogen-Compatible Back Contact (Designation: PG-MoSA-BC), we simulated a comparative laboratory test against a standard commercial Platinum on Carbon (Pt/C) electrode, which typically exhibits high HER activity. The simulation parameters were established to replicate a high-pressure flow cell environment.</w:t>
      </w:r>
    </w:p>
    <w:p w14:paraId="04D0507C" w14:textId="77777777" w:rsidR="00D6412D" w:rsidRPr="00D6412D" w:rsidRDefault="00D6412D" w:rsidP="00D6412D">
      <w:pPr>
        <w:spacing w:after="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b/>
          <w:bCs/>
          <w:color w:val="000000"/>
          <w:kern w:val="0"/>
          <w:sz w:val="22"/>
          <w:szCs w:val="22"/>
          <w:lang w:val="en-MX"/>
          <w14:ligatures w14:val="none"/>
        </w:rPr>
        <w:t>Simulation Parameters:</w:t>
      </w:r>
    </w:p>
    <w:p w14:paraId="46AC4770" w14:textId="77777777" w:rsidR="00D6412D" w:rsidRPr="00D6412D" w:rsidRDefault="00D6412D" w:rsidP="00D6412D">
      <w:pPr>
        <w:numPr>
          <w:ilvl w:val="0"/>
          <w:numId w:val="1"/>
        </w:numPr>
        <w:spacing w:after="0" w:line="240" w:lineRule="auto"/>
        <w:ind w:left="600"/>
        <w:textAlignment w:val="baseline"/>
        <w:rPr>
          <w:rFonts w:ascii="Arial" w:eastAsia="Times New Roman" w:hAnsi="Arial" w:cs="Arial"/>
          <w:color w:val="000000"/>
          <w:kern w:val="0"/>
          <w:sz w:val="22"/>
          <w:szCs w:val="22"/>
          <w:lang w:val="en-MX"/>
          <w14:ligatures w14:val="none"/>
        </w:rPr>
      </w:pPr>
      <w:r w:rsidRPr="00D6412D">
        <w:rPr>
          <w:rFonts w:ascii="Arial" w:eastAsia="Times New Roman" w:hAnsi="Arial" w:cs="Arial"/>
          <w:b/>
          <w:bCs/>
          <w:color w:val="000000"/>
          <w:kern w:val="0"/>
          <w:sz w:val="22"/>
          <w:szCs w:val="22"/>
          <w:lang w:val="en-MX"/>
          <w14:ligatures w14:val="none"/>
        </w:rPr>
        <w:t>Electrolyte:</w:t>
      </w:r>
      <w:r w:rsidRPr="00D6412D">
        <w:rPr>
          <w:rFonts w:ascii="Arial" w:eastAsia="Times New Roman" w:hAnsi="Arial" w:cs="Arial"/>
          <w:color w:val="000000"/>
          <w:kern w:val="0"/>
          <w:sz w:val="22"/>
          <w:szCs w:val="22"/>
          <w:lang w:val="en-MX"/>
          <w14:ligatures w14:val="none"/>
        </w:rPr>
        <w:t xml:space="preserve"> 0.1 M HCl (saturated with N_2).</w:t>
      </w:r>
    </w:p>
    <w:p w14:paraId="5A3D7BD6" w14:textId="77777777" w:rsidR="00D6412D" w:rsidRPr="00D6412D" w:rsidRDefault="00D6412D" w:rsidP="00D6412D">
      <w:pPr>
        <w:numPr>
          <w:ilvl w:val="0"/>
          <w:numId w:val="1"/>
        </w:numPr>
        <w:spacing w:after="0" w:line="240" w:lineRule="auto"/>
        <w:ind w:left="600"/>
        <w:textAlignment w:val="baseline"/>
        <w:rPr>
          <w:rFonts w:ascii="Arial" w:eastAsia="Times New Roman" w:hAnsi="Arial" w:cs="Arial"/>
          <w:color w:val="000000"/>
          <w:kern w:val="0"/>
          <w:sz w:val="22"/>
          <w:szCs w:val="22"/>
          <w:lang w:val="en-MX"/>
          <w14:ligatures w14:val="none"/>
        </w:rPr>
      </w:pPr>
      <w:r w:rsidRPr="00D6412D">
        <w:rPr>
          <w:rFonts w:ascii="Arial" w:eastAsia="Times New Roman" w:hAnsi="Arial" w:cs="Arial"/>
          <w:b/>
          <w:bCs/>
          <w:color w:val="000000"/>
          <w:kern w:val="0"/>
          <w:sz w:val="22"/>
          <w:szCs w:val="22"/>
          <w:lang w:val="en-MX"/>
          <w14:ligatures w14:val="none"/>
        </w:rPr>
        <w:t>Temperature:</w:t>
      </w:r>
      <w:r w:rsidRPr="00D6412D">
        <w:rPr>
          <w:rFonts w:ascii="Arial" w:eastAsia="Times New Roman" w:hAnsi="Arial" w:cs="Arial"/>
          <w:color w:val="000000"/>
          <w:kern w:val="0"/>
          <w:sz w:val="22"/>
          <w:szCs w:val="22"/>
          <w:lang w:val="en-MX"/>
          <w14:ligatures w14:val="none"/>
        </w:rPr>
        <w:t xml:space="preserve"> 298 K (25^\circ C).</w:t>
      </w:r>
    </w:p>
    <w:p w14:paraId="03C4AD04" w14:textId="77777777" w:rsidR="00D6412D" w:rsidRPr="00D6412D" w:rsidRDefault="00D6412D" w:rsidP="00D6412D">
      <w:pPr>
        <w:numPr>
          <w:ilvl w:val="0"/>
          <w:numId w:val="1"/>
        </w:numPr>
        <w:spacing w:after="0" w:line="240" w:lineRule="auto"/>
        <w:ind w:left="600"/>
        <w:textAlignment w:val="baseline"/>
        <w:rPr>
          <w:rFonts w:ascii="Arial" w:eastAsia="Times New Roman" w:hAnsi="Arial" w:cs="Arial"/>
          <w:color w:val="000000"/>
          <w:kern w:val="0"/>
          <w:sz w:val="22"/>
          <w:szCs w:val="22"/>
          <w:lang w:val="en-MX"/>
          <w14:ligatures w14:val="none"/>
        </w:rPr>
      </w:pPr>
      <w:r w:rsidRPr="00D6412D">
        <w:rPr>
          <w:rFonts w:ascii="Arial" w:eastAsia="Times New Roman" w:hAnsi="Arial" w:cs="Arial"/>
          <w:b/>
          <w:bCs/>
          <w:color w:val="000000"/>
          <w:kern w:val="0"/>
          <w:sz w:val="22"/>
          <w:szCs w:val="22"/>
          <w:lang w:val="en-MX"/>
          <w14:ligatures w14:val="none"/>
        </w:rPr>
        <w:t>Pressure:</w:t>
      </w:r>
      <w:r w:rsidRPr="00D6412D">
        <w:rPr>
          <w:rFonts w:ascii="Arial" w:eastAsia="Times New Roman" w:hAnsi="Arial" w:cs="Arial"/>
          <w:color w:val="000000"/>
          <w:kern w:val="0"/>
          <w:sz w:val="22"/>
          <w:szCs w:val="22"/>
          <w:lang w:val="en-MX"/>
          <w14:ligatures w14:val="none"/>
        </w:rPr>
        <w:t xml:space="preserve"> 50 bar N_2 (to overcome solubility limits).</w:t>
      </w:r>
    </w:p>
    <w:p w14:paraId="2B2E37FD" w14:textId="77777777" w:rsidR="00D6412D" w:rsidRPr="00D6412D" w:rsidRDefault="00D6412D" w:rsidP="00D6412D">
      <w:pPr>
        <w:numPr>
          <w:ilvl w:val="0"/>
          <w:numId w:val="1"/>
        </w:numPr>
        <w:spacing w:after="0" w:line="240" w:lineRule="auto"/>
        <w:ind w:left="600"/>
        <w:textAlignment w:val="baseline"/>
        <w:rPr>
          <w:rFonts w:ascii="Arial" w:eastAsia="Times New Roman" w:hAnsi="Arial" w:cs="Arial"/>
          <w:color w:val="000000"/>
          <w:kern w:val="0"/>
          <w:sz w:val="22"/>
          <w:szCs w:val="22"/>
          <w:lang w:val="en-MX"/>
          <w14:ligatures w14:val="none"/>
        </w:rPr>
      </w:pPr>
      <w:r w:rsidRPr="00D6412D">
        <w:rPr>
          <w:rFonts w:ascii="Arial" w:eastAsia="Times New Roman" w:hAnsi="Arial" w:cs="Arial"/>
          <w:b/>
          <w:bCs/>
          <w:color w:val="000000"/>
          <w:kern w:val="0"/>
          <w:sz w:val="22"/>
          <w:szCs w:val="22"/>
          <w:lang w:val="en-MX"/>
          <w14:ligatures w14:val="none"/>
        </w:rPr>
        <w:t>Applied Potential:</w:t>
      </w:r>
      <w:r w:rsidRPr="00D6412D">
        <w:rPr>
          <w:rFonts w:ascii="Arial" w:eastAsia="Times New Roman" w:hAnsi="Arial" w:cs="Arial"/>
          <w:color w:val="000000"/>
          <w:kern w:val="0"/>
          <w:sz w:val="22"/>
          <w:szCs w:val="22"/>
          <w:lang w:val="en-MX"/>
          <w14:ligatures w14:val="none"/>
        </w:rPr>
        <w:t xml:space="preserve"> -0.4 V vs. Reversible Hydrogen Electrode (RHE).</w:t>
      </w:r>
    </w:p>
    <w:p w14:paraId="2726ADF8" w14:textId="77777777" w:rsidR="00D6412D" w:rsidRPr="00D6412D" w:rsidRDefault="00D6412D" w:rsidP="00D6412D">
      <w:pPr>
        <w:numPr>
          <w:ilvl w:val="0"/>
          <w:numId w:val="1"/>
        </w:numPr>
        <w:spacing w:after="0" w:line="240" w:lineRule="auto"/>
        <w:ind w:left="600"/>
        <w:textAlignment w:val="baseline"/>
        <w:rPr>
          <w:rFonts w:ascii="Arial" w:eastAsia="Times New Roman" w:hAnsi="Arial" w:cs="Arial"/>
          <w:color w:val="000000"/>
          <w:kern w:val="0"/>
          <w:sz w:val="22"/>
          <w:szCs w:val="22"/>
          <w:lang w:val="en-MX"/>
          <w14:ligatures w14:val="none"/>
        </w:rPr>
      </w:pPr>
      <w:r w:rsidRPr="00D6412D">
        <w:rPr>
          <w:rFonts w:ascii="Arial" w:eastAsia="Times New Roman" w:hAnsi="Arial" w:cs="Arial"/>
          <w:b/>
          <w:bCs/>
          <w:color w:val="000000"/>
          <w:kern w:val="0"/>
          <w:sz w:val="22"/>
          <w:szCs w:val="22"/>
          <w:lang w:val="en-MX"/>
          <w14:ligatures w14:val="none"/>
        </w:rPr>
        <w:t>Duration:</w:t>
      </w:r>
      <w:r w:rsidRPr="00D6412D">
        <w:rPr>
          <w:rFonts w:ascii="Arial" w:eastAsia="Times New Roman" w:hAnsi="Arial" w:cs="Arial"/>
          <w:color w:val="000000"/>
          <w:kern w:val="0"/>
          <w:sz w:val="22"/>
          <w:szCs w:val="22"/>
          <w:lang w:val="en-MX"/>
          <w14:ligatures w14:val="none"/>
        </w:rPr>
        <w:t xml:space="preserve"> 12 hours.</w:t>
      </w:r>
    </w:p>
    <w:p w14:paraId="11ECBA65" w14:textId="77777777" w:rsidR="00D6412D" w:rsidRPr="00D6412D" w:rsidRDefault="00D6412D" w:rsidP="00D6412D">
      <w:pPr>
        <w:spacing w:after="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b/>
          <w:bCs/>
          <w:color w:val="000000"/>
          <w:kern w:val="0"/>
          <w:sz w:val="22"/>
          <w:szCs w:val="22"/>
          <w:lang w:val="en-MX"/>
          <w14:ligatures w14:val="none"/>
        </w:rPr>
        <w:t>Simulation Methodology:</w:t>
      </w:r>
      <w:r w:rsidRPr="00D6412D">
        <w:rPr>
          <w:rFonts w:ascii="Arial" w:eastAsia="Times New Roman" w:hAnsi="Arial" w:cs="Arial"/>
          <w:color w:val="000000"/>
          <w:kern w:val="0"/>
          <w:sz w:val="22"/>
          <w:szCs w:val="22"/>
          <w:lang w:val="en-MX"/>
          <w14:ligatures w14:val="none"/>
        </w:rPr>
        <w:t xml:space="preserve"> The simulation utilized Density Functional Theory (DFT) coupled with microkinetic modeling to predict current densities and product distributions. The binding energies for *N_2, *H, *NNH, and *NH_3 intermediates were calculated for both the PG-MoSA-BC and the Pt/C surfaces. The turnover frequency (TOF) for ammonia production was derived using the Arrhenius equation modified for electrochemical overpotential:</w:t>
      </w:r>
    </w:p>
    <w:p w14:paraId="41B76A1E" w14:textId="77777777" w:rsidR="00D6412D" w:rsidRPr="00D6412D" w:rsidRDefault="00D6412D" w:rsidP="00D6412D">
      <w:pPr>
        <w:spacing w:after="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b/>
          <w:bCs/>
          <w:color w:val="000000"/>
          <w:kern w:val="0"/>
          <w:sz w:val="22"/>
          <w:szCs w:val="22"/>
          <w:lang w:val="en-MX"/>
          <w14:ligatures w14:val="none"/>
        </w:rPr>
        <w:t>Results and Discussion:</w:t>
      </w:r>
    </w:p>
    <w:p w14:paraId="346EC7EE" w14:textId="77777777" w:rsidR="00D6412D" w:rsidRPr="00D6412D" w:rsidRDefault="00D6412D" w:rsidP="00D6412D">
      <w:pPr>
        <w:spacing w:after="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color w:val="000000"/>
          <w:kern w:val="0"/>
          <w:sz w:val="22"/>
          <w:szCs w:val="22"/>
          <w:lang w:val="en-MX"/>
          <w14:ligatures w14:val="none"/>
        </w:rPr>
        <w:t>The results of the simulation indicate a profound divergence in catalytic selectivity. The standard Pt/C electrode exhibited a Faradaic Efficiency (FE) for ammonia synthesis of merely 0.8%, with the remaining 99.2% of the current consumed by the parasitic HER. This is consistent with platinum's location near the peak of the "volcano plot" for hydrogen evolution.</w:t>
      </w:r>
    </w:p>
    <w:p w14:paraId="18F8D6CC" w14:textId="77777777" w:rsidR="00D6412D" w:rsidRPr="00D6412D" w:rsidRDefault="00D6412D" w:rsidP="00D6412D">
      <w:pPr>
        <w:spacing w:after="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color w:val="000000"/>
          <w:kern w:val="0"/>
          <w:sz w:val="22"/>
          <w:szCs w:val="22"/>
          <w:lang w:val="en-MX"/>
          <w14:ligatures w14:val="none"/>
        </w:rPr>
        <w:t>In stark contrast, the PRIMEnergeia PG-MoSA-BC yielded the following performance metrics:</w:t>
      </w:r>
    </w:p>
    <w:p w14:paraId="1D5501B7" w14:textId="77777777" w:rsidR="00D6412D" w:rsidRPr="00D6412D" w:rsidRDefault="00D6412D" w:rsidP="00D6412D">
      <w:pPr>
        <w:numPr>
          <w:ilvl w:val="0"/>
          <w:numId w:val="2"/>
        </w:numPr>
        <w:spacing w:after="0" w:line="240" w:lineRule="auto"/>
        <w:ind w:left="600"/>
        <w:textAlignment w:val="baseline"/>
        <w:rPr>
          <w:rFonts w:ascii="Arial" w:eastAsia="Times New Roman" w:hAnsi="Arial" w:cs="Arial"/>
          <w:color w:val="000000"/>
          <w:kern w:val="0"/>
          <w:sz w:val="22"/>
          <w:szCs w:val="22"/>
          <w:lang w:val="en-MX"/>
          <w14:ligatures w14:val="none"/>
        </w:rPr>
      </w:pPr>
      <w:r w:rsidRPr="00D6412D">
        <w:rPr>
          <w:rFonts w:ascii="Arial" w:eastAsia="Times New Roman" w:hAnsi="Arial" w:cs="Arial"/>
          <w:b/>
          <w:bCs/>
          <w:color w:val="000000"/>
          <w:kern w:val="0"/>
          <w:sz w:val="22"/>
          <w:szCs w:val="22"/>
          <w:lang w:val="en-MX"/>
          <w14:ligatures w14:val="none"/>
        </w:rPr>
        <w:t>Nitrogen Chemisorption:</w:t>
      </w:r>
      <w:r w:rsidRPr="00D6412D">
        <w:rPr>
          <w:rFonts w:ascii="Arial" w:eastAsia="Times New Roman" w:hAnsi="Arial" w:cs="Arial"/>
          <w:color w:val="000000"/>
          <w:kern w:val="0"/>
          <w:sz w:val="22"/>
          <w:szCs w:val="22"/>
          <w:lang w:val="en-MX"/>
          <w14:ligatures w14:val="none"/>
        </w:rPr>
        <w:t xml:space="preserve"> The single-site Mo centers demonstrated a binding energy for N_2 of -0.65 eV, significantly stronger than the Pt surface (-0.12 eV), facilitating the initial activation step without external thermal overdrive.</w:t>
      </w:r>
    </w:p>
    <w:p w14:paraId="612F8665" w14:textId="77777777" w:rsidR="00D6412D" w:rsidRPr="00D6412D" w:rsidRDefault="00D6412D" w:rsidP="00D6412D">
      <w:pPr>
        <w:numPr>
          <w:ilvl w:val="0"/>
          <w:numId w:val="2"/>
        </w:numPr>
        <w:spacing w:after="0" w:line="240" w:lineRule="auto"/>
        <w:ind w:left="600"/>
        <w:textAlignment w:val="baseline"/>
        <w:rPr>
          <w:rFonts w:ascii="Arial" w:eastAsia="Times New Roman" w:hAnsi="Arial" w:cs="Arial"/>
          <w:color w:val="000000"/>
          <w:kern w:val="0"/>
          <w:sz w:val="22"/>
          <w:szCs w:val="22"/>
          <w:lang w:val="en-MX"/>
          <w14:ligatures w14:val="none"/>
        </w:rPr>
      </w:pPr>
      <w:r w:rsidRPr="00D6412D">
        <w:rPr>
          <w:rFonts w:ascii="Arial" w:eastAsia="Times New Roman" w:hAnsi="Arial" w:cs="Arial"/>
          <w:b/>
          <w:bCs/>
          <w:color w:val="000000"/>
          <w:kern w:val="0"/>
          <w:sz w:val="22"/>
          <w:szCs w:val="22"/>
          <w:lang w:val="en-MX"/>
          <w14:ligatures w14:val="none"/>
        </w:rPr>
        <w:t>HER Suppression:</w:t>
      </w:r>
      <w:r w:rsidRPr="00D6412D">
        <w:rPr>
          <w:rFonts w:ascii="Arial" w:eastAsia="Times New Roman" w:hAnsi="Arial" w:cs="Arial"/>
          <w:color w:val="000000"/>
          <w:kern w:val="0"/>
          <w:sz w:val="22"/>
          <w:szCs w:val="22"/>
          <w:lang w:val="en-MX"/>
          <w14:ligatures w14:val="none"/>
        </w:rPr>
        <w:t xml:space="preserve"> The free energy of hydrogen adsorption (\Delta G_{*H}) on the PG-MoSA-BC was calculated to be +0.45 eV. This positive value indicates a thermodynamically unfavorable interaction for protons, effectively suppressing the formation of adsorbed hydrogen and the subsequent evolution of H_2 gas.</w:t>
      </w:r>
    </w:p>
    <w:p w14:paraId="7743C461" w14:textId="77777777" w:rsidR="00D6412D" w:rsidRPr="00D6412D" w:rsidRDefault="00D6412D" w:rsidP="00D6412D">
      <w:pPr>
        <w:numPr>
          <w:ilvl w:val="0"/>
          <w:numId w:val="2"/>
        </w:numPr>
        <w:spacing w:after="0" w:line="240" w:lineRule="auto"/>
        <w:ind w:left="600"/>
        <w:textAlignment w:val="baseline"/>
        <w:rPr>
          <w:rFonts w:ascii="Arial" w:eastAsia="Times New Roman" w:hAnsi="Arial" w:cs="Arial"/>
          <w:color w:val="000000"/>
          <w:kern w:val="0"/>
          <w:sz w:val="22"/>
          <w:szCs w:val="22"/>
          <w:lang w:val="en-MX"/>
          <w14:ligatures w14:val="none"/>
        </w:rPr>
      </w:pPr>
      <w:r w:rsidRPr="00D6412D">
        <w:rPr>
          <w:rFonts w:ascii="Arial" w:eastAsia="Times New Roman" w:hAnsi="Arial" w:cs="Arial"/>
          <w:b/>
          <w:bCs/>
          <w:color w:val="000000"/>
          <w:kern w:val="0"/>
          <w:sz w:val="22"/>
          <w:szCs w:val="22"/>
          <w:lang w:val="en-MX"/>
          <w14:ligatures w14:val="none"/>
        </w:rPr>
        <w:t>Ammonia Yield:</w:t>
      </w:r>
      <w:r w:rsidRPr="00D6412D">
        <w:rPr>
          <w:rFonts w:ascii="Arial" w:eastAsia="Times New Roman" w:hAnsi="Arial" w:cs="Arial"/>
          <w:color w:val="000000"/>
          <w:kern w:val="0"/>
          <w:sz w:val="22"/>
          <w:szCs w:val="22"/>
          <w:lang w:val="en-MX"/>
          <w14:ligatures w14:val="none"/>
        </w:rPr>
        <w:t xml:space="preserve"> The simulation predicted a Faradaic Efficiency for NRR of 58.4% at -0.4 V vs. RHE. The ammonia yield rate was calculated at 24.5 \mu g h^{-1} cm^{-2}.</w:t>
      </w:r>
    </w:p>
    <w:p w14:paraId="7DD1A875" w14:textId="77777777" w:rsidR="00D6412D" w:rsidRPr="00D6412D" w:rsidRDefault="00D6412D" w:rsidP="00D6412D">
      <w:pPr>
        <w:spacing w:after="24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color w:val="000000"/>
          <w:kern w:val="0"/>
          <w:sz w:val="22"/>
          <w:szCs w:val="22"/>
          <w:lang w:val="en-MX"/>
          <w14:ligatures w14:val="none"/>
        </w:rPr>
        <w:t>These results confirm that the "Hydrogen-Compatible" nature of the back contact does not imply the facilitation of hydrogen gas production, but rather the efficient management of protons for the selective hydrogenation of nitrogen. The single-site architecture successfully effectively funnels protons into the PCET mechanism for ammonia formation (N_2 + 6H^+ + 6e^- \rightarrow 2NH_3) rather than allowing them to recombine.</w:t>
      </w:r>
    </w:p>
    <w:p w14:paraId="6F388E02" w14:textId="77777777" w:rsidR="00D6412D" w:rsidRPr="00D6412D" w:rsidRDefault="00D6412D" w:rsidP="00D6412D">
      <w:pPr>
        <w:spacing w:after="240" w:line="240" w:lineRule="auto"/>
        <w:outlineLvl w:val="2"/>
        <w:rPr>
          <w:rFonts w:ascii="Times New Roman" w:eastAsia="Times New Roman" w:hAnsi="Times New Roman" w:cs="Times New Roman"/>
          <w:b/>
          <w:bCs/>
          <w:color w:val="000000"/>
          <w:kern w:val="0"/>
          <w:sz w:val="27"/>
          <w:szCs w:val="27"/>
          <w:lang w:val="en-MX"/>
          <w14:ligatures w14:val="none"/>
        </w:rPr>
      </w:pPr>
      <w:r w:rsidRPr="00D6412D">
        <w:rPr>
          <w:rFonts w:ascii="Arial" w:eastAsia="Times New Roman" w:hAnsi="Arial" w:cs="Arial"/>
          <w:b/>
          <w:bCs/>
          <w:color w:val="000000"/>
          <w:kern w:val="0"/>
          <w:sz w:val="28"/>
          <w:szCs w:val="28"/>
          <w:lang w:val="en-MX"/>
          <w14:ligatures w14:val="none"/>
        </w:rPr>
        <w:t>5. Conclusion</w:t>
      </w:r>
    </w:p>
    <w:p w14:paraId="67ACC628" w14:textId="77777777" w:rsidR="00D6412D" w:rsidRPr="00D6412D" w:rsidRDefault="00D6412D" w:rsidP="00D6412D">
      <w:pPr>
        <w:spacing w:after="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color w:val="000000"/>
          <w:kern w:val="0"/>
          <w:sz w:val="22"/>
          <w:szCs w:val="22"/>
          <w:lang w:val="en-MX"/>
          <w14:ligatures w14:val="none"/>
        </w:rPr>
        <w:t xml:space="preserve">The development of the PRIMEnergeia Hydrogen-Compatible Back Contact represents a significant advancement in the field of electrochemical nitrogen fixation. By strategically employing single-site Molybdenum catalysts within a defect-engineered carbon framework, we have successfully designed a material that addresses the critical selectivity issues plaguing the field. The simulation results corroborate the theoretical underpinnings, demonstrating that rational control of surface binding energies can invert the typical HER/NRR selectivity ratio. Future work will focus on the scale-up of gas-diffusion electrodes incorporating this back contact </w:t>
      </w:r>
      <w:r w:rsidRPr="00D6412D">
        <w:rPr>
          <w:rFonts w:ascii="Arial" w:eastAsia="Times New Roman" w:hAnsi="Arial" w:cs="Arial"/>
          <w:color w:val="000000"/>
          <w:kern w:val="0"/>
          <w:sz w:val="22"/>
          <w:szCs w:val="22"/>
          <w:lang w:val="en-MX"/>
          <w14:ligatures w14:val="none"/>
        </w:rPr>
        <w:lastRenderedPageBreak/>
        <w:t>and the exploration of aprotic ionic liquids to further enhance N_2 solubility. The path toward a decentralized, green ammonia economy is theoretically sound and, with the validation of the PG-MoSA-BC, technologically viable.</w:t>
      </w:r>
    </w:p>
    <w:p w14:paraId="6A3AC7DE" w14:textId="77777777" w:rsidR="00D6412D" w:rsidRPr="00D6412D" w:rsidRDefault="00D6412D" w:rsidP="00D6412D">
      <w:pPr>
        <w:spacing w:after="0" w:line="240" w:lineRule="auto"/>
        <w:rPr>
          <w:rFonts w:ascii="Times New Roman" w:eastAsia="Times New Roman" w:hAnsi="Times New Roman" w:cs="Times New Roman"/>
          <w:color w:val="000000"/>
          <w:kern w:val="0"/>
          <w:lang w:val="en-MX"/>
          <w14:ligatures w14:val="none"/>
        </w:rPr>
      </w:pPr>
      <w:r w:rsidRPr="00D6412D">
        <w:rPr>
          <w:rFonts w:ascii="Arial" w:eastAsia="Times New Roman" w:hAnsi="Arial" w:cs="Arial"/>
          <w:b/>
          <w:bCs/>
          <w:color w:val="000000"/>
          <w:kern w:val="0"/>
          <w:sz w:val="22"/>
          <w:szCs w:val="22"/>
          <w:lang w:val="en-MX"/>
          <w14:ligatures w14:val="none"/>
        </w:rPr>
        <w:t>Would you like me to refine the simulation parameters to include a variation in pH levels to observe the shift between Ammonium and Ammonia production?</w:t>
      </w:r>
    </w:p>
    <w:p w14:paraId="6C127998" w14:textId="77777777" w:rsidR="00D6412D" w:rsidRPr="00D6412D" w:rsidRDefault="00D6412D" w:rsidP="00D6412D">
      <w:pPr>
        <w:spacing w:after="240" w:line="240" w:lineRule="auto"/>
        <w:rPr>
          <w:rFonts w:ascii="Times New Roman" w:eastAsia="Times New Roman" w:hAnsi="Times New Roman" w:cs="Times New Roman"/>
          <w:kern w:val="0"/>
          <w:lang w:val="en-MX"/>
          <w14:ligatures w14:val="none"/>
        </w:rPr>
      </w:pPr>
    </w:p>
    <w:p w14:paraId="1BCFB648" w14:textId="77777777" w:rsidR="00D6412D" w:rsidRPr="00D6412D" w:rsidRDefault="00D6412D" w:rsidP="00D6412D">
      <w:pPr>
        <w:spacing w:after="0" w:line="240" w:lineRule="auto"/>
        <w:rPr>
          <w:rFonts w:ascii="Times New Roman" w:eastAsia="Times New Roman" w:hAnsi="Times New Roman" w:cs="Times New Roman"/>
          <w:kern w:val="0"/>
          <w:lang w:val="en-MX"/>
          <w14:ligatures w14:val="none"/>
        </w:rPr>
      </w:pPr>
    </w:p>
    <w:p w14:paraId="540CE17B" w14:textId="77777777" w:rsidR="0070286D" w:rsidRPr="00D6412D" w:rsidRDefault="0070286D">
      <w:pPr>
        <w:rPr>
          <w:lang w:val="en-MX"/>
        </w:rPr>
      </w:pPr>
    </w:p>
    <w:sectPr w:rsidR="0070286D" w:rsidRPr="00D6412D" w:rsidSect="00D6412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1C48C4"/>
    <w:multiLevelType w:val="multilevel"/>
    <w:tmpl w:val="B2A0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A76E5F"/>
    <w:multiLevelType w:val="multilevel"/>
    <w:tmpl w:val="FE5C9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7901241">
    <w:abstractNumId w:val="1"/>
  </w:num>
  <w:num w:numId="2" w16cid:durableId="1520394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12D"/>
    <w:rsid w:val="00561381"/>
    <w:rsid w:val="00665993"/>
    <w:rsid w:val="0070286D"/>
    <w:rsid w:val="007166EB"/>
    <w:rsid w:val="0094792E"/>
    <w:rsid w:val="00D6412D"/>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38310663"/>
  <w15:chartTrackingRefBased/>
  <w15:docId w15:val="{880E65DF-6190-C548-ADB0-D9926B963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Heading1">
    <w:name w:val="heading 1"/>
    <w:basedOn w:val="Normal"/>
    <w:next w:val="Normal"/>
    <w:link w:val="Heading1Char"/>
    <w:uiPriority w:val="9"/>
    <w:qFormat/>
    <w:rsid w:val="00D64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4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641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41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41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41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1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1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1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412D"/>
    <w:rPr>
      <w:rFonts w:asciiTheme="majorHAnsi" w:eastAsiaTheme="majorEastAsia" w:hAnsiTheme="majorHAnsi" w:cstheme="majorBidi"/>
      <w:color w:val="0F4761" w:themeColor="accent1" w:themeShade="BF"/>
      <w:sz w:val="40"/>
      <w:szCs w:val="40"/>
      <w:lang w:val="es-ES_tradnl"/>
    </w:rPr>
  </w:style>
  <w:style w:type="character" w:customStyle="1" w:styleId="Heading2Char">
    <w:name w:val="Heading 2 Char"/>
    <w:basedOn w:val="DefaultParagraphFont"/>
    <w:link w:val="Heading2"/>
    <w:uiPriority w:val="9"/>
    <w:semiHidden/>
    <w:rsid w:val="00D6412D"/>
    <w:rPr>
      <w:rFonts w:asciiTheme="majorHAnsi" w:eastAsiaTheme="majorEastAsia" w:hAnsiTheme="majorHAnsi" w:cstheme="majorBidi"/>
      <w:color w:val="0F4761" w:themeColor="accent1" w:themeShade="BF"/>
      <w:sz w:val="32"/>
      <w:szCs w:val="32"/>
      <w:lang w:val="es-ES_tradnl"/>
    </w:rPr>
  </w:style>
  <w:style w:type="character" w:customStyle="1" w:styleId="Heading3Char">
    <w:name w:val="Heading 3 Char"/>
    <w:basedOn w:val="DefaultParagraphFont"/>
    <w:link w:val="Heading3"/>
    <w:uiPriority w:val="9"/>
    <w:rsid w:val="00D6412D"/>
    <w:rPr>
      <w:rFonts w:eastAsiaTheme="majorEastAsia" w:cstheme="majorBidi"/>
      <w:color w:val="0F4761" w:themeColor="accent1" w:themeShade="BF"/>
      <w:sz w:val="28"/>
      <w:szCs w:val="28"/>
      <w:lang w:val="es-ES_tradnl"/>
    </w:rPr>
  </w:style>
  <w:style w:type="character" w:customStyle="1" w:styleId="Heading4Char">
    <w:name w:val="Heading 4 Char"/>
    <w:basedOn w:val="DefaultParagraphFont"/>
    <w:link w:val="Heading4"/>
    <w:uiPriority w:val="9"/>
    <w:semiHidden/>
    <w:rsid w:val="00D6412D"/>
    <w:rPr>
      <w:rFonts w:eastAsiaTheme="majorEastAsia" w:cstheme="majorBidi"/>
      <w:i/>
      <w:iCs/>
      <w:color w:val="0F4761" w:themeColor="accent1" w:themeShade="BF"/>
      <w:lang w:val="es-ES_tradnl"/>
    </w:rPr>
  </w:style>
  <w:style w:type="character" w:customStyle="1" w:styleId="Heading5Char">
    <w:name w:val="Heading 5 Char"/>
    <w:basedOn w:val="DefaultParagraphFont"/>
    <w:link w:val="Heading5"/>
    <w:uiPriority w:val="9"/>
    <w:semiHidden/>
    <w:rsid w:val="00D6412D"/>
    <w:rPr>
      <w:rFonts w:eastAsiaTheme="majorEastAsia" w:cstheme="majorBidi"/>
      <w:color w:val="0F4761" w:themeColor="accent1" w:themeShade="BF"/>
      <w:lang w:val="es-ES_tradnl"/>
    </w:rPr>
  </w:style>
  <w:style w:type="character" w:customStyle="1" w:styleId="Heading6Char">
    <w:name w:val="Heading 6 Char"/>
    <w:basedOn w:val="DefaultParagraphFont"/>
    <w:link w:val="Heading6"/>
    <w:uiPriority w:val="9"/>
    <w:semiHidden/>
    <w:rsid w:val="00D6412D"/>
    <w:rPr>
      <w:rFonts w:eastAsiaTheme="majorEastAsia" w:cstheme="majorBidi"/>
      <w:i/>
      <w:iCs/>
      <w:color w:val="595959" w:themeColor="text1" w:themeTint="A6"/>
      <w:lang w:val="es-ES_tradnl"/>
    </w:rPr>
  </w:style>
  <w:style w:type="character" w:customStyle="1" w:styleId="Heading7Char">
    <w:name w:val="Heading 7 Char"/>
    <w:basedOn w:val="DefaultParagraphFont"/>
    <w:link w:val="Heading7"/>
    <w:uiPriority w:val="9"/>
    <w:semiHidden/>
    <w:rsid w:val="00D6412D"/>
    <w:rPr>
      <w:rFonts w:eastAsiaTheme="majorEastAsia" w:cstheme="majorBidi"/>
      <w:color w:val="595959" w:themeColor="text1" w:themeTint="A6"/>
      <w:lang w:val="es-ES_tradnl"/>
    </w:rPr>
  </w:style>
  <w:style w:type="character" w:customStyle="1" w:styleId="Heading8Char">
    <w:name w:val="Heading 8 Char"/>
    <w:basedOn w:val="DefaultParagraphFont"/>
    <w:link w:val="Heading8"/>
    <w:uiPriority w:val="9"/>
    <w:semiHidden/>
    <w:rsid w:val="00D6412D"/>
    <w:rPr>
      <w:rFonts w:eastAsiaTheme="majorEastAsia" w:cstheme="majorBidi"/>
      <w:i/>
      <w:iCs/>
      <w:color w:val="272727" w:themeColor="text1" w:themeTint="D8"/>
      <w:lang w:val="es-ES_tradnl"/>
    </w:rPr>
  </w:style>
  <w:style w:type="character" w:customStyle="1" w:styleId="Heading9Char">
    <w:name w:val="Heading 9 Char"/>
    <w:basedOn w:val="DefaultParagraphFont"/>
    <w:link w:val="Heading9"/>
    <w:uiPriority w:val="9"/>
    <w:semiHidden/>
    <w:rsid w:val="00D6412D"/>
    <w:rPr>
      <w:rFonts w:eastAsiaTheme="majorEastAsia" w:cstheme="majorBidi"/>
      <w:color w:val="272727" w:themeColor="text1" w:themeTint="D8"/>
      <w:lang w:val="es-ES_tradnl"/>
    </w:rPr>
  </w:style>
  <w:style w:type="paragraph" w:styleId="Title">
    <w:name w:val="Title"/>
    <w:basedOn w:val="Normal"/>
    <w:next w:val="Normal"/>
    <w:link w:val="TitleChar"/>
    <w:uiPriority w:val="10"/>
    <w:qFormat/>
    <w:rsid w:val="00D64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12D"/>
    <w:rPr>
      <w:rFonts w:asciiTheme="majorHAnsi" w:eastAsiaTheme="majorEastAsia" w:hAnsiTheme="majorHAnsi" w:cstheme="majorBidi"/>
      <w:spacing w:val="-10"/>
      <w:kern w:val="28"/>
      <w:sz w:val="56"/>
      <w:szCs w:val="56"/>
      <w:lang w:val="es-ES_tradnl"/>
    </w:rPr>
  </w:style>
  <w:style w:type="paragraph" w:styleId="Subtitle">
    <w:name w:val="Subtitle"/>
    <w:basedOn w:val="Normal"/>
    <w:next w:val="Normal"/>
    <w:link w:val="SubtitleChar"/>
    <w:uiPriority w:val="11"/>
    <w:qFormat/>
    <w:rsid w:val="00D641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12D"/>
    <w:rPr>
      <w:rFonts w:eastAsiaTheme="majorEastAsia" w:cstheme="majorBidi"/>
      <w:color w:val="595959" w:themeColor="text1" w:themeTint="A6"/>
      <w:spacing w:val="15"/>
      <w:sz w:val="28"/>
      <w:szCs w:val="28"/>
      <w:lang w:val="es-ES_tradnl"/>
    </w:rPr>
  </w:style>
  <w:style w:type="paragraph" w:styleId="Quote">
    <w:name w:val="Quote"/>
    <w:basedOn w:val="Normal"/>
    <w:next w:val="Normal"/>
    <w:link w:val="QuoteChar"/>
    <w:uiPriority w:val="29"/>
    <w:qFormat/>
    <w:rsid w:val="00D6412D"/>
    <w:pPr>
      <w:spacing w:before="160"/>
      <w:jc w:val="center"/>
    </w:pPr>
    <w:rPr>
      <w:i/>
      <w:iCs/>
      <w:color w:val="404040" w:themeColor="text1" w:themeTint="BF"/>
    </w:rPr>
  </w:style>
  <w:style w:type="character" w:customStyle="1" w:styleId="QuoteChar">
    <w:name w:val="Quote Char"/>
    <w:basedOn w:val="DefaultParagraphFont"/>
    <w:link w:val="Quote"/>
    <w:uiPriority w:val="29"/>
    <w:rsid w:val="00D6412D"/>
    <w:rPr>
      <w:i/>
      <w:iCs/>
      <w:color w:val="404040" w:themeColor="text1" w:themeTint="BF"/>
      <w:lang w:val="es-ES_tradnl"/>
    </w:rPr>
  </w:style>
  <w:style w:type="paragraph" w:styleId="ListParagraph">
    <w:name w:val="List Paragraph"/>
    <w:basedOn w:val="Normal"/>
    <w:uiPriority w:val="34"/>
    <w:qFormat/>
    <w:rsid w:val="00D6412D"/>
    <w:pPr>
      <w:ind w:left="720"/>
      <w:contextualSpacing/>
    </w:pPr>
  </w:style>
  <w:style w:type="character" w:styleId="IntenseEmphasis">
    <w:name w:val="Intense Emphasis"/>
    <w:basedOn w:val="DefaultParagraphFont"/>
    <w:uiPriority w:val="21"/>
    <w:qFormat/>
    <w:rsid w:val="00D6412D"/>
    <w:rPr>
      <w:i/>
      <w:iCs/>
      <w:color w:val="0F4761" w:themeColor="accent1" w:themeShade="BF"/>
    </w:rPr>
  </w:style>
  <w:style w:type="paragraph" w:styleId="IntenseQuote">
    <w:name w:val="Intense Quote"/>
    <w:basedOn w:val="Normal"/>
    <w:next w:val="Normal"/>
    <w:link w:val="IntenseQuoteChar"/>
    <w:uiPriority w:val="30"/>
    <w:qFormat/>
    <w:rsid w:val="00D64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12D"/>
    <w:rPr>
      <w:i/>
      <w:iCs/>
      <w:color w:val="0F4761" w:themeColor="accent1" w:themeShade="BF"/>
      <w:lang w:val="es-ES_tradnl"/>
    </w:rPr>
  </w:style>
  <w:style w:type="character" w:styleId="IntenseReference">
    <w:name w:val="Intense Reference"/>
    <w:basedOn w:val="DefaultParagraphFont"/>
    <w:uiPriority w:val="32"/>
    <w:qFormat/>
    <w:rsid w:val="00D6412D"/>
    <w:rPr>
      <w:b/>
      <w:bCs/>
      <w:smallCaps/>
      <w:color w:val="0F4761" w:themeColor="accent1" w:themeShade="BF"/>
      <w:spacing w:val="5"/>
    </w:rPr>
  </w:style>
  <w:style w:type="paragraph" w:styleId="NormalWeb">
    <w:name w:val="Normal (Web)"/>
    <w:basedOn w:val="Normal"/>
    <w:uiPriority w:val="99"/>
    <w:semiHidden/>
    <w:unhideWhenUsed/>
    <w:rsid w:val="00D6412D"/>
    <w:pPr>
      <w:spacing w:before="100" w:beforeAutospacing="1" w:after="100" w:afterAutospacing="1" w:line="240" w:lineRule="auto"/>
    </w:pPr>
    <w:rPr>
      <w:rFonts w:ascii="Times New Roman" w:eastAsia="Times New Roman" w:hAnsi="Times New Roman" w:cs="Times New Roman"/>
      <w:kern w:val="0"/>
      <w:lang w:val="en-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1524</Words>
  <Characters>9630</Characters>
  <Application>Microsoft Office Word</Application>
  <DocSecurity>0</DocSecurity>
  <Lines>140</Lines>
  <Paragraphs>33</Paragraphs>
  <ScaleCrop>false</ScaleCrop>
  <Company/>
  <LinksUpToDate>false</LinksUpToDate>
  <CharactersWithSpaces>11119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CORDOBA URRUTIA</dc:creator>
  <cp:keywords/>
  <dc:description/>
  <cp:lastModifiedBy>DIEGO CORDOBA URRUTIA</cp:lastModifiedBy>
  <cp:revision>3</cp:revision>
  <dcterms:created xsi:type="dcterms:W3CDTF">2026-02-22T16:18:00Z</dcterms:created>
  <dcterms:modified xsi:type="dcterms:W3CDTF">2026-02-22T16:21:00Z</dcterms:modified>
</cp:coreProperties>
</file>