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D380" w14:textId="77777777" w:rsidR="008963CB" w:rsidRDefault="008963CB" w:rsidP="00E43137">
      <w:pPr>
        <w:jc w:val="left"/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</w:pPr>
      <w:r w:rsidRPr="008963CB"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  <w:t>Revisiting the innovation dynamics theory: How effectiveness- and efficiency-oriented process innovations accompany product innovations</w:t>
      </w:r>
    </w:p>
    <w:p w14:paraId="3FBA3033" w14:textId="77777777" w:rsidR="000951BB" w:rsidRDefault="008963CB" w:rsidP="008963CB">
      <w:pPr>
        <w:jc w:val="left"/>
      </w:pPr>
      <w:r>
        <w:t xml:space="preserve">Sven </w:t>
      </w:r>
      <w:proofErr w:type="spellStart"/>
      <w:r>
        <w:t>Wittfoth</w:t>
      </w:r>
      <w:proofErr w:type="spellEnd"/>
      <w:r>
        <w:t xml:space="preserve">, Theo Berger, Martin G. </w:t>
      </w:r>
      <w:proofErr w:type="spellStart"/>
      <w:r>
        <w:t>Moehrle</w:t>
      </w:r>
      <w:proofErr w:type="spellEnd"/>
      <w:r>
        <w:t>,</w:t>
      </w:r>
      <w:r w:rsidR="000951BB">
        <w:rPr>
          <w:rFonts w:hint="eastAsia"/>
        </w:rPr>
        <w:t xml:space="preserve"> </w:t>
      </w:r>
    </w:p>
    <w:p w14:paraId="498B0018" w14:textId="57D92055" w:rsidR="008963CB" w:rsidRDefault="008963CB" w:rsidP="008963CB">
      <w:pPr>
        <w:jc w:val="left"/>
      </w:pPr>
      <w:proofErr w:type="spellStart"/>
      <w:r>
        <w:t>Technovation</w:t>
      </w:r>
      <w:proofErr w:type="spellEnd"/>
      <w:r>
        <w:t>,</w:t>
      </w:r>
      <w:r>
        <w:rPr>
          <w:rFonts w:hint="eastAsia"/>
        </w:rPr>
        <w:t xml:space="preserve"> </w:t>
      </w:r>
      <w:r>
        <w:t>Volume 112,</w:t>
      </w:r>
      <w:r>
        <w:rPr>
          <w:rFonts w:hint="eastAsia"/>
        </w:rPr>
        <w:t xml:space="preserve"> </w:t>
      </w:r>
      <w:r>
        <w:t xml:space="preserve">2022. </w:t>
      </w:r>
    </w:p>
    <w:p w14:paraId="0E91F6AE" w14:textId="507A91F6" w:rsidR="008963CB" w:rsidRDefault="008B3EB6" w:rsidP="008963CB">
      <w:pPr>
        <w:spacing w:line="240" w:lineRule="auto"/>
        <w:jc w:val="right"/>
      </w:pPr>
      <w:hyperlink r:id="rId8" w:tgtFrame="_blank" w:tooltip="Persistent link using digital object identifier" w:history="1">
        <w:r w:rsidR="008963CB"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https://doi.org/10.1016/j.technovation.2021.102410</w:t>
        </w:r>
      </w:hyperlink>
    </w:p>
    <w:p w14:paraId="6A71D2E8" w14:textId="448A7407" w:rsidR="00850057" w:rsidRPr="00850057" w:rsidRDefault="002878DD" w:rsidP="000C3AC8">
      <w:pPr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TM, </w:t>
      </w:r>
      <w:r w:rsidR="00850057" w:rsidRPr="00850057">
        <w:rPr>
          <w:rFonts w:hint="eastAsia"/>
          <w:sz w:val="28"/>
          <w:szCs w:val="28"/>
        </w:rPr>
        <w:t>2</w:t>
      </w:r>
      <w:r w:rsidR="00850057" w:rsidRPr="00850057">
        <w:rPr>
          <w:sz w:val="28"/>
          <w:szCs w:val="28"/>
        </w:rPr>
        <w:t xml:space="preserve">0235575 </w:t>
      </w:r>
      <w:r w:rsidR="00850057" w:rsidRPr="00850057">
        <w:rPr>
          <w:rFonts w:hint="eastAsia"/>
          <w:sz w:val="28"/>
          <w:szCs w:val="28"/>
        </w:rPr>
        <w:t>안지석</w:t>
      </w:r>
    </w:p>
    <w:p w14:paraId="1B0CA48B" w14:textId="1304D4C9" w:rsidR="00F716AB" w:rsidRPr="000C3AC8" w:rsidRDefault="00C725D2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내용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F716AB"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요약</w:t>
      </w:r>
    </w:p>
    <w:p w14:paraId="4068213C" w14:textId="77777777" w:rsidR="007C0EBE" w:rsidRDefault="007C0EBE" w:rsidP="007C0EB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7C0EBE">
        <w:rPr>
          <w:rFonts w:ascii="Source Sans Pro" w:hAnsi="Source Sans Pro" w:hint="eastAsia"/>
          <w:color w:val="373A3C"/>
          <w:sz w:val="24"/>
          <w:szCs w:val="27"/>
        </w:rPr>
        <w:t>혁신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역학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이론에서는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기술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내에서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제품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혁신과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프로세스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혁신을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구별하여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시간이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지남에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따라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각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혁신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유형의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다양한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역학을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보여</w:t>
      </w:r>
      <w:r>
        <w:rPr>
          <w:rFonts w:ascii="Source Sans Pro" w:hAnsi="Source Sans Pro" w:hint="eastAsia"/>
          <w:color w:val="373A3C"/>
          <w:sz w:val="24"/>
          <w:szCs w:val="27"/>
        </w:rPr>
        <w:t>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42FBCC5B" w14:textId="643B5559" w:rsidR="007C0EBE" w:rsidRDefault="007C0EBE" w:rsidP="007C0EB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7C0EBE">
        <w:rPr>
          <w:rFonts w:ascii="Source Sans Pro" w:hAnsi="Source Sans Pro"/>
          <w:color w:val="373A3C"/>
          <w:sz w:val="24"/>
          <w:szCs w:val="27"/>
        </w:rPr>
        <w:t>본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논문에서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우리는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제품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및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프로세스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혁신을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특허의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특정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청구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범주로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운영화하고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특허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청구를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제품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및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프로세스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청구로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의미론적으로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분</w:t>
      </w:r>
      <w:r>
        <w:rPr>
          <w:rFonts w:ascii="Source Sans Pro" w:hAnsi="Source Sans Pro" w:hint="eastAsia"/>
          <w:color w:val="373A3C"/>
          <w:sz w:val="24"/>
          <w:szCs w:val="27"/>
        </w:rPr>
        <w:t>류함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34612D2" w14:textId="4FE35085" w:rsidR="00FC5808" w:rsidRPr="00FC5808" w:rsidRDefault="00FC5808" w:rsidP="00FC5808">
      <w:pPr>
        <w:spacing w:line="240" w:lineRule="auto"/>
        <w:jc w:val="center"/>
        <w:rPr>
          <w:rFonts w:ascii="Source Sans Pro" w:hAnsi="Source Sans Pro"/>
          <w:color w:val="373A3C"/>
          <w:sz w:val="24"/>
          <w:szCs w:val="27"/>
        </w:rPr>
      </w:pPr>
      <w:r w:rsidRPr="008963CB">
        <w:rPr>
          <w:b/>
          <w:bCs/>
          <w:noProof/>
        </w:rPr>
        <w:drawing>
          <wp:inline distT="0" distB="0" distL="0" distR="0" wp14:anchorId="5E94D382" wp14:editId="0E83103A">
            <wp:extent cx="3840889" cy="2071935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470" cy="20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3A7C" w14:textId="64B8A783" w:rsidR="008963CB" w:rsidRDefault="007C0EBE" w:rsidP="007C0EB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7C0EBE">
        <w:rPr>
          <w:rFonts w:ascii="Source Sans Pro" w:hAnsi="Source Sans Pro"/>
          <w:color w:val="373A3C"/>
          <w:sz w:val="24"/>
          <w:szCs w:val="27"/>
        </w:rPr>
        <w:t>스토리지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기술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분야에서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유사한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특성을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가진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10</w:t>
      </w:r>
      <w:r w:rsidRPr="007C0EBE">
        <w:rPr>
          <w:rFonts w:ascii="Source Sans Pro" w:hAnsi="Source Sans Pro"/>
          <w:color w:val="373A3C"/>
          <w:sz w:val="24"/>
          <w:szCs w:val="27"/>
        </w:rPr>
        <w:t>가지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기술을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선택하고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패널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데이터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분석을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제시하여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그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역학에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대한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경험적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통찰력을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제공할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수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있을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뿐만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아니라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시계열을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설명된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단계에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연결</w:t>
      </w:r>
      <w:r w:rsidR="00A46935">
        <w:rPr>
          <w:rFonts w:ascii="Source Sans Pro" w:hAnsi="Source Sans Pro" w:hint="eastAsia"/>
          <w:color w:val="373A3C"/>
          <w:sz w:val="24"/>
          <w:szCs w:val="27"/>
        </w:rPr>
        <w:t>하여</w:t>
      </w:r>
      <w:r w:rsidR="00A46935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통계적으로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유의미한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방식으로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제품과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프로세스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청구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사이의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시간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>지연을</w:t>
      </w:r>
      <w:r w:rsidR="00A46935" w:rsidRPr="00A4693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6935">
        <w:rPr>
          <w:rFonts w:ascii="Source Sans Pro" w:hAnsi="Source Sans Pro" w:hint="eastAsia"/>
          <w:color w:val="373A3C"/>
          <w:sz w:val="24"/>
          <w:szCs w:val="27"/>
        </w:rPr>
        <w:t>확인함</w:t>
      </w:r>
      <w:r w:rsidR="00A46935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2274A334" w14:textId="4C310BEF" w:rsidR="008963CB" w:rsidRDefault="008963CB" w:rsidP="007C0EB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8963CB">
        <w:rPr>
          <w:rFonts w:ascii="Source Sans Pro" w:hAnsi="Source Sans Pro" w:hint="eastAsia"/>
          <w:color w:val="373A3C"/>
          <w:sz w:val="24"/>
          <w:szCs w:val="27"/>
        </w:rPr>
        <w:t>또한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8963CB">
        <w:rPr>
          <w:rFonts w:ascii="Source Sans Pro" w:hAnsi="Source Sans Pro"/>
          <w:color w:val="373A3C"/>
          <w:sz w:val="24"/>
          <w:szCs w:val="27"/>
        </w:rPr>
        <w:t>초기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제품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혁신에도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필요하기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때문에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비용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절감에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초점을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맞춘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효율성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중심의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프로세스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혁신과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함께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기술의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초기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단계에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효율성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중심의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프로세스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혁신이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도입된다는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것을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입증함으로써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지금까지의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기존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이론을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확</w:t>
      </w:r>
      <w:r w:rsidR="0094658C">
        <w:rPr>
          <w:rFonts w:ascii="Source Sans Pro" w:hAnsi="Source Sans Pro" w:hint="eastAsia"/>
          <w:color w:val="373A3C"/>
          <w:sz w:val="24"/>
          <w:szCs w:val="27"/>
        </w:rPr>
        <w:t>장</w:t>
      </w:r>
      <w:r w:rsidR="0094658C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653C58D4" w14:textId="77777777" w:rsidR="0019595A" w:rsidRDefault="007C0EBE" w:rsidP="0019595A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7C0EBE">
        <w:rPr>
          <w:rFonts w:ascii="Source Sans Pro" w:hAnsi="Source Sans Pro"/>
          <w:color w:val="373A3C"/>
          <w:sz w:val="24"/>
          <w:szCs w:val="27"/>
        </w:rPr>
        <w:lastRenderedPageBreak/>
        <w:t>연구자들에게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혁신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역학을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평가하고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예측할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수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있는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새로운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 w:hint="eastAsia"/>
          <w:color w:val="373A3C"/>
          <w:sz w:val="24"/>
          <w:szCs w:val="27"/>
        </w:rPr>
        <w:t>가능성을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제공</w:t>
      </w:r>
      <w:r w:rsidR="008963CB">
        <w:rPr>
          <w:rFonts w:ascii="Source Sans Pro" w:hAnsi="Source Sans Pro" w:hint="eastAsia"/>
          <w:color w:val="373A3C"/>
          <w:sz w:val="24"/>
          <w:szCs w:val="27"/>
        </w:rPr>
        <w:t>하며</w:t>
      </w:r>
      <w:r w:rsidR="008963CB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또한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이를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통해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관리자는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기술에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대한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초기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정보를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얻을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수</w:t>
      </w:r>
      <w:r w:rsidRPr="007C0E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C0EBE">
        <w:rPr>
          <w:rFonts w:ascii="Source Sans Pro" w:hAnsi="Source Sans Pro"/>
          <w:color w:val="373A3C"/>
          <w:sz w:val="24"/>
          <w:szCs w:val="27"/>
        </w:rPr>
        <w:t>있</w:t>
      </w:r>
      <w:r w:rsidR="008963CB">
        <w:rPr>
          <w:rFonts w:ascii="Source Sans Pro" w:hAnsi="Source Sans Pro" w:hint="eastAsia"/>
          <w:color w:val="373A3C"/>
          <w:sz w:val="24"/>
          <w:szCs w:val="27"/>
        </w:rPr>
        <w:t>음</w:t>
      </w:r>
      <w:r w:rsidR="008963CB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4F017542" w14:textId="77777777" w:rsidR="0019595A" w:rsidRDefault="0019595A" w:rsidP="0019595A">
      <w:pPr>
        <w:pStyle w:val="a3"/>
        <w:spacing w:line="240" w:lineRule="auto"/>
        <w:ind w:leftChars="0" w:left="760"/>
        <w:rPr>
          <w:rFonts w:ascii="Source Sans Pro" w:hAnsi="Source Sans Pro"/>
          <w:color w:val="373A3C"/>
          <w:sz w:val="24"/>
          <w:szCs w:val="27"/>
        </w:rPr>
      </w:pPr>
    </w:p>
    <w:p w14:paraId="4E0AF53E" w14:textId="5728B054" w:rsidR="0019595A" w:rsidRPr="0019595A" w:rsidRDefault="0019595A" w:rsidP="0019595A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  <w:r w:rsidRPr="0019595A">
        <w:rPr>
          <w:rFonts w:ascii="Source Sans Pro" w:hAnsi="Source Sans Pro" w:hint="eastAsia"/>
          <w:b/>
          <w:bCs/>
          <w:color w:val="373A3C"/>
          <w:sz w:val="24"/>
          <w:szCs w:val="27"/>
        </w:rPr>
        <w:t>방법론</w:t>
      </w:r>
    </w:p>
    <w:p w14:paraId="64228CA4" w14:textId="6A0FB83A" w:rsidR="00A902C6" w:rsidRDefault="00A902C6" w:rsidP="0019595A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A902C6">
        <w:rPr>
          <w:rFonts w:ascii="Source Sans Pro" w:hAnsi="Source Sans Pro"/>
          <w:color w:val="373A3C"/>
          <w:sz w:val="24"/>
          <w:szCs w:val="27"/>
        </w:rPr>
        <w:t>표시된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특허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데이터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세트</w:t>
      </w:r>
      <w:r w:rsidR="000951BB">
        <w:rPr>
          <w:rFonts w:ascii="Source Sans Pro" w:hAnsi="Source Sans Pro" w:hint="eastAsia"/>
          <w:color w:val="373A3C"/>
          <w:sz w:val="24"/>
          <w:szCs w:val="27"/>
        </w:rPr>
        <w:t>를</w:t>
      </w:r>
      <w:r w:rsidR="000951BB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951BB">
        <w:rPr>
          <w:rFonts w:ascii="Source Sans Pro" w:hAnsi="Source Sans Pro" w:hint="eastAsia"/>
          <w:color w:val="373A3C"/>
          <w:sz w:val="24"/>
          <w:szCs w:val="27"/>
        </w:rPr>
        <w:t>활용하여</w:t>
      </w:r>
      <w:r w:rsidR="000951BB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특허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청구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A902C6">
        <w:rPr>
          <w:rFonts w:ascii="Source Sans Pro" w:hAnsi="Source Sans Pro"/>
          <w:color w:val="373A3C"/>
          <w:sz w:val="24"/>
          <w:szCs w:val="27"/>
        </w:rPr>
        <w:t>변수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추출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및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proofErr w:type="spellStart"/>
      <w:r w:rsidRPr="00A902C6">
        <w:rPr>
          <w:rFonts w:ascii="Source Sans Pro" w:hAnsi="Source Sans Pro"/>
          <w:color w:val="373A3C"/>
          <w:sz w:val="24"/>
          <w:szCs w:val="27"/>
        </w:rPr>
        <w:t>풀링된</w:t>
      </w:r>
      <w:proofErr w:type="spellEnd"/>
      <w:r w:rsidRPr="00A902C6">
        <w:rPr>
          <w:rFonts w:ascii="Source Sans Pro" w:hAnsi="Source Sans Pro"/>
          <w:color w:val="373A3C"/>
          <w:sz w:val="24"/>
          <w:szCs w:val="27"/>
        </w:rPr>
        <w:t xml:space="preserve"> OLS</w:t>
      </w:r>
      <w:r w:rsidRPr="00A902C6">
        <w:rPr>
          <w:rFonts w:ascii="Source Sans Pro" w:hAnsi="Source Sans Pro"/>
          <w:color w:val="373A3C"/>
          <w:sz w:val="24"/>
          <w:szCs w:val="27"/>
        </w:rPr>
        <w:t>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가지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주요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단계를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적용하여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제품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및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프로세스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청구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간의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시간적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관계를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강조하는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결과를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개발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 w:rsidRPr="00A902C6">
        <w:rPr>
          <w:rFonts w:ascii="Source Sans Pro" w:hAnsi="Source Sans Pro"/>
          <w:color w:val="373A3C"/>
          <w:sz w:val="24"/>
          <w:szCs w:val="27"/>
        </w:rPr>
        <w:t>(</w:t>
      </w:r>
      <w:r w:rsidRPr="00A902C6">
        <w:rPr>
          <w:rFonts w:ascii="Source Sans Pro" w:hAnsi="Source Sans Pro"/>
          <w:color w:val="373A3C"/>
          <w:sz w:val="24"/>
          <w:szCs w:val="27"/>
        </w:rPr>
        <w:t>그림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5 </w:t>
      </w:r>
      <w:r w:rsidRPr="00A902C6">
        <w:rPr>
          <w:rFonts w:ascii="Source Sans Pro" w:hAnsi="Source Sans Pro"/>
          <w:color w:val="373A3C"/>
          <w:sz w:val="24"/>
          <w:szCs w:val="27"/>
        </w:rPr>
        <w:t>참조</w:t>
      </w:r>
      <w:r w:rsidRPr="00A902C6">
        <w:rPr>
          <w:rFonts w:ascii="Source Sans Pro" w:hAnsi="Source Sans Pro"/>
          <w:color w:val="373A3C"/>
          <w:sz w:val="24"/>
          <w:szCs w:val="27"/>
        </w:rPr>
        <w:t>).</w:t>
      </w:r>
    </w:p>
    <w:p w14:paraId="7FAC982C" w14:textId="77777777" w:rsidR="00A902C6" w:rsidRDefault="00A902C6" w:rsidP="00A902C6">
      <w:pPr>
        <w:pStyle w:val="a3"/>
        <w:spacing w:line="240" w:lineRule="auto"/>
        <w:ind w:leftChars="0" w:left="760"/>
        <w:rPr>
          <w:rFonts w:ascii="Source Sans Pro" w:hAnsi="Source Sans Pro"/>
          <w:color w:val="373A3C"/>
          <w:sz w:val="24"/>
          <w:szCs w:val="27"/>
        </w:rPr>
      </w:pPr>
      <w:r w:rsidRPr="00A902C6">
        <w:rPr>
          <w:rFonts w:ascii="Source Sans Pro" w:hAnsi="Source Sans Pro"/>
          <w:noProof/>
          <w:color w:val="373A3C"/>
          <w:sz w:val="24"/>
          <w:szCs w:val="27"/>
        </w:rPr>
        <w:drawing>
          <wp:inline distT="0" distB="0" distL="0" distR="0" wp14:anchorId="78DAC945" wp14:editId="73D2D891">
            <wp:extent cx="4873276" cy="3346988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987" cy="33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3E8AD61A" w14:textId="330579FE" w:rsidR="00A902C6" w:rsidRDefault="00A902C6" w:rsidP="00A902C6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A902C6">
        <w:rPr>
          <w:rFonts w:ascii="Source Sans Pro" w:hAnsi="Source Sans Pro"/>
          <w:color w:val="373A3C"/>
          <w:sz w:val="24"/>
          <w:szCs w:val="27"/>
        </w:rPr>
        <w:t>첫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번째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단계에서는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제품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및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제조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공정에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대한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청구항을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식별하고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다른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특허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범주와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구분하기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위해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청구항을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4</w:t>
      </w:r>
      <w:r w:rsidRPr="00A902C6">
        <w:rPr>
          <w:rFonts w:ascii="Source Sans Pro" w:hAnsi="Source Sans Pro"/>
          <w:color w:val="373A3C"/>
          <w:sz w:val="24"/>
          <w:szCs w:val="27"/>
        </w:rPr>
        <w:t>가지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청구항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범주로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분류</w:t>
      </w:r>
      <w:r>
        <w:rPr>
          <w:rFonts w:ascii="Source Sans Pro" w:hAnsi="Source Sans Pro" w:hint="eastAsia"/>
          <w:color w:val="373A3C"/>
          <w:sz w:val="24"/>
          <w:szCs w:val="27"/>
        </w:rPr>
        <w:t>하여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각각의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독립적인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특허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청구를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분석한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후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분류를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진행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0994F9E0" w14:textId="7D352CF6" w:rsidR="0019595A" w:rsidRPr="00A902C6" w:rsidRDefault="00A902C6" w:rsidP="00A902C6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A902C6">
        <w:rPr>
          <w:rFonts w:ascii="Source Sans Pro" w:hAnsi="Source Sans Pro"/>
          <w:color w:val="373A3C"/>
          <w:sz w:val="24"/>
          <w:szCs w:val="27"/>
        </w:rPr>
        <w:t>모든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종속항은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해당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독립항의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카테고리를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상속</w:t>
      </w:r>
      <w:r>
        <w:rPr>
          <w:rFonts w:ascii="Source Sans Pro" w:hAnsi="Source Sans Pro" w:hint="eastAsia"/>
          <w:color w:val="373A3C"/>
          <w:sz w:val="24"/>
          <w:szCs w:val="27"/>
        </w:rPr>
        <w:t>하고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두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번째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단계에서는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이전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단계에서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수행된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분류에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따라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관련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변수를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정의하고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추출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번째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단계에서는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proofErr w:type="spellStart"/>
      <w:r w:rsidRPr="00A902C6">
        <w:rPr>
          <w:rFonts w:ascii="Source Sans Pro" w:hAnsi="Source Sans Pro"/>
          <w:color w:val="373A3C"/>
          <w:sz w:val="24"/>
          <w:szCs w:val="27"/>
        </w:rPr>
        <w:t>풀링된</w:t>
      </w:r>
      <w:proofErr w:type="spellEnd"/>
      <w:r w:rsidRPr="00A902C6">
        <w:rPr>
          <w:rFonts w:ascii="Source Sans Pro" w:hAnsi="Source Sans Pro"/>
          <w:color w:val="373A3C"/>
          <w:sz w:val="24"/>
          <w:szCs w:val="27"/>
        </w:rPr>
        <w:t xml:space="preserve"> OLS </w:t>
      </w:r>
      <w:r w:rsidRPr="00A902C6">
        <w:rPr>
          <w:rFonts w:ascii="Source Sans Pro" w:hAnsi="Source Sans Pro"/>
          <w:color w:val="373A3C"/>
          <w:sz w:val="24"/>
          <w:szCs w:val="27"/>
        </w:rPr>
        <w:t>측면에서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패널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데이터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분석을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적용하여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제품과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제조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프로세스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주장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간의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시간적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관계를</w:t>
      </w:r>
      <w:r w:rsidRPr="00A902C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902C6">
        <w:rPr>
          <w:rFonts w:ascii="Source Sans Pro" w:hAnsi="Source Sans Pro"/>
          <w:color w:val="373A3C"/>
          <w:sz w:val="24"/>
          <w:szCs w:val="27"/>
        </w:rPr>
        <w:t>분석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261407AB" w14:textId="5BD3B7B4" w:rsidR="0019595A" w:rsidRPr="0019595A" w:rsidRDefault="0019595A" w:rsidP="0019595A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</w:p>
    <w:p w14:paraId="0E439704" w14:textId="77777777" w:rsidR="0019595A" w:rsidRDefault="0019595A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13CD9FE1" w14:textId="30E2F7A7" w:rsidR="00F716AB" w:rsidRPr="000C3AC8" w:rsidRDefault="007C0EBE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lastRenderedPageBreak/>
        <w:t>결론</w:t>
      </w:r>
    </w:p>
    <w:p w14:paraId="1217051C" w14:textId="77777777" w:rsidR="008963CB" w:rsidRPr="008963CB" w:rsidRDefault="008963CB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논문</w:t>
      </w:r>
      <w:r>
        <w:rPr>
          <w:rFonts w:ascii="Source Sans Pro" w:hAnsi="Source Sans Pro" w:hint="eastAsia"/>
          <w:color w:val="373A3C"/>
          <w:sz w:val="24"/>
          <w:szCs w:val="27"/>
        </w:rPr>
        <w:t>은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혁신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역학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이론에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초점을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맞추고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proofErr w:type="spellStart"/>
      <w:r w:rsidRPr="008963CB">
        <w:rPr>
          <w:rFonts w:ascii="Source Sans Pro" w:hAnsi="Source Sans Pro"/>
          <w:color w:val="373A3C"/>
          <w:sz w:val="24"/>
          <w:szCs w:val="27"/>
        </w:rPr>
        <w:t>Wittfoth</w:t>
      </w:r>
      <w:proofErr w:type="spellEnd"/>
      <w:r w:rsidRPr="008963CB">
        <w:rPr>
          <w:rFonts w:ascii="Source Sans Pro" w:hAnsi="Source Sans Pro"/>
          <w:color w:val="373A3C"/>
          <w:sz w:val="24"/>
          <w:szCs w:val="27"/>
        </w:rPr>
        <w:t xml:space="preserve"> et al(2017)</w:t>
      </w:r>
      <w:r w:rsidRPr="008963CB">
        <w:rPr>
          <w:rFonts w:ascii="Source Sans Pro" w:hAnsi="Source Sans Pro"/>
          <w:color w:val="373A3C"/>
          <w:sz w:val="24"/>
          <w:szCs w:val="27"/>
        </w:rPr>
        <w:t>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최근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접근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방식을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사용</w:t>
      </w:r>
      <w:r>
        <w:rPr>
          <w:rFonts w:ascii="Source Sans Pro" w:hAnsi="Source Sans Pro" w:hint="eastAsia"/>
          <w:color w:val="373A3C"/>
          <w:sz w:val="24"/>
          <w:szCs w:val="27"/>
        </w:rPr>
        <w:t>하여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특허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분석을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통해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관련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변수를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평가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7CFF9A6A" w14:textId="77777777" w:rsidR="008963CB" w:rsidRPr="008963CB" w:rsidRDefault="008963CB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8963CB">
        <w:rPr>
          <w:rFonts w:ascii="Source Sans Pro" w:hAnsi="Source Sans Pro"/>
          <w:color w:val="373A3C"/>
          <w:sz w:val="24"/>
          <w:szCs w:val="27"/>
        </w:rPr>
        <w:t>특허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청구의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규칙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분류를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위한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의미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도구를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개발</w:t>
      </w:r>
      <w:r w:rsidRPr="008963CB">
        <w:rPr>
          <w:rFonts w:ascii="Source Sans Pro" w:hAnsi="Source Sans Pro" w:hint="eastAsia"/>
          <w:color w:val="373A3C"/>
          <w:sz w:val="24"/>
          <w:szCs w:val="27"/>
        </w:rPr>
        <w:t>하였고</w:t>
      </w:r>
      <w:r w:rsidRPr="008963CB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경제적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8963CB">
        <w:rPr>
          <w:rFonts w:ascii="Source Sans Pro" w:hAnsi="Source Sans Pro"/>
          <w:color w:val="373A3C"/>
          <w:sz w:val="24"/>
          <w:szCs w:val="27"/>
        </w:rPr>
        <w:t>법적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환경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측면에서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유사한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조건을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지닌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유망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사례로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10</w:t>
      </w:r>
      <w:r w:rsidRPr="008963CB">
        <w:rPr>
          <w:rFonts w:ascii="Source Sans Pro" w:hAnsi="Source Sans Pro"/>
          <w:color w:val="373A3C"/>
          <w:sz w:val="24"/>
          <w:szCs w:val="27"/>
        </w:rPr>
        <w:t>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스토리지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기술을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선정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3B828E8E" w14:textId="2D163684" w:rsidR="008963CB" w:rsidRPr="008963CB" w:rsidRDefault="008963CB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8963CB">
        <w:rPr>
          <w:rFonts w:ascii="Source Sans Pro" w:hAnsi="Source Sans Pro"/>
          <w:color w:val="373A3C"/>
          <w:sz w:val="24"/>
          <w:szCs w:val="27"/>
        </w:rPr>
        <w:t>이러한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기술의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특허에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대한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제품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및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프로세스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청구에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중점을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두고</w:t>
      </w:r>
      <w:r w:rsidRPr="008963CB">
        <w:rPr>
          <w:rFonts w:ascii="Source Sans Pro" w:hAnsi="Source Sans Pro"/>
          <w:color w:val="373A3C"/>
          <w:sz w:val="24"/>
          <w:szCs w:val="27"/>
        </w:rPr>
        <w:t>, OLS</w:t>
      </w:r>
      <w:r w:rsidRPr="008963CB">
        <w:rPr>
          <w:rFonts w:ascii="Source Sans Pro" w:hAnsi="Source Sans Pro"/>
          <w:color w:val="373A3C"/>
          <w:sz w:val="24"/>
          <w:szCs w:val="27"/>
        </w:rPr>
        <w:t>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적용하기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위한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적절한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데이터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기반을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개발</w:t>
      </w:r>
      <w:r>
        <w:rPr>
          <w:rFonts w:ascii="Source Sans Pro" w:hAnsi="Source Sans Pro" w:hint="eastAsia"/>
          <w:color w:val="373A3C"/>
          <w:sz w:val="24"/>
          <w:szCs w:val="27"/>
        </w:rPr>
        <w:t>하여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2,080,404</w:t>
      </w:r>
      <w:r w:rsidRPr="008963CB">
        <w:rPr>
          <w:rFonts w:ascii="Source Sans Pro" w:hAnsi="Source Sans Pro"/>
          <w:color w:val="373A3C"/>
          <w:sz w:val="24"/>
          <w:szCs w:val="27"/>
        </w:rPr>
        <w:t>개의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특허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청구를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포함하는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125,132</w:t>
      </w:r>
      <w:r w:rsidRPr="008963CB">
        <w:rPr>
          <w:rFonts w:ascii="Source Sans Pro" w:hAnsi="Source Sans Pro"/>
          <w:color w:val="373A3C"/>
          <w:sz w:val="24"/>
          <w:szCs w:val="27"/>
        </w:rPr>
        <w:t>개의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특허를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분석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71601789" w14:textId="57FF0275" w:rsidR="008963CB" w:rsidRPr="008963CB" w:rsidRDefault="008963CB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8963CB">
        <w:rPr>
          <w:rFonts w:ascii="Source Sans Pro" w:hAnsi="Source Sans Pro"/>
          <w:color w:val="373A3C"/>
          <w:sz w:val="24"/>
          <w:szCs w:val="27"/>
        </w:rPr>
        <w:t>제품과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프로세스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985EA2">
        <w:rPr>
          <w:rFonts w:ascii="Source Sans Pro" w:hAnsi="Source Sans Pro" w:hint="eastAsia"/>
          <w:color w:val="373A3C"/>
          <w:sz w:val="24"/>
          <w:szCs w:val="27"/>
        </w:rPr>
        <w:t>청구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사이의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시간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지연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기간에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대해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통계적으로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유의미한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E774A">
        <w:rPr>
          <w:rFonts w:ascii="Source Sans Pro" w:hAnsi="Source Sans Pro" w:hint="eastAsia"/>
          <w:color w:val="373A3C"/>
          <w:sz w:val="24"/>
          <w:szCs w:val="27"/>
        </w:rPr>
        <w:t>분석</w:t>
      </w:r>
      <w:r w:rsidRPr="008963CB">
        <w:rPr>
          <w:rFonts w:ascii="Source Sans Pro" w:hAnsi="Source Sans Pro"/>
          <w:color w:val="373A3C"/>
          <w:sz w:val="24"/>
          <w:szCs w:val="27"/>
        </w:rPr>
        <w:t>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제공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69E7F0C0" w14:textId="1E5182D8" w:rsidR="006B4813" w:rsidRPr="006B4813" w:rsidRDefault="008963CB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강건성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테스트를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위해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공정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청구와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결합하여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응용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프로세스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또는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컴퓨터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구현</w:t>
      </w:r>
      <w:r w:rsidRPr="008963CB">
        <w:rPr>
          <w:rFonts w:ascii="Source Sans Pro" w:hAnsi="Source Sans Pro"/>
          <w:color w:val="373A3C"/>
          <w:sz w:val="24"/>
          <w:szCs w:val="27"/>
        </w:rPr>
        <w:t>/</w:t>
      </w:r>
      <w:r w:rsidRPr="008963CB">
        <w:rPr>
          <w:rFonts w:ascii="Source Sans Pro" w:hAnsi="Source Sans Pro"/>
          <w:color w:val="373A3C"/>
          <w:sz w:val="24"/>
          <w:szCs w:val="27"/>
        </w:rPr>
        <w:t>비즈니스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방법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청구와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같은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다양한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범주의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프로세스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청구를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테스트</w:t>
      </w:r>
      <w:r w:rsidR="006B4813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6B539495" w14:textId="76568B0E" w:rsidR="006B4813" w:rsidRPr="00FC5808" w:rsidRDefault="008963CB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8963CB">
        <w:rPr>
          <w:rFonts w:ascii="Source Sans Pro" w:hAnsi="Source Sans Pro"/>
          <w:color w:val="373A3C"/>
          <w:sz w:val="24"/>
          <w:szCs w:val="27"/>
        </w:rPr>
        <w:t>예측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연습에서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우리는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제품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주장을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기반으로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제조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공정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주장의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발전을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예</w:t>
      </w:r>
      <w:r w:rsidRPr="008963CB">
        <w:rPr>
          <w:rFonts w:ascii="Source Sans Pro" w:hAnsi="Source Sans Pro" w:hint="eastAsia"/>
          <w:color w:val="373A3C"/>
          <w:sz w:val="24"/>
          <w:szCs w:val="27"/>
        </w:rPr>
        <w:t>측하고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회귀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모델의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성능을</w:t>
      </w:r>
      <w:r w:rsidRPr="008963C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963CB">
        <w:rPr>
          <w:rFonts w:ascii="Source Sans Pro" w:hAnsi="Source Sans Pro"/>
          <w:color w:val="373A3C"/>
          <w:sz w:val="24"/>
          <w:szCs w:val="27"/>
        </w:rPr>
        <w:t>측정</w:t>
      </w:r>
      <w:r w:rsidR="006B4813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71218075" w14:textId="41E7D3BC" w:rsidR="00FC5808" w:rsidRPr="00FC5808" w:rsidRDefault="00FC5808" w:rsidP="008963C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FC5808">
        <w:rPr>
          <w:rFonts w:ascii="Source Sans Pro" w:hAnsi="Source Sans Pro" w:hint="eastAsia"/>
          <w:color w:val="373A3C"/>
          <w:sz w:val="24"/>
          <w:szCs w:val="27"/>
        </w:rPr>
        <w:t>관리적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의미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측면에서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방법은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의사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결정을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위한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도구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역할을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할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수</w:t>
      </w:r>
      <w:r w:rsidRPr="00FC580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5808">
        <w:rPr>
          <w:rFonts w:ascii="Source Sans Pro" w:hAnsi="Source Sans Pro"/>
          <w:color w:val="373A3C"/>
          <w:sz w:val="24"/>
          <w:szCs w:val="27"/>
        </w:rPr>
        <w:t>있</w:t>
      </w:r>
      <w:r>
        <w:rPr>
          <w:rFonts w:ascii="Source Sans Pro" w:hAnsi="Source Sans Pro" w:hint="eastAsia"/>
          <w:color w:val="373A3C"/>
          <w:sz w:val="24"/>
          <w:szCs w:val="27"/>
        </w:rPr>
        <w:t>음</w:t>
      </w:r>
    </w:p>
    <w:p w14:paraId="5F34C535" w14:textId="77777777" w:rsidR="007C0EBE" w:rsidRPr="007C0EBE" w:rsidRDefault="007C0EBE" w:rsidP="007C0EBE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</w:p>
    <w:sectPr w:rsidR="007C0EBE" w:rsidRPr="007C0E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E3C6" w14:textId="77777777" w:rsidR="008B3EB6" w:rsidRDefault="008B3EB6" w:rsidP="00892E2F">
      <w:pPr>
        <w:spacing w:after="0" w:line="240" w:lineRule="auto"/>
      </w:pPr>
      <w:r>
        <w:separator/>
      </w:r>
    </w:p>
  </w:endnote>
  <w:endnote w:type="continuationSeparator" w:id="0">
    <w:p w14:paraId="0FC7C995" w14:textId="77777777" w:rsidR="008B3EB6" w:rsidRDefault="008B3EB6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4AD" w14:textId="77777777" w:rsidR="00710821" w:rsidRDefault="0071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EndPr/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0EF9" w14:textId="77777777" w:rsidR="00710821" w:rsidRDefault="0071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BD15" w14:textId="77777777" w:rsidR="008B3EB6" w:rsidRDefault="008B3EB6" w:rsidP="00892E2F">
      <w:pPr>
        <w:spacing w:after="0" w:line="240" w:lineRule="auto"/>
      </w:pPr>
      <w:r>
        <w:separator/>
      </w:r>
    </w:p>
  </w:footnote>
  <w:footnote w:type="continuationSeparator" w:id="0">
    <w:p w14:paraId="44A67D1A" w14:textId="77777777" w:rsidR="008B3EB6" w:rsidRDefault="008B3EB6" w:rsidP="0089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5B0D" w14:textId="77777777" w:rsidR="00710821" w:rsidRDefault="0071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BCE5" w14:textId="77777777" w:rsidR="00710821" w:rsidRDefault="0071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A956" w14:textId="77777777" w:rsidR="00710821" w:rsidRDefault="0071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E9219E"/>
    <w:multiLevelType w:val="hybridMultilevel"/>
    <w:tmpl w:val="5D5634DC"/>
    <w:lvl w:ilvl="0" w:tplc="59A22B9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11650"/>
    <w:rsid w:val="00047D18"/>
    <w:rsid w:val="00066FF5"/>
    <w:rsid w:val="0008284E"/>
    <w:rsid w:val="00086AA4"/>
    <w:rsid w:val="000951BB"/>
    <w:rsid w:val="000B6FE0"/>
    <w:rsid w:val="000C3AC8"/>
    <w:rsid w:val="000C7233"/>
    <w:rsid w:val="000E055D"/>
    <w:rsid w:val="000E1586"/>
    <w:rsid w:val="00103DCC"/>
    <w:rsid w:val="00114411"/>
    <w:rsid w:val="00122896"/>
    <w:rsid w:val="00142CAD"/>
    <w:rsid w:val="00157EAF"/>
    <w:rsid w:val="00162EC8"/>
    <w:rsid w:val="00167B55"/>
    <w:rsid w:val="00175DEC"/>
    <w:rsid w:val="001824EB"/>
    <w:rsid w:val="0019595A"/>
    <w:rsid w:val="001A6242"/>
    <w:rsid w:val="001E5AF3"/>
    <w:rsid w:val="001F189D"/>
    <w:rsid w:val="00206F6D"/>
    <w:rsid w:val="00221322"/>
    <w:rsid w:val="002226C7"/>
    <w:rsid w:val="00236013"/>
    <w:rsid w:val="002768A1"/>
    <w:rsid w:val="002878DD"/>
    <w:rsid w:val="00297FF5"/>
    <w:rsid w:val="002B7C53"/>
    <w:rsid w:val="00311157"/>
    <w:rsid w:val="00326691"/>
    <w:rsid w:val="003322D2"/>
    <w:rsid w:val="003421DB"/>
    <w:rsid w:val="00366D64"/>
    <w:rsid w:val="003B3117"/>
    <w:rsid w:val="003D01AF"/>
    <w:rsid w:val="003D5DFE"/>
    <w:rsid w:val="00422B1A"/>
    <w:rsid w:val="004701CA"/>
    <w:rsid w:val="004724CF"/>
    <w:rsid w:val="004775C6"/>
    <w:rsid w:val="004A1CF1"/>
    <w:rsid w:val="004A3299"/>
    <w:rsid w:val="004B4D92"/>
    <w:rsid w:val="004C261F"/>
    <w:rsid w:val="004D0AC6"/>
    <w:rsid w:val="004E43F5"/>
    <w:rsid w:val="00512E09"/>
    <w:rsid w:val="00540EB5"/>
    <w:rsid w:val="005A7961"/>
    <w:rsid w:val="005B7BCD"/>
    <w:rsid w:val="005D2B8A"/>
    <w:rsid w:val="005D67AC"/>
    <w:rsid w:val="005E0C72"/>
    <w:rsid w:val="005F11C6"/>
    <w:rsid w:val="005F3EA2"/>
    <w:rsid w:val="005F583F"/>
    <w:rsid w:val="006032C0"/>
    <w:rsid w:val="00607555"/>
    <w:rsid w:val="00613789"/>
    <w:rsid w:val="006B446F"/>
    <w:rsid w:val="006B4813"/>
    <w:rsid w:val="006F5D5E"/>
    <w:rsid w:val="00704FC1"/>
    <w:rsid w:val="00710821"/>
    <w:rsid w:val="007313E3"/>
    <w:rsid w:val="00734808"/>
    <w:rsid w:val="00752784"/>
    <w:rsid w:val="00756B3F"/>
    <w:rsid w:val="0076578A"/>
    <w:rsid w:val="00773691"/>
    <w:rsid w:val="00786817"/>
    <w:rsid w:val="007874F7"/>
    <w:rsid w:val="007919A1"/>
    <w:rsid w:val="00792987"/>
    <w:rsid w:val="007C0EBE"/>
    <w:rsid w:val="007E5DAE"/>
    <w:rsid w:val="00843E60"/>
    <w:rsid w:val="00850057"/>
    <w:rsid w:val="00855BAF"/>
    <w:rsid w:val="00863EB8"/>
    <w:rsid w:val="00880FC1"/>
    <w:rsid w:val="00890C37"/>
    <w:rsid w:val="00892E2F"/>
    <w:rsid w:val="00894C12"/>
    <w:rsid w:val="00894CC1"/>
    <w:rsid w:val="008963CB"/>
    <w:rsid w:val="008B3EB6"/>
    <w:rsid w:val="009049A8"/>
    <w:rsid w:val="00916F02"/>
    <w:rsid w:val="00926BFC"/>
    <w:rsid w:val="009272D6"/>
    <w:rsid w:val="00942F48"/>
    <w:rsid w:val="0094658C"/>
    <w:rsid w:val="00950854"/>
    <w:rsid w:val="009605BF"/>
    <w:rsid w:val="00985EA2"/>
    <w:rsid w:val="009A2C62"/>
    <w:rsid w:val="009C4229"/>
    <w:rsid w:val="009F13A4"/>
    <w:rsid w:val="00A05388"/>
    <w:rsid w:val="00A17769"/>
    <w:rsid w:val="00A33778"/>
    <w:rsid w:val="00A40DC3"/>
    <w:rsid w:val="00A46935"/>
    <w:rsid w:val="00A902C6"/>
    <w:rsid w:val="00AC70AD"/>
    <w:rsid w:val="00AD41C2"/>
    <w:rsid w:val="00AE0519"/>
    <w:rsid w:val="00AE1544"/>
    <w:rsid w:val="00AE4684"/>
    <w:rsid w:val="00B059AD"/>
    <w:rsid w:val="00B214D6"/>
    <w:rsid w:val="00B229A1"/>
    <w:rsid w:val="00B44FF9"/>
    <w:rsid w:val="00B57220"/>
    <w:rsid w:val="00B6481A"/>
    <w:rsid w:val="00B64C17"/>
    <w:rsid w:val="00B65A82"/>
    <w:rsid w:val="00B97F5C"/>
    <w:rsid w:val="00BA28F6"/>
    <w:rsid w:val="00BD2E54"/>
    <w:rsid w:val="00C03857"/>
    <w:rsid w:val="00C321EB"/>
    <w:rsid w:val="00C554B1"/>
    <w:rsid w:val="00C712E3"/>
    <w:rsid w:val="00C725D2"/>
    <w:rsid w:val="00C911D9"/>
    <w:rsid w:val="00C95F92"/>
    <w:rsid w:val="00C970D9"/>
    <w:rsid w:val="00D04D49"/>
    <w:rsid w:val="00D1173B"/>
    <w:rsid w:val="00D3154D"/>
    <w:rsid w:val="00D32CF2"/>
    <w:rsid w:val="00D94704"/>
    <w:rsid w:val="00DB2B2E"/>
    <w:rsid w:val="00DB6E70"/>
    <w:rsid w:val="00DE774A"/>
    <w:rsid w:val="00E147AF"/>
    <w:rsid w:val="00E14C03"/>
    <w:rsid w:val="00E37AB0"/>
    <w:rsid w:val="00E40E74"/>
    <w:rsid w:val="00E43137"/>
    <w:rsid w:val="00E46469"/>
    <w:rsid w:val="00E50B3E"/>
    <w:rsid w:val="00E53D11"/>
    <w:rsid w:val="00E60B7F"/>
    <w:rsid w:val="00E639C9"/>
    <w:rsid w:val="00E810AE"/>
    <w:rsid w:val="00E90380"/>
    <w:rsid w:val="00EB25C9"/>
    <w:rsid w:val="00EB66E3"/>
    <w:rsid w:val="00EC14BE"/>
    <w:rsid w:val="00EC4282"/>
    <w:rsid w:val="00EC57CF"/>
    <w:rsid w:val="00F05DC5"/>
    <w:rsid w:val="00F54AFE"/>
    <w:rsid w:val="00F716AB"/>
    <w:rsid w:val="00F7336F"/>
    <w:rsid w:val="00FB2C24"/>
    <w:rsid w:val="00FB5837"/>
    <w:rsid w:val="00FB6788"/>
    <w:rsid w:val="00FC5808"/>
    <w:rsid w:val="00FC65E9"/>
    <w:rsid w:val="00FC71A5"/>
    <w:rsid w:val="00FE6F93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5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1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E4313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echnovation.2021.10241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26</cp:revision>
  <dcterms:created xsi:type="dcterms:W3CDTF">2023-09-22T01:45:00Z</dcterms:created>
  <dcterms:modified xsi:type="dcterms:W3CDTF">2023-10-03T08:54:00Z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