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01C6" w14:textId="77777777" w:rsidR="00EF33B9" w:rsidRDefault="00EF33B9" w:rsidP="008963CB">
      <w:pPr>
        <w:jc w:val="left"/>
        <w:rPr>
          <w:rFonts w:ascii="Source Sans Pro" w:hAnsi="Source Sans Pro"/>
          <w:b/>
          <w:color w:val="373A3C"/>
          <w:sz w:val="40"/>
          <w:szCs w:val="32"/>
          <w:shd w:val="clear" w:color="auto" w:fill="FFFFFF"/>
        </w:rPr>
      </w:pPr>
      <w:r w:rsidRPr="00EF33B9">
        <w:rPr>
          <w:rFonts w:ascii="Source Sans Pro" w:hAnsi="Source Sans Pro"/>
          <w:b/>
          <w:color w:val="373A3C"/>
          <w:sz w:val="40"/>
          <w:szCs w:val="32"/>
          <w:shd w:val="clear" w:color="auto" w:fill="FFFFFF"/>
        </w:rPr>
        <w:t>Intermediaries for open innovation: A competence-based comparison of knowledge transfer offices practices</w:t>
      </w:r>
    </w:p>
    <w:p w14:paraId="57D1AFD7" w14:textId="1AA6B294" w:rsidR="00F34F20" w:rsidRDefault="00F34F20" w:rsidP="008963CB">
      <w:pPr>
        <w:jc w:val="left"/>
        <w:rPr>
          <w:rStyle w:val="author-ref"/>
          <w:sz w:val="18"/>
          <w:szCs w:val="18"/>
          <w:vertAlign w:val="superscript"/>
        </w:rPr>
      </w:pPr>
      <w:r>
        <w:rPr>
          <w:rStyle w:val="given-name"/>
        </w:rPr>
        <w:t>Allen T.</w:t>
      </w:r>
      <w:r>
        <w:rPr>
          <w:rStyle w:val="react-xocs-alternative-link"/>
        </w:rPr>
        <w:t> </w:t>
      </w:r>
      <w:r>
        <w:rPr>
          <w:rStyle w:val="text"/>
        </w:rPr>
        <w:t>Alexander</w:t>
      </w:r>
      <w:r>
        <w:rPr>
          <w:rFonts w:ascii="Arial" w:hAnsi="Arial" w:cs="Arial"/>
          <w:color w:val="1F1F1F"/>
        </w:rPr>
        <w:t>, </w:t>
      </w:r>
      <w:r>
        <w:rPr>
          <w:rStyle w:val="given-name"/>
        </w:rPr>
        <w:t>Dominique Philippe</w:t>
      </w:r>
      <w:r>
        <w:rPr>
          <w:rStyle w:val="react-xocs-alternative-link"/>
        </w:rPr>
        <w:t> </w:t>
      </w:r>
      <w:r>
        <w:rPr>
          <w:rStyle w:val="text"/>
        </w:rPr>
        <w:t>Martin</w:t>
      </w:r>
    </w:p>
    <w:p w14:paraId="3FBA3033" w14:textId="4F465257" w:rsidR="000951BB" w:rsidRDefault="00EF33B9" w:rsidP="008963CB">
      <w:pPr>
        <w:jc w:val="left"/>
      </w:pPr>
      <w:r w:rsidRPr="00EF33B9">
        <w:t>Technological Forecasting &amp; Social Change 80 (2013) 38–49</w:t>
      </w:r>
      <w:r w:rsidR="000951BB">
        <w:rPr>
          <w:rFonts w:hint="eastAsia"/>
        </w:rPr>
        <w:t xml:space="preserve"> </w:t>
      </w:r>
    </w:p>
    <w:p w14:paraId="74C4D977" w14:textId="6CC98C78" w:rsidR="00F34F20" w:rsidRDefault="00F34F20" w:rsidP="003F58FC">
      <w:pPr>
        <w:spacing w:line="240" w:lineRule="auto"/>
        <w:ind w:right="800"/>
        <w:rPr>
          <w:rFonts w:hint="eastAsia"/>
        </w:rPr>
      </w:pPr>
      <w:r>
        <w:rPr>
          <w:rFonts w:hint="eastAsia"/>
        </w:rPr>
        <w:t>인용수</w:t>
      </w:r>
      <w:r>
        <w:t>: 225</w:t>
      </w:r>
    </w:p>
    <w:p w14:paraId="3440794F" w14:textId="77777777" w:rsidR="00F34F20" w:rsidRDefault="00F34F20" w:rsidP="000C3AC8">
      <w:pPr>
        <w:spacing w:line="240" w:lineRule="auto"/>
        <w:jc w:val="right"/>
      </w:pPr>
      <w:hyperlink r:id="rId8" w:tgtFrame="_blank" w:tooltip="Persistent link using digital object identifier" w:history="1">
        <w:r>
          <w:rPr>
            <w:rStyle w:val="anchor-text"/>
            <w:rFonts w:ascii="Arial" w:hAnsi="Arial" w:cs="Arial"/>
            <w:color w:val="1F1F1F"/>
            <w:sz w:val="21"/>
            <w:szCs w:val="21"/>
          </w:rPr>
          <w:t>https://doi.org/10.1016/j.techfore.2012.07.013</w:t>
        </w:r>
      </w:hyperlink>
    </w:p>
    <w:p w14:paraId="6A71D2E8" w14:textId="7F1719AA" w:rsidR="00850057" w:rsidRPr="00850057" w:rsidRDefault="002878DD" w:rsidP="000C3AC8">
      <w:pPr>
        <w:spacing w:line="24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TM, </w:t>
      </w:r>
      <w:r w:rsidR="00850057" w:rsidRPr="00850057">
        <w:rPr>
          <w:rFonts w:hint="eastAsia"/>
          <w:sz w:val="28"/>
          <w:szCs w:val="28"/>
        </w:rPr>
        <w:t>2</w:t>
      </w:r>
      <w:r w:rsidR="00850057" w:rsidRPr="00850057">
        <w:rPr>
          <w:sz w:val="28"/>
          <w:szCs w:val="28"/>
        </w:rPr>
        <w:t xml:space="preserve">0235575 </w:t>
      </w:r>
      <w:r w:rsidR="00850057" w:rsidRPr="00850057">
        <w:rPr>
          <w:rFonts w:hint="eastAsia"/>
          <w:sz w:val="28"/>
          <w:szCs w:val="28"/>
        </w:rPr>
        <w:t>안지석</w:t>
      </w:r>
    </w:p>
    <w:p w14:paraId="1B0CA48B" w14:textId="1304D4C9" w:rsidR="00F716AB" w:rsidRPr="000C3AC8" w:rsidRDefault="00C725D2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>주요</w:t>
      </w: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>내용</w:t>
      </w: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F716AB"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>요약</w:t>
      </w:r>
    </w:p>
    <w:p w14:paraId="180353ED" w14:textId="18272379" w:rsidR="00EF33B9" w:rsidRPr="00EF33B9" w:rsidRDefault="00EF33B9" w:rsidP="00EF33B9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 w:hint="eastAsia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본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연구는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대학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및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공공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연구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기관의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기술이전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전담조직</w:t>
      </w:r>
      <w:r w:rsidRPr="00EF33B9">
        <w:rPr>
          <w:rFonts w:ascii="Source Sans Pro" w:hAnsi="Source Sans Pro"/>
          <w:color w:val="373A3C"/>
          <w:sz w:val="24"/>
          <w:szCs w:val="27"/>
        </w:rPr>
        <w:t>(TO)</w:t>
      </w:r>
      <w:r w:rsidRPr="00EF33B9">
        <w:rPr>
          <w:rFonts w:ascii="Source Sans Pro" w:hAnsi="Source Sans Pro"/>
          <w:color w:val="373A3C"/>
          <w:sz w:val="24"/>
          <w:szCs w:val="27"/>
        </w:rPr>
        <w:t>이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상업적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파트너와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협력하고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지식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이전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및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전문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지식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교환을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관리하기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위한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역량과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전략</w:t>
      </w:r>
      <w:r w:rsidR="002F4C06">
        <w:rPr>
          <w:rFonts w:ascii="Source Sans Pro" w:hAnsi="Source Sans Pro" w:hint="eastAsia"/>
          <w:color w:val="373A3C"/>
          <w:sz w:val="24"/>
          <w:szCs w:val="27"/>
        </w:rPr>
        <w:t>을</w:t>
      </w:r>
      <w:r w:rsidR="002F4C0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2F4C06">
        <w:rPr>
          <w:rFonts w:ascii="Source Sans Pro" w:hAnsi="Source Sans Pro" w:hint="eastAsia"/>
          <w:color w:val="373A3C"/>
          <w:sz w:val="24"/>
          <w:szCs w:val="27"/>
        </w:rPr>
        <w:t>분석하는</w:t>
      </w:r>
      <w:r w:rsidR="002F4C06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2F4C06">
        <w:rPr>
          <w:rFonts w:ascii="Source Sans Pro" w:hAnsi="Source Sans Pro" w:hint="eastAsia"/>
          <w:color w:val="373A3C"/>
          <w:sz w:val="24"/>
          <w:szCs w:val="27"/>
        </w:rPr>
        <w:t>것에</w:t>
      </w:r>
      <w:r w:rsidR="002F4C06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2F4C06">
        <w:rPr>
          <w:rFonts w:ascii="Source Sans Pro" w:hAnsi="Source Sans Pro" w:hint="eastAsia"/>
          <w:color w:val="373A3C"/>
          <w:sz w:val="24"/>
          <w:szCs w:val="27"/>
        </w:rPr>
        <w:t>목적이</w:t>
      </w:r>
      <w:r w:rsidR="002F4C06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2F4C06">
        <w:rPr>
          <w:rFonts w:ascii="Source Sans Pro" w:hAnsi="Source Sans Pro" w:hint="eastAsia"/>
          <w:color w:val="373A3C"/>
          <w:sz w:val="24"/>
          <w:szCs w:val="27"/>
        </w:rPr>
        <w:t>있음</w:t>
      </w:r>
      <w:r w:rsidRPr="00EF33B9">
        <w:rPr>
          <w:rFonts w:ascii="Source Sans Pro" w:hAnsi="Source Sans Pro"/>
          <w:color w:val="373A3C"/>
          <w:sz w:val="24"/>
          <w:szCs w:val="27"/>
        </w:rPr>
        <w:t>.</w:t>
      </w:r>
    </w:p>
    <w:p w14:paraId="5EFEE738" w14:textId="508E8464" w:rsidR="00EF33B9" w:rsidRPr="00460E36" w:rsidRDefault="00EF33B9" w:rsidP="00460E36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 w:hint="eastAsia"/>
          <w:color w:val="373A3C"/>
          <w:sz w:val="24"/>
          <w:szCs w:val="27"/>
        </w:rPr>
      </w:pPr>
      <w:r w:rsidRPr="00EF33B9">
        <w:rPr>
          <w:rFonts w:ascii="Source Sans Pro" w:hAnsi="Source Sans Pro" w:hint="eastAsia"/>
          <w:color w:val="373A3C"/>
          <w:sz w:val="24"/>
          <w:szCs w:val="27"/>
        </w:rPr>
        <w:t>이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연구는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TO</w:t>
      </w:r>
      <w:r w:rsidRPr="00EF33B9">
        <w:rPr>
          <w:rFonts w:ascii="Source Sans Pro" w:hAnsi="Source Sans Pro"/>
          <w:color w:val="373A3C"/>
          <w:sz w:val="24"/>
          <w:szCs w:val="27"/>
        </w:rPr>
        <w:t>가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사용하는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다양한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이전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및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참여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방식과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방법을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분석하기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위해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핵심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역량에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기반한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모델을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제시</w:t>
      </w:r>
      <w:r w:rsidR="00460E36">
        <w:rPr>
          <w:rFonts w:ascii="Source Sans Pro" w:hAnsi="Source Sans Pro" w:hint="eastAsia"/>
          <w:color w:val="373A3C"/>
          <w:sz w:val="24"/>
          <w:szCs w:val="27"/>
        </w:rPr>
        <w:t>함</w:t>
      </w:r>
      <w:r w:rsidR="00460E36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3D062FB3" w14:textId="0F62E1F9" w:rsidR="00EF33B9" w:rsidRPr="00460E36" w:rsidRDefault="00EF33B9" w:rsidP="00460E36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 w:hint="eastAsia"/>
          <w:color w:val="373A3C"/>
          <w:sz w:val="24"/>
          <w:szCs w:val="27"/>
        </w:rPr>
      </w:pPr>
      <w:r w:rsidRPr="00EF33B9">
        <w:rPr>
          <w:rFonts w:ascii="Source Sans Pro" w:hAnsi="Source Sans Pro" w:hint="eastAsia"/>
          <w:color w:val="373A3C"/>
          <w:sz w:val="24"/>
          <w:szCs w:val="27"/>
        </w:rPr>
        <w:t>프랑스와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영국의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두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TO</w:t>
      </w:r>
      <w:r w:rsidRPr="00EF33B9">
        <w:rPr>
          <w:rFonts w:ascii="Source Sans Pro" w:hAnsi="Source Sans Pro"/>
          <w:color w:val="373A3C"/>
          <w:sz w:val="24"/>
          <w:szCs w:val="27"/>
        </w:rPr>
        <w:t>를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대상으로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한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비교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연구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결과는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기관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환경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내에서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오피스의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상대적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위치와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이전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채널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사용의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우선순위를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강조</w:t>
      </w:r>
      <w:r w:rsidR="00460E36">
        <w:rPr>
          <w:rFonts w:ascii="Source Sans Pro" w:hAnsi="Source Sans Pro" w:hint="eastAsia"/>
          <w:color w:val="373A3C"/>
          <w:sz w:val="24"/>
          <w:szCs w:val="27"/>
        </w:rPr>
        <w:t>함</w:t>
      </w:r>
      <w:r w:rsidR="00460E36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7E33A7F7" w14:textId="7FE78622" w:rsidR="00EF33B9" w:rsidRDefault="00EF33B9" w:rsidP="003A57D1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EF33B9">
        <w:rPr>
          <w:rFonts w:ascii="Source Sans Pro" w:hAnsi="Source Sans Pro" w:hint="eastAsia"/>
          <w:color w:val="373A3C"/>
          <w:sz w:val="24"/>
          <w:szCs w:val="27"/>
        </w:rPr>
        <w:t>이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결과는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개방형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혁신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패러다임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내에서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운영되는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TO</w:t>
      </w:r>
      <w:r w:rsidRPr="00EF33B9">
        <w:rPr>
          <w:rFonts w:ascii="Source Sans Pro" w:hAnsi="Source Sans Pro"/>
          <w:color w:val="373A3C"/>
          <w:sz w:val="24"/>
          <w:szCs w:val="27"/>
        </w:rPr>
        <w:t>의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전략적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관리를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위한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지침을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제공</w:t>
      </w:r>
      <w:r w:rsidR="00460E36">
        <w:rPr>
          <w:rFonts w:ascii="Source Sans Pro" w:hAnsi="Source Sans Pro" w:hint="eastAsia"/>
          <w:color w:val="373A3C"/>
          <w:sz w:val="24"/>
          <w:szCs w:val="27"/>
        </w:rPr>
        <w:t>함</w:t>
      </w:r>
      <w:r w:rsidR="00460E36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7011BD2F" w14:textId="77777777" w:rsidR="003A57D1" w:rsidRPr="003A57D1" w:rsidRDefault="003A57D1" w:rsidP="003A57D1">
      <w:pPr>
        <w:pStyle w:val="a3"/>
        <w:spacing w:line="240" w:lineRule="auto"/>
        <w:ind w:leftChars="0" w:left="760"/>
        <w:rPr>
          <w:rFonts w:ascii="Source Sans Pro" w:hAnsi="Source Sans Pro" w:hint="eastAsia"/>
          <w:color w:val="373A3C"/>
          <w:sz w:val="24"/>
          <w:szCs w:val="27"/>
        </w:rPr>
      </w:pPr>
    </w:p>
    <w:p w14:paraId="4E0AF53E" w14:textId="4FB8774D" w:rsidR="0019595A" w:rsidRPr="00EF33B9" w:rsidRDefault="00744F8F" w:rsidP="00EF33B9">
      <w:pPr>
        <w:spacing w:line="240" w:lineRule="auto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본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연구의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개념적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모델</w:t>
      </w:r>
    </w:p>
    <w:p w14:paraId="6AFADFCF" w14:textId="044802DD" w:rsidR="00744F8F" w:rsidRDefault="00460E36" w:rsidP="0019595A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눈문은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"</w:t>
      </w:r>
      <w:r w:rsidRPr="00460E36">
        <w:rPr>
          <w:rFonts w:ascii="Source Sans Pro" w:hAnsi="Source Sans Pro"/>
          <w:color w:val="373A3C"/>
          <w:sz w:val="24"/>
          <w:szCs w:val="27"/>
        </w:rPr>
        <w:t>모든</w:t>
      </w:r>
      <w:r w:rsidRPr="00460E36">
        <w:rPr>
          <w:rFonts w:ascii="Source Sans Pro" w:hAnsi="Source Sans Pro"/>
          <w:color w:val="373A3C"/>
          <w:sz w:val="24"/>
          <w:szCs w:val="27"/>
        </w:rPr>
        <w:t>" TO</w:t>
      </w:r>
      <w:r w:rsidRPr="00460E36">
        <w:rPr>
          <w:rFonts w:ascii="Source Sans Pro" w:hAnsi="Source Sans Pro"/>
          <w:color w:val="373A3C"/>
          <w:sz w:val="24"/>
          <w:szCs w:val="27"/>
        </w:rPr>
        <w:t>가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운영되기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위해서는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특정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핵심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역량을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갖추어야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한다고</w:t>
      </w:r>
      <w:r w:rsid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>가정하며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대학과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기업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간의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>교점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>역할을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>하는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우리는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참여의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네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가지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주요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성과에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해당하는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네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가지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핵심</w:t>
      </w:r>
      <w:r w:rsidRP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60E36">
        <w:rPr>
          <w:rFonts w:ascii="Source Sans Pro" w:hAnsi="Source Sans Pro"/>
          <w:color w:val="373A3C"/>
          <w:sz w:val="24"/>
          <w:szCs w:val="27"/>
        </w:rPr>
        <w:t>역량을</w:t>
      </w:r>
      <w:r w:rsid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>다음과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>같이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>가정함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>.</w:t>
      </w:r>
      <w:r w:rsid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>네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>가지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>핵심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>역량은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44F8F">
        <w:rPr>
          <w:rFonts w:ascii="Source Sans Pro" w:hAnsi="Source Sans Pro"/>
          <w:color w:val="373A3C"/>
          <w:sz w:val="24"/>
          <w:szCs w:val="27"/>
        </w:rPr>
        <w:t>Fig1 .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>처럼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>도식화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>가능</w:t>
      </w:r>
      <w:r w:rsidR="00744F8F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261407AB" w14:textId="3568F106" w:rsidR="0019595A" w:rsidRPr="00744F8F" w:rsidRDefault="00460E36" w:rsidP="003A57D1">
      <w:pPr>
        <w:spacing w:line="240" w:lineRule="auto"/>
        <w:ind w:left="400"/>
        <w:jc w:val="center"/>
        <w:rPr>
          <w:rFonts w:ascii="Source Sans Pro" w:hAnsi="Source Sans Pro"/>
          <w:color w:val="373A3C"/>
          <w:sz w:val="24"/>
          <w:szCs w:val="27"/>
        </w:rPr>
      </w:pPr>
      <w:r w:rsidRPr="00460E36">
        <w:lastRenderedPageBreak/>
        <w:drawing>
          <wp:inline distT="0" distB="0" distL="0" distR="0" wp14:anchorId="26C2CCC0" wp14:editId="5C6C5EC5">
            <wp:extent cx="3638550" cy="259829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604" cy="26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14B5" w14:textId="537F2263" w:rsidR="00744F8F" w:rsidRDefault="00744F8F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</w:p>
    <w:p w14:paraId="4CAA5E0F" w14:textId="49DEE965" w:rsidR="00744F8F" w:rsidRPr="00744F8F" w:rsidRDefault="00744F8F" w:rsidP="00744F8F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/>
          <w:color w:val="373A3C"/>
          <w:sz w:val="24"/>
          <w:szCs w:val="27"/>
        </w:rPr>
        <w:t xml:space="preserve">CC1. </w:t>
      </w:r>
      <w:r w:rsidRPr="00744F8F">
        <w:rPr>
          <w:rFonts w:ascii="Source Sans Pro" w:hAnsi="Source Sans Pro" w:hint="eastAsia"/>
          <w:color w:val="373A3C"/>
          <w:sz w:val="24"/>
          <w:szCs w:val="27"/>
        </w:rPr>
        <w:t>다양한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이해관계자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간의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연구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프로젝트를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둘러싼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관리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활동을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촉진하는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능력</w:t>
      </w:r>
    </w:p>
    <w:p w14:paraId="4B6AA96A" w14:textId="29E5D966" w:rsidR="00744F8F" w:rsidRPr="00744F8F" w:rsidRDefault="00744F8F" w:rsidP="00744F8F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C</w:t>
      </w:r>
      <w:r>
        <w:rPr>
          <w:rFonts w:ascii="Source Sans Pro" w:hAnsi="Source Sans Pro"/>
          <w:color w:val="373A3C"/>
          <w:sz w:val="24"/>
          <w:szCs w:val="27"/>
        </w:rPr>
        <w:t xml:space="preserve">C2. </w:t>
      </w:r>
      <w:r w:rsidRPr="00744F8F">
        <w:rPr>
          <w:rFonts w:ascii="Source Sans Pro" w:hAnsi="Source Sans Pro" w:hint="eastAsia"/>
          <w:color w:val="373A3C"/>
          <w:sz w:val="24"/>
          <w:szCs w:val="27"/>
        </w:rPr>
        <w:t>기업을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위한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지식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기반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지원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서비스를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홍보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및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개발하고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공공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및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민간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연구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파트너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간에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모범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사례를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공유할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수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있는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능력</w:t>
      </w:r>
      <w:r w:rsidRPr="00744F8F">
        <w:rPr>
          <w:rFonts w:ascii="Source Sans Pro" w:hAnsi="Source Sans Pro"/>
          <w:color w:val="373A3C"/>
          <w:sz w:val="24"/>
          <w:szCs w:val="27"/>
        </w:rPr>
        <w:t>.</w:t>
      </w:r>
    </w:p>
    <w:p w14:paraId="42D3FD93" w14:textId="1C06F22A" w:rsidR="00744F8F" w:rsidRPr="00744F8F" w:rsidRDefault="00744F8F" w:rsidP="00744F8F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C</w:t>
      </w:r>
      <w:r>
        <w:rPr>
          <w:rFonts w:ascii="Source Sans Pro" w:hAnsi="Source Sans Pro"/>
          <w:color w:val="373A3C"/>
          <w:sz w:val="24"/>
          <w:szCs w:val="27"/>
        </w:rPr>
        <w:t xml:space="preserve">C3. </w:t>
      </w:r>
      <w:r w:rsidRPr="00744F8F">
        <w:rPr>
          <w:rFonts w:ascii="Source Sans Pro" w:hAnsi="Source Sans Pro" w:hint="eastAsia"/>
          <w:color w:val="373A3C"/>
          <w:sz w:val="24"/>
          <w:szCs w:val="27"/>
        </w:rPr>
        <w:t>인력</w:t>
      </w:r>
      <w:r w:rsidRPr="00744F8F">
        <w:rPr>
          <w:rFonts w:ascii="Source Sans Pro" w:hAnsi="Source Sans Pro"/>
          <w:color w:val="373A3C"/>
          <w:sz w:val="24"/>
          <w:szCs w:val="27"/>
        </w:rPr>
        <w:t>(</w:t>
      </w:r>
      <w:r w:rsidRPr="00744F8F">
        <w:rPr>
          <w:rFonts w:ascii="Source Sans Pro" w:hAnsi="Source Sans Pro"/>
          <w:color w:val="373A3C"/>
          <w:sz w:val="24"/>
          <w:szCs w:val="27"/>
        </w:rPr>
        <w:t>인적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자원</w:t>
      </w:r>
      <w:r w:rsidRPr="00744F8F">
        <w:rPr>
          <w:rFonts w:ascii="Source Sans Pro" w:hAnsi="Source Sans Pro"/>
          <w:color w:val="373A3C"/>
          <w:sz w:val="24"/>
          <w:szCs w:val="27"/>
        </w:rPr>
        <w:t>)</w:t>
      </w:r>
      <w:r w:rsidRPr="00744F8F">
        <w:rPr>
          <w:rFonts w:ascii="Source Sans Pro" w:hAnsi="Source Sans Pro"/>
          <w:color w:val="373A3C"/>
          <w:sz w:val="24"/>
          <w:szCs w:val="27"/>
        </w:rPr>
        <w:t>의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효과적인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동원을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통해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지식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기반의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경계를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넘나드는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활동을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구축할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수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있는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역량</w:t>
      </w:r>
      <w:r w:rsidRPr="00744F8F">
        <w:rPr>
          <w:rFonts w:ascii="Source Sans Pro" w:hAnsi="Source Sans Pro"/>
          <w:color w:val="373A3C"/>
          <w:sz w:val="24"/>
          <w:szCs w:val="27"/>
        </w:rPr>
        <w:t>.</w:t>
      </w:r>
    </w:p>
    <w:p w14:paraId="4F5719B0" w14:textId="7A33244C" w:rsidR="00744F8F" w:rsidRDefault="00744F8F" w:rsidP="00744F8F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/>
          <w:color w:val="373A3C"/>
          <w:sz w:val="24"/>
          <w:szCs w:val="27"/>
        </w:rPr>
        <w:t xml:space="preserve">CC4. </w:t>
      </w:r>
      <w:r w:rsidRPr="00744F8F">
        <w:rPr>
          <w:rFonts w:ascii="Source Sans Pro" w:hAnsi="Source Sans Pro"/>
          <w:color w:val="373A3C"/>
          <w:sz w:val="24"/>
          <w:szCs w:val="27"/>
        </w:rPr>
        <w:t>TO</w:t>
      </w:r>
      <w:r w:rsidRPr="00744F8F">
        <w:rPr>
          <w:rFonts w:ascii="Source Sans Pro" w:hAnsi="Source Sans Pro"/>
          <w:color w:val="373A3C"/>
          <w:sz w:val="24"/>
          <w:szCs w:val="27"/>
        </w:rPr>
        <w:t>가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공공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연구팀에서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민간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기업으로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지적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재산</w:t>
      </w:r>
      <w:r w:rsidRPr="00744F8F">
        <w:rPr>
          <w:rFonts w:ascii="Source Sans Pro" w:hAnsi="Source Sans Pro"/>
          <w:color w:val="373A3C"/>
          <w:sz w:val="24"/>
          <w:szCs w:val="27"/>
        </w:rPr>
        <w:t>(IP)</w:t>
      </w:r>
      <w:r w:rsidRPr="00744F8F">
        <w:rPr>
          <w:rFonts w:ascii="Source Sans Pro" w:hAnsi="Source Sans Pro"/>
          <w:color w:val="373A3C"/>
          <w:sz w:val="24"/>
          <w:szCs w:val="27"/>
        </w:rPr>
        <w:t>을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이전하고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기업가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활동을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촉진할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수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있는</w:t>
      </w:r>
      <w:r w:rsidRPr="00744F8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44F8F">
        <w:rPr>
          <w:rFonts w:ascii="Source Sans Pro" w:hAnsi="Source Sans Pro"/>
          <w:color w:val="373A3C"/>
          <w:sz w:val="24"/>
          <w:szCs w:val="27"/>
        </w:rPr>
        <w:t>능력</w:t>
      </w:r>
      <w:r w:rsidRPr="00744F8F">
        <w:rPr>
          <w:rFonts w:ascii="Source Sans Pro" w:hAnsi="Source Sans Pro"/>
          <w:color w:val="373A3C"/>
          <w:sz w:val="24"/>
          <w:szCs w:val="27"/>
        </w:rPr>
        <w:t>.</w:t>
      </w:r>
    </w:p>
    <w:p w14:paraId="17047FC2" w14:textId="24E63305" w:rsidR="00D05DDE" w:rsidRDefault="00D05DDE" w:rsidP="00D05DDE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위의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4</w:t>
      </w:r>
      <w:r>
        <w:rPr>
          <w:rFonts w:ascii="Source Sans Pro" w:hAnsi="Source Sans Pro" w:hint="eastAsia"/>
          <w:color w:val="373A3C"/>
          <w:sz w:val="24"/>
          <w:szCs w:val="27"/>
        </w:rPr>
        <w:t>가지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핵심역량</w:t>
      </w:r>
      <w:r>
        <w:rPr>
          <w:rFonts w:ascii="Source Sans Pro" w:hAnsi="Source Sans Pro"/>
          <w:color w:val="373A3C"/>
          <w:sz w:val="24"/>
          <w:szCs w:val="27"/>
        </w:rPr>
        <w:t>(Core Competence, CC)</w:t>
      </w:r>
      <w:r>
        <w:rPr>
          <w:rFonts w:ascii="Source Sans Pro" w:hAnsi="Source Sans Pro" w:hint="eastAsia"/>
          <w:color w:val="373A3C"/>
          <w:sz w:val="24"/>
          <w:szCs w:val="27"/>
        </w:rPr>
        <w:t>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지식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이전의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채널</w:t>
      </w:r>
      <w:r>
        <w:rPr>
          <w:rFonts w:ascii="Source Sans Pro" w:hAnsi="Source Sans Pro"/>
          <w:color w:val="373A3C"/>
          <w:sz w:val="24"/>
          <w:szCs w:val="27"/>
        </w:rPr>
        <w:t>(</w:t>
      </w:r>
      <w:r>
        <w:rPr>
          <w:rFonts w:ascii="Source Sans Pro" w:hAnsi="Source Sans Pro" w:hint="eastAsia"/>
          <w:color w:val="373A3C"/>
          <w:sz w:val="24"/>
          <w:szCs w:val="27"/>
        </w:rPr>
        <w:t>관계지향적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 xml:space="preserve">or </w:t>
      </w:r>
      <w:r>
        <w:rPr>
          <w:rFonts w:ascii="Source Sans Pro" w:hAnsi="Source Sans Pro" w:hint="eastAsia"/>
          <w:color w:val="373A3C"/>
          <w:sz w:val="24"/>
          <w:szCs w:val="27"/>
        </w:rPr>
        <w:t>거래지향적</w:t>
      </w:r>
      <w:r>
        <w:rPr>
          <w:rFonts w:ascii="Source Sans Pro" w:hAnsi="Source Sans Pro" w:hint="eastAsia"/>
          <w:color w:val="373A3C"/>
          <w:sz w:val="24"/>
          <w:szCs w:val="27"/>
        </w:rPr>
        <w:t>)</w:t>
      </w:r>
      <w:r>
        <w:rPr>
          <w:rFonts w:ascii="Source Sans Pro" w:hAnsi="Source Sans Pro" w:hint="eastAsia"/>
          <w:color w:val="373A3C"/>
          <w:sz w:val="24"/>
          <w:szCs w:val="27"/>
        </w:rPr>
        <w:t>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연계하여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연구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모델을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설계함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  <w:r w:rsidR="003A57D1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>채널을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>평가하기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>위한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3A57D1">
        <w:rPr>
          <w:rFonts w:ascii="Source Sans Pro" w:hAnsi="Source Sans Pro"/>
          <w:color w:val="373A3C"/>
          <w:sz w:val="24"/>
          <w:szCs w:val="27"/>
        </w:rPr>
        <w:t>5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>가지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>변수는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>아래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3A57D1">
        <w:rPr>
          <w:rFonts w:ascii="Source Sans Pro" w:hAnsi="Source Sans Pro"/>
          <w:color w:val="373A3C"/>
          <w:sz w:val="24"/>
          <w:szCs w:val="27"/>
        </w:rPr>
        <w:t>Table2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>에서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>확인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>가능</w:t>
      </w:r>
      <w:r w:rsidR="003A57D1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0DE3D557" w14:textId="78206280" w:rsidR="00D05DDE" w:rsidRPr="003A57D1" w:rsidRDefault="003A57D1" w:rsidP="003A57D1">
      <w:pPr>
        <w:spacing w:line="240" w:lineRule="auto"/>
        <w:ind w:left="400"/>
        <w:rPr>
          <w:rFonts w:ascii="Source Sans Pro" w:hAnsi="Source Sans Pro" w:hint="eastAsia"/>
          <w:color w:val="373A3C"/>
          <w:sz w:val="24"/>
          <w:szCs w:val="27"/>
        </w:rPr>
      </w:pPr>
      <w:r w:rsidRPr="003A57D1">
        <w:rPr>
          <w:rFonts w:ascii="Source Sans Pro" w:hAnsi="Source Sans Pro"/>
          <w:color w:val="373A3C"/>
          <w:sz w:val="24"/>
          <w:szCs w:val="27"/>
        </w:rPr>
        <w:drawing>
          <wp:inline distT="0" distB="0" distL="0" distR="0" wp14:anchorId="0D6FCC87" wp14:editId="3B7B1DE0">
            <wp:extent cx="5731510" cy="17887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507D" w14:textId="26FBC5AA" w:rsidR="00D05DDE" w:rsidRPr="00D05DDE" w:rsidRDefault="00D05DDE" w:rsidP="00D05DDE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lastRenderedPageBreak/>
        <w:t>방법론</w:t>
      </w:r>
    </w:p>
    <w:p w14:paraId="6CA365A3" w14:textId="6D0965EB" w:rsidR="00744F8F" w:rsidRDefault="00A849B6" w:rsidP="00A849B6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국가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간</w:t>
      </w:r>
      <w:r w:rsidR="008C611C">
        <w:rPr>
          <w:rFonts w:ascii="Source Sans Pro" w:hAnsi="Source Sans Pro" w:hint="eastAsia"/>
          <w:color w:val="373A3C"/>
          <w:sz w:val="24"/>
          <w:szCs w:val="27"/>
        </w:rPr>
        <w:t>(</w:t>
      </w:r>
      <w:r w:rsidR="008C611C">
        <w:rPr>
          <w:rFonts w:ascii="Source Sans Pro" w:hAnsi="Source Sans Pro" w:hint="eastAsia"/>
          <w:color w:val="373A3C"/>
          <w:sz w:val="24"/>
          <w:szCs w:val="27"/>
        </w:rPr>
        <w:t>프랑스와</w:t>
      </w:r>
      <w:r w:rsidR="008C611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8C611C">
        <w:rPr>
          <w:rFonts w:ascii="Source Sans Pro" w:hAnsi="Source Sans Pro" w:hint="eastAsia"/>
          <w:color w:val="373A3C"/>
          <w:sz w:val="24"/>
          <w:szCs w:val="27"/>
        </w:rPr>
        <w:t>영국</w:t>
      </w:r>
      <w:r w:rsidR="008C611C">
        <w:rPr>
          <w:rFonts w:ascii="Source Sans Pro" w:hAnsi="Source Sans Pro" w:hint="eastAsia"/>
          <w:color w:val="373A3C"/>
          <w:sz w:val="24"/>
          <w:szCs w:val="27"/>
        </w:rPr>
        <w:t>)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활동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강화를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통한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지식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이전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역량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강화를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목표로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하는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Interreg IVA </w:t>
      </w:r>
      <w:r w:rsidRPr="00A849B6">
        <w:rPr>
          <w:rFonts w:ascii="Source Sans Pro" w:hAnsi="Source Sans Pro"/>
          <w:color w:val="373A3C"/>
          <w:sz w:val="24"/>
          <w:szCs w:val="27"/>
        </w:rPr>
        <w:t>프로젝트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- </w:t>
      </w:r>
      <w:r w:rsidRPr="00A849B6">
        <w:rPr>
          <w:rFonts w:ascii="Source Sans Pro" w:hAnsi="Source Sans Pro"/>
          <w:color w:val="373A3C"/>
          <w:sz w:val="24"/>
          <w:szCs w:val="27"/>
        </w:rPr>
        <w:t>경제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클러스터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내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기술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이전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프로젝트</w:t>
      </w:r>
      <w:r w:rsidRPr="00A849B6">
        <w:rPr>
          <w:rFonts w:ascii="Source Sans Pro" w:hAnsi="Source Sans Pro"/>
          <w:color w:val="373A3C"/>
          <w:sz w:val="24"/>
          <w:szCs w:val="27"/>
        </w:rPr>
        <w:t>(PROTTEC)(www. marinesoutheast.co.uk/prottec)</w:t>
      </w:r>
      <w:r>
        <w:rPr>
          <w:rFonts w:ascii="Source Sans Pro" w:hAnsi="Source Sans Pro" w:hint="eastAsia"/>
          <w:color w:val="373A3C"/>
          <w:sz w:val="24"/>
          <w:szCs w:val="27"/>
        </w:rPr>
        <w:t>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기반으로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연구는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두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가지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비교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지표를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사용하여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비교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프레임워크를</w:t>
      </w:r>
      <w:r w:rsidRPr="00A849B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9B6">
        <w:rPr>
          <w:rFonts w:ascii="Source Sans Pro" w:hAnsi="Source Sans Pro"/>
          <w:color w:val="373A3C"/>
          <w:sz w:val="24"/>
          <w:szCs w:val="27"/>
        </w:rPr>
        <w:t>도출</w:t>
      </w:r>
      <w:r w:rsidR="008C611C">
        <w:rPr>
          <w:rFonts w:ascii="Source Sans Pro" w:hAnsi="Source Sans Pro" w:hint="eastAsia"/>
          <w:color w:val="373A3C"/>
          <w:sz w:val="24"/>
          <w:szCs w:val="27"/>
        </w:rPr>
        <w:t>함</w:t>
      </w:r>
      <w:r w:rsidR="008C611C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1C97D625" w14:textId="6AAE7934" w:rsidR="008C611C" w:rsidRDefault="008C611C" w:rsidP="00A849B6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프랑스와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영국</w:t>
      </w:r>
      <w:r w:rsidR="00B962D9">
        <w:rPr>
          <w:rFonts w:ascii="Source Sans Pro" w:hAnsi="Source Sans Pro" w:hint="eastAsia"/>
          <w:color w:val="373A3C"/>
          <w:sz w:val="24"/>
          <w:szCs w:val="27"/>
        </w:rPr>
        <w:t>의</w:t>
      </w:r>
      <w:r w:rsidR="00B962D9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TO</w:t>
      </w:r>
      <w:r>
        <w:rPr>
          <w:rFonts w:ascii="Source Sans Pro" w:hAnsi="Source Sans Pro" w:hint="eastAsia"/>
          <w:color w:val="373A3C"/>
          <w:sz w:val="24"/>
          <w:szCs w:val="27"/>
        </w:rPr>
        <w:t>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대상으로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‘participant enquiry</w:t>
      </w:r>
      <w:r w:rsidRPr="008C611C">
        <w:rPr>
          <w:rFonts w:ascii="Source Sans Pro" w:hAnsi="Source Sans Pro"/>
          <w:color w:val="373A3C"/>
          <w:sz w:val="24"/>
          <w:szCs w:val="27"/>
        </w:rPr>
        <w:t>'</w:t>
      </w:r>
      <w:r w:rsidRPr="008C611C">
        <w:rPr>
          <w:rFonts w:ascii="Source Sans Pro" w:hAnsi="Source Sans Pro"/>
          <w:color w:val="373A3C"/>
          <w:sz w:val="24"/>
          <w:szCs w:val="27"/>
        </w:rPr>
        <w:t>와</w:t>
      </w:r>
      <w:r w:rsidRPr="008C611C">
        <w:rPr>
          <w:rFonts w:ascii="Source Sans Pro" w:hAnsi="Source Sans Pro"/>
          <w:color w:val="373A3C"/>
          <w:sz w:val="24"/>
          <w:szCs w:val="27"/>
        </w:rPr>
        <w:t xml:space="preserve"> '</w:t>
      </w:r>
      <w:r>
        <w:rPr>
          <w:rFonts w:ascii="Source Sans Pro" w:hAnsi="Source Sans Pro" w:hint="eastAsia"/>
          <w:color w:val="373A3C"/>
          <w:sz w:val="24"/>
          <w:szCs w:val="27"/>
        </w:rPr>
        <w:t>p</w:t>
      </w:r>
      <w:r>
        <w:rPr>
          <w:rFonts w:ascii="Source Sans Pro" w:hAnsi="Source Sans Pro"/>
          <w:color w:val="373A3C"/>
          <w:sz w:val="24"/>
          <w:szCs w:val="27"/>
        </w:rPr>
        <w:t>articipant interaction</w:t>
      </w:r>
      <w:r w:rsidRPr="008C611C">
        <w:rPr>
          <w:rFonts w:ascii="Source Sans Pro" w:hAnsi="Source Sans Pro"/>
          <w:color w:val="373A3C"/>
          <w:sz w:val="24"/>
          <w:szCs w:val="27"/>
        </w:rPr>
        <w:t>'</w:t>
      </w:r>
      <w:r w:rsidR="00322DDA">
        <w:rPr>
          <w:rFonts w:ascii="Source Sans Pro" w:hAnsi="Source Sans Pro" w:hint="eastAsia"/>
          <w:color w:val="373A3C"/>
          <w:sz w:val="24"/>
          <w:szCs w:val="27"/>
        </w:rPr>
        <w:t>을</w:t>
      </w:r>
      <w:r w:rsidR="00322DD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322DDA">
        <w:rPr>
          <w:rFonts w:ascii="Source Sans Pro" w:hAnsi="Source Sans Pro" w:hint="eastAsia"/>
          <w:color w:val="373A3C"/>
          <w:sz w:val="24"/>
          <w:szCs w:val="27"/>
        </w:rPr>
        <w:t>수행함</w:t>
      </w:r>
      <w:r w:rsidR="00322DDA">
        <w:rPr>
          <w:rFonts w:ascii="Source Sans Pro" w:hAnsi="Source Sans Pro" w:hint="eastAsia"/>
          <w:color w:val="373A3C"/>
          <w:sz w:val="24"/>
          <w:szCs w:val="27"/>
        </w:rPr>
        <w:t>.</w:t>
      </w:r>
      <w:r w:rsidRPr="008C611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C611C">
        <w:rPr>
          <w:rFonts w:ascii="Source Sans Pro" w:hAnsi="Source Sans Pro"/>
          <w:color w:val="373A3C"/>
          <w:sz w:val="24"/>
          <w:szCs w:val="27"/>
        </w:rPr>
        <w:t>대면</w:t>
      </w:r>
      <w:r w:rsidRPr="008C611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C611C">
        <w:rPr>
          <w:rFonts w:ascii="Source Sans Pro" w:hAnsi="Source Sans Pro"/>
          <w:color w:val="373A3C"/>
          <w:sz w:val="24"/>
          <w:szCs w:val="27"/>
        </w:rPr>
        <w:t>인터뷰</w:t>
      </w:r>
      <w:r w:rsidRPr="008C611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C611C">
        <w:rPr>
          <w:rFonts w:ascii="Source Sans Pro" w:hAnsi="Source Sans Pro"/>
          <w:color w:val="373A3C"/>
          <w:sz w:val="24"/>
          <w:szCs w:val="27"/>
        </w:rPr>
        <w:t>형태의</w:t>
      </w:r>
      <w:r w:rsidRPr="008C611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322DDA">
        <w:rPr>
          <w:rFonts w:ascii="Source Sans Pro" w:hAnsi="Source Sans Pro"/>
          <w:color w:val="373A3C"/>
          <w:sz w:val="24"/>
          <w:szCs w:val="27"/>
        </w:rPr>
        <w:t>participant enquiry</w:t>
      </w:r>
      <w:r w:rsidRPr="008C611C">
        <w:rPr>
          <w:rFonts w:ascii="Source Sans Pro" w:hAnsi="Source Sans Pro"/>
          <w:color w:val="373A3C"/>
          <w:sz w:val="24"/>
          <w:szCs w:val="27"/>
        </w:rPr>
        <w:t>는</w:t>
      </w:r>
      <w:r w:rsidRPr="008C611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C611C">
        <w:rPr>
          <w:rFonts w:ascii="Source Sans Pro" w:hAnsi="Source Sans Pro"/>
          <w:color w:val="373A3C"/>
          <w:sz w:val="24"/>
          <w:szCs w:val="27"/>
        </w:rPr>
        <w:t>영국과</w:t>
      </w:r>
      <w:r w:rsidRPr="008C611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C611C">
        <w:rPr>
          <w:rFonts w:ascii="Source Sans Pro" w:hAnsi="Source Sans Pro"/>
          <w:color w:val="373A3C"/>
          <w:sz w:val="24"/>
          <w:szCs w:val="27"/>
        </w:rPr>
        <w:t>프랑스에서</w:t>
      </w:r>
      <w:r w:rsidRPr="008C611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C611C">
        <w:rPr>
          <w:rFonts w:ascii="Source Sans Pro" w:hAnsi="Source Sans Pro"/>
          <w:color w:val="373A3C"/>
          <w:sz w:val="24"/>
          <w:szCs w:val="27"/>
        </w:rPr>
        <w:t>지식</w:t>
      </w:r>
      <w:r w:rsidRPr="008C611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C611C">
        <w:rPr>
          <w:rFonts w:ascii="Source Sans Pro" w:hAnsi="Source Sans Pro"/>
          <w:color w:val="373A3C"/>
          <w:sz w:val="24"/>
          <w:szCs w:val="27"/>
        </w:rPr>
        <w:t>이전</w:t>
      </w:r>
      <w:r w:rsidRPr="008C611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C611C">
        <w:rPr>
          <w:rFonts w:ascii="Source Sans Pro" w:hAnsi="Source Sans Pro"/>
          <w:color w:val="373A3C"/>
          <w:sz w:val="24"/>
          <w:szCs w:val="27"/>
        </w:rPr>
        <w:t>프로젝트에</w:t>
      </w:r>
      <w:r w:rsidRPr="008C611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C611C">
        <w:rPr>
          <w:rFonts w:ascii="Source Sans Pro" w:hAnsi="Source Sans Pro"/>
          <w:color w:val="373A3C"/>
          <w:sz w:val="24"/>
          <w:szCs w:val="27"/>
        </w:rPr>
        <w:t>참여한</w:t>
      </w:r>
      <w:r w:rsidRPr="008C611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C611C">
        <w:rPr>
          <w:rFonts w:ascii="Source Sans Pro" w:hAnsi="Source Sans Pro"/>
          <w:color w:val="373A3C"/>
          <w:sz w:val="24"/>
          <w:szCs w:val="27"/>
        </w:rPr>
        <w:t>경</w:t>
      </w:r>
      <w:r w:rsidR="00322DDA">
        <w:rPr>
          <w:rFonts w:ascii="Source Sans Pro" w:hAnsi="Source Sans Pro" w:hint="eastAsia"/>
          <w:color w:val="373A3C"/>
          <w:sz w:val="24"/>
          <w:szCs w:val="27"/>
        </w:rPr>
        <w:t>이</w:t>
      </w:r>
      <w:r w:rsidR="00322DDA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322DDA">
        <w:rPr>
          <w:rFonts w:ascii="Source Sans Pro" w:hAnsi="Source Sans Pro" w:hint="eastAsia"/>
          <w:color w:val="373A3C"/>
          <w:sz w:val="24"/>
          <w:szCs w:val="27"/>
        </w:rPr>
        <w:t>있는</w:t>
      </w:r>
      <w:r w:rsidR="00322DDA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8C611C">
        <w:rPr>
          <w:rFonts w:ascii="Source Sans Pro" w:hAnsi="Source Sans Pro"/>
          <w:color w:val="373A3C"/>
          <w:sz w:val="24"/>
          <w:szCs w:val="27"/>
        </w:rPr>
        <w:t>응답자로부터</w:t>
      </w:r>
      <w:r w:rsidRPr="008C611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C611C">
        <w:rPr>
          <w:rFonts w:ascii="Source Sans Pro" w:hAnsi="Source Sans Pro"/>
          <w:color w:val="373A3C"/>
          <w:sz w:val="24"/>
          <w:szCs w:val="27"/>
        </w:rPr>
        <w:t>데이터</w:t>
      </w:r>
      <w:r w:rsidR="00AA70EB">
        <w:rPr>
          <w:rFonts w:ascii="Source Sans Pro" w:hAnsi="Source Sans Pro" w:hint="eastAsia"/>
          <w:color w:val="373A3C"/>
          <w:sz w:val="24"/>
          <w:szCs w:val="27"/>
        </w:rPr>
        <w:t>를</w:t>
      </w:r>
      <w:r w:rsidR="00AA70EB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A70EB">
        <w:rPr>
          <w:rFonts w:ascii="Source Sans Pro" w:hAnsi="Source Sans Pro" w:hint="eastAsia"/>
          <w:color w:val="373A3C"/>
          <w:sz w:val="24"/>
          <w:szCs w:val="27"/>
        </w:rPr>
        <w:t>수집함</w:t>
      </w:r>
      <w:r w:rsidR="00AA70EB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12F2051E" w14:textId="0AC60599" w:rsidR="003D061D" w:rsidRDefault="003D061D" w:rsidP="003D061D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3D061D">
        <w:rPr>
          <w:rFonts w:ascii="Source Sans Pro" w:hAnsi="Source Sans Pro" w:hint="eastAsia"/>
          <w:color w:val="373A3C"/>
          <w:sz w:val="24"/>
          <w:szCs w:val="27"/>
        </w:rPr>
        <w:t>영국과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>프랑스의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15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>개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>다양한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>산업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>분야에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>걸친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>프로젝트에서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>샘플을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>추출하였으며</w:t>
      </w:r>
      <w:r w:rsidRPr="003D061D">
        <w:rPr>
          <w:rFonts w:ascii="Source Sans Pro" w:hAnsi="Source Sans Pro" w:hint="eastAsia"/>
          <w:color w:val="373A3C"/>
          <w:sz w:val="24"/>
          <w:szCs w:val="27"/>
        </w:rPr>
        <w:t>,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지식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이전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채널을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평가하고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3D061D">
        <w:rPr>
          <w:rFonts w:ascii="Source Sans Pro" w:hAnsi="Source Sans Pro"/>
          <w:color w:val="373A3C"/>
          <w:sz w:val="24"/>
          <w:szCs w:val="27"/>
        </w:rPr>
        <w:t>기본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채널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정의를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승인하고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3D061D">
        <w:rPr>
          <w:rFonts w:ascii="Source Sans Pro" w:hAnsi="Source Sans Pro"/>
          <w:color w:val="373A3C"/>
          <w:sz w:val="24"/>
          <w:szCs w:val="27"/>
        </w:rPr>
        <w:t>각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채널의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우선순위를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파악하기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위해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participative interaction</w:t>
      </w:r>
      <w:r w:rsidRPr="003D061D">
        <w:rPr>
          <w:rFonts w:ascii="Source Sans Pro" w:hAnsi="Source Sans Pro"/>
          <w:color w:val="373A3C"/>
          <w:sz w:val="24"/>
          <w:szCs w:val="27"/>
        </w:rPr>
        <w:t>을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사용</w:t>
      </w:r>
      <w:r>
        <w:rPr>
          <w:rFonts w:ascii="Source Sans Pro" w:hAnsi="Source Sans Pro" w:hint="eastAsia"/>
          <w:color w:val="373A3C"/>
          <w:sz w:val="24"/>
          <w:szCs w:val="27"/>
        </w:rPr>
        <w:t>함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426CBC7F" w14:textId="7BFC59A6" w:rsidR="003D061D" w:rsidRDefault="003D061D" w:rsidP="003D061D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3D061D">
        <w:rPr>
          <w:rFonts w:ascii="Source Sans Pro" w:hAnsi="Source Sans Pro"/>
          <w:color w:val="373A3C"/>
          <w:sz w:val="24"/>
          <w:szCs w:val="27"/>
        </w:rPr>
        <w:t>지식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및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기술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이전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활동에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대한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정책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및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전달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수준에서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책임을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맡고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있</w:t>
      </w:r>
      <w:r>
        <w:rPr>
          <w:rFonts w:ascii="Source Sans Pro" w:hAnsi="Source Sans Pro" w:hint="eastAsia"/>
          <w:color w:val="373A3C"/>
          <w:sz w:val="24"/>
          <w:szCs w:val="27"/>
        </w:rPr>
        <w:t>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인사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10</w:t>
      </w:r>
      <w:r w:rsidRPr="003D061D">
        <w:rPr>
          <w:rFonts w:ascii="Source Sans Pro" w:hAnsi="Source Sans Pro"/>
          <w:color w:val="373A3C"/>
          <w:sz w:val="24"/>
          <w:szCs w:val="27"/>
        </w:rPr>
        <w:t>명을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대상으로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한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인터뷰를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61D">
        <w:rPr>
          <w:rFonts w:ascii="Source Sans Pro" w:hAnsi="Source Sans Pro"/>
          <w:color w:val="373A3C"/>
          <w:sz w:val="24"/>
          <w:szCs w:val="27"/>
        </w:rPr>
        <w:t>참조</w:t>
      </w:r>
      <w:r>
        <w:rPr>
          <w:rFonts w:ascii="Source Sans Pro" w:hAnsi="Source Sans Pro" w:hint="eastAsia"/>
          <w:color w:val="373A3C"/>
          <w:sz w:val="24"/>
          <w:szCs w:val="27"/>
        </w:rPr>
        <w:t>함</w:t>
      </w:r>
      <w:r w:rsidRPr="003D061D">
        <w:rPr>
          <w:rFonts w:ascii="Source Sans Pro" w:hAnsi="Source Sans Pro"/>
          <w:color w:val="373A3C"/>
          <w:sz w:val="24"/>
          <w:szCs w:val="27"/>
        </w:rPr>
        <w:t>(</w:t>
      </w:r>
      <w:r w:rsidRPr="003D061D">
        <w:rPr>
          <w:rFonts w:ascii="Source Sans Pro" w:hAnsi="Source Sans Pro"/>
          <w:color w:val="373A3C"/>
          <w:sz w:val="24"/>
          <w:szCs w:val="27"/>
        </w:rPr>
        <w:t>프랑스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5</w:t>
      </w:r>
      <w:r w:rsidRPr="003D061D">
        <w:rPr>
          <w:rFonts w:ascii="Source Sans Pro" w:hAnsi="Source Sans Pro"/>
          <w:color w:val="373A3C"/>
          <w:sz w:val="24"/>
          <w:szCs w:val="27"/>
        </w:rPr>
        <w:t>명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3D061D">
        <w:rPr>
          <w:rFonts w:ascii="Source Sans Pro" w:hAnsi="Source Sans Pro"/>
          <w:color w:val="373A3C"/>
          <w:sz w:val="24"/>
          <w:szCs w:val="27"/>
        </w:rPr>
        <w:t>영국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5</w:t>
      </w:r>
      <w:r w:rsidRPr="003D061D">
        <w:rPr>
          <w:rFonts w:ascii="Source Sans Pro" w:hAnsi="Source Sans Pro"/>
          <w:color w:val="373A3C"/>
          <w:sz w:val="24"/>
          <w:szCs w:val="27"/>
        </w:rPr>
        <w:t>명</w:t>
      </w:r>
      <w:r w:rsidRPr="003D061D">
        <w:rPr>
          <w:rFonts w:ascii="Source Sans Pro" w:hAnsi="Source Sans Pro"/>
          <w:color w:val="373A3C"/>
          <w:sz w:val="24"/>
          <w:szCs w:val="27"/>
        </w:rPr>
        <w:t>)</w:t>
      </w:r>
      <w:r>
        <w:rPr>
          <w:rFonts w:ascii="Source Sans Pro" w:hAnsi="Source Sans Pro"/>
          <w:color w:val="373A3C"/>
          <w:sz w:val="24"/>
          <w:szCs w:val="27"/>
        </w:rPr>
        <w:t>.</w:t>
      </w:r>
      <w:r w:rsidRPr="003D061D">
        <w:rPr>
          <w:rFonts w:ascii="Source Sans Pro" w:hAnsi="Source Sans Pro"/>
          <w:color w:val="373A3C"/>
          <w:sz w:val="24"/>
          <w:szCs w:val="27"/>
        </w:rPr>
        <w:t xml:space="preserve"> </w:t>
      </w:r>
    </w:p>
    <w:p w14:paraId="1B08423F" w14:textId="3E646D21" w:rsidR="003A57D1" w:rsidRDefault="003A57D1" w:rsidP="003D061D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연구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설계도는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아래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Fig2</w:t>
      </w:r>
      <w:r>
        <w:rPr>
          <w:rFonts w:ascii="Source Sans Pro" w:hAnsi="Source Sans Pro" w:hint="eastAsia"/>
          <w:color w:val="373A3C"/>
          <w:sz w:val="24"/>
          <w:szCs w:val="27"/>
        </w:rPr>
        <w:t>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같음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7B5E3652" w14:textId="29A8C050" w:rsidR="00B560E4" w:rsidRDefault="003A57D1" w:rsidP="00413501">
      <w:pPr>
        <w:spacing w:line="240" w:lineRule="auto"/>
        <w:ind w:left="400"/>
        <w:jc w:val="center"/>
        <w:rPr>
          <w:rFonts w:ascii="Source Sans Pro" w:hAnsi="Source Sans Pro" w:hint="eastAsia"/>
          <w:color w:val="373A3C"/>
          <w:sz w:val="24"/>
          <w:szCs w:val="27"/>
        </w:rPr>
      </w:pPr>
      <w:r w:rsidRPr="003A57D1">
        <w:drawing>
          <wp:inline distT="0" distB="0" distL="0" distR="0" wp14:anchorId="1D42E753" wp14:editId="1FDE512F">
            <wp:extent cx="4025343" cy="35750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033" cy="35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3493" w14:textId="2B3ABB0C" w:rsidR="00B560E4" w:rsidRPr="00B560E4" w:rsidRDefault="00B560E4" w:rsidP="00B560E4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rFonts w:ascii="Source Sans Pro" w:hAnsi="Source Sans Pro" w:hint="eastAsia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lastRenderedPageBreak/>
        <w:t>C</w:t>
      </w:r>
      <w:r>
        <w:rPr>
          <w:rFonts w:ascii="Source Sans Pro" w:hAnsi="Source Sans Pro"/>
          <w:color w:val="373A3C"/>
          <w:sz w:val="24"/>
          <w:szCs w:val="27"/>
        </w:rPr>
        <w:t>C1</w:t>
      </w:r>
      <w:r>
        <w:rPr>
          <w:rFonts w:ascii="Source Sans Pro" w:hAnsi="Source Sans Pro" w:hint="eastAsia"/>
          <w:color w:val="373A3C"/>
          <w:sz w:val="24"/>
          <w:szCs w:val="27"/>
        </w:rPr>
        <w:t>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경우에는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동일한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결과가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나타났으나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프랑스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TO</w:t>
      </w:r>
      <w:r w:rsidR="0061623F">
        <w:rPr>
          <w:rFonts w:ascii="Source Sans Pro" w:hAnsi="Source Sans Pro"/>
          <w:color w:val="373A3C"/>
          <w:sz w:val="24"/>
          <w:szCs w:val="27"/>
        </w:rPr>
        <w:t>(</w:t>
      </w:r>
      <w:r w:rsidR="0061623F">
        <w:rPr>
          <w:rFonts w:ascii="Source Sans Pro" w:hAnsi="Source Sans Pro" w:hint="eastAsia"/>
          <w:color w:val="373A3C"/>
          <w:sz w:val="24"/>
          <w:szCs w:val="27"/>
        </w:rPr>
        <w:t>점선</w:t>
      </w:r>
      <w:r w:rsidR="0061623F">
        <w:rPr>
          <w:rFonts w:ascii="Source Sans Pro" w:hAnsi="Source Sans Pro" w:hint="eastAsia"/>
          <w:color w:val="373A3C"/>
          <w:sz w:val="24"/>
          <w:szCs w:val="27"/>
        </w:rPr>
        <w:t>)</w:t>
      </w:r>
      <w:r>
        <w:rPr>
          <w:rFonts w:ascii="Source Sans Pro" w:hAnsi="Source Sans Pro" w:hint="eastAsia"/>
          <w:color w:val="373A3C"/>
          <w:sz w:val="24"/>
          <w:szCs w:val="27"/>
        </w:rPr>
        <w:t>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영국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TO</w:t>
      </w:r>
      <w:r w:rsidR="0061623F">
        <w:rPr>
          <w:rFonts w:ascii="Source Sans Pro" w:hAnsi="Source Sans Pro"/>
          <w:color w:val="373A3C"/>
          <w:sz w:val="24"/>
          <w:szCs w:val="27"/>
        </w:rPr>
        <w:t>(</w:t>
      </w:r>
      <w:r w:rsidR="0061623F">
        <w:rPr>
          <w:rFonts w:ascii="Source Sans Pro" w:hAnsi="Source Sans Pro" w:hint="eastAsia"/>
          <w:color w:val="373A3C"/>
          <w:sz w:val="24"/>
          <w:szCs w:val="27"/>
        </w:rPr>
        <w:t>실선</w:t>
      </w:r>
      <w:r w:rsidR="0061623F">
        <w:rPr>
          <w:rFonts w:ascii="Source Sans Pro" w:hAnsi="Source Sans Pro" w:hint="eastAsia"/>
          <w:color w:val="373A3C"/>
          <w:sz w:val="24"/>
          <w:szCs w:val="27"/>
        </w:rPr>
        <w:t>)</w:t>
      </w:r>
      <w:r>
        <w:rPr>
          <w:rFonts w:ascii="Source Sans Pro" w:hAnsi="Source Sans Pro" w:hint="eastAsia"/>
          <w:color w:val="373A3C"/>
          <w:sz w:val="24"/>
          <w:szCs w:val="27"/>
        </w:rPr>
        <w:t>보다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상대적으로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거래지향적으로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보이며</w:t>
      </w:r>
      <w:r>
        <w:rPr>
          <w:rFonts w:ascii="Source Sans Pro" w:hAnsi="Source Sans Pro" w:hint="eastAsia"/>
          <w:color w:val="373A3C"/>
          <w:sz w:val="24"/>
          <w:szCs w:val="27"/>
        </w:rPr>
        <w:t>, C</w:t>
      </w:r>
      <w:r>
        <w:rPr>
          <w:rFonts w:ascii="Source Sans Pro" w:hAnsi="Source Sans Pro"/>
          <w:color w:val="373A3C"/>
          <w:sz w:val="24"/>
          <w:szCs w:val="27"/>
        </w:rPr>
        <w:t>C2</w:t>
      </w:r>
      <w:r>
        <w:rPr>
          <w:rFonts w:ascii="Source Sans Pro" w:hAnsi="Source Sans Pro" w:hint="eastAsia"/>
          <w:color w:val="373A3C"/>
          <w:sz w:val="24"/>
          <w:szCs w:val="27"/>
        </w:rPr>
        <w:t>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CC3</w:t>
      </w:r>
      <w:r>
        <w:rPr>
          <w:rFonts w:ascii="Source Sans Pro" w:hAnsi="Source Sans Pro" w:hint="eastAsia"/>
          <w:color w:val="373A3C"/>
          <w:sz w:val="24"/>
          <w:szCs w:val="27"/>
        </w:rPr>
        <w:t>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보면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프랑스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TO</w:t>
      </w:r>
      <w:r>
        <w:rPr>
          <w:rFonts w:ascii="Source Sans Pro" w:hAnsi="Source Sans Pro" w:hint="eastAsia"/>
          <w:color w:val="373A3C"/>
          <w:sz w:val="24"/>
          <w:szCs w:val="27"/>
        </w:rPr>
        <w:t>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영국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TO</w:t>
      </w:r>
      <w:r>
        <w:rPr>
          <w:rFonts w:ascii="Source Sans Pro" w:hAnsi="Source Sans Pro" w:hint="eastAsia"/>
          <w:color w:val="373A3C"/>
          <w:sz w:val="24"/>
          <w:szCs w:val="27"/>
        </w:rPr>
        <w:t>보다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상대적으로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관계지향적인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것을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확인할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있음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024E74B6" w14:textId="4EF6EED9" w:rsidR="003A57D1" w:rsidRPr="003A57D1" w:rsidRDefault="00B560E4" w:rsidP="003A57D1">
      <w:pPr>
        <w:spacing w:line="240" w:lineRule="auto"/>
        <w:ind w:left="400"/>
        <w:jc w:val="center"/>
        <w:rPr>
          <w:rFonts w:ascii="Source Sans Pro" w:hAnsi="Source Sans Pro" w:hint="eastAsia"/>
          <w:color w:val="373A3C"/>
          <w:sz w:val="24"/>
          <w:szCs w:val="27"/>
        </w:rPr>
      </w:pPr>
      <w:r w:rsidRPr="00B560E4">
        <w:rPr>
          <w:rFonts w:ascii="Source Sans Pro" w:hAnsi="Source Sans Pro"/>
          <w:color w:val="373A3C"/>
          <w:sz w:val="24"/>
          <w:szCs w:val="27"/>
        </w:rPr>
        <w:drawing>
          <wp:inline distT="0" distB="0" distL="0" distR="0" wp14:anchorId="7235D4E5" wp14:editId="664A27B1">
            <wp:extent cx="3878132" cy="333375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378" cy="333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9FE1" w14:textId="30E2F7A7" w:rsidR="00F716AB" w:rsidRPr="000C3AC8" w:rsidRDefault="007C0EBE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결론</w:t>
      </w:r>
    </w:p>
    <w:p w14:paraId="5F34C535" w14:textId="1679B248" w:rsidR="007C0EBE" w:rsidRDefault="00EF33B9" w:rsidP="00EF33B9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EF33B9">
        <w:rPr>
          <w:rFonts w:ascii="Source Sans Pro" w:hAnsi="Source Sans Pro"/>
          <w:color w:val="373A3C"/>
          <w:sz w:val="24"/>
          <w:szCs w:val="27"/>
        </w:rPr>
        <w:t>조직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구조의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차이에도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불구하고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다른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조직</w:t>
      </w:r>
      <w:r w:rsidR="00460E36">
        <w:rPr>
          <w:rFonts w:ascii="Source Sans Pro" w:hAnsi="Source Sans Pro" w:hint="eastAsia"/>
          <w:color w:val="373A3C"/>
          <w:sz w:val="24"/>
          <w:szCs w:val="27"/>
        </w:rPr>
        <w:t>의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동일한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범위의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활동이나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지식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전달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채널을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제공하지만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그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범위는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크게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다르지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않다는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460E36">
        <w:rPr>
          <w:rFonts w:ascii="Source Sans Pro" w:hAnsi="Source Sans Pro" w:hint="eastAsia"/>
          <w:color w:val="373A3C"/>
          <w:sz w:val="24"/>
          <w:szCs w:val="27"/>
        </w:rPr>
        <w:t>것을</w:t>
      </w:r>
      <w:r w:rsidR="00460E36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60E36">
        <w:rPr>
          <w:rFonts w:ascii="Source Sans Pro" w:hAnsi="Source Sans Pro" w:hint="eastAsia"/>
          <w:color w:val="373A3C"/>
          <w:sz w:val="24"/>
          <w:szCs w:val="27"/>
        </w:rPr>
        <w:t>보여주며</w:t>
      </w:r>
      <w:r w:rsidR="00460E36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이는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구축된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개념적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모델이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비교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목적에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유용하다는</w:t>
      </w:r>
      <w:r w:rsidRPr="00EF33B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F33B9">
        <w:rPr>
          <w:rFonts w:ascii="Source Sans Pro" w:hAnsi="Source Sans Pro"/>
          <w:color w:val="373A3C"/>
          <w:sz w:val="24"/>
          <w:szCs w:val="27"/>
        </w:rPr>
        <w:t>것을</w:t>
      </w:r>
      <w:r w:rsidR="00460E3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460E36">
        <w:rPr>
          <w:rFonts w:ascii="Source Sans Pro" w:hAnsi="Source Sans Pro" w:hint="eastAsia"/>
          <w:color w:val="373A3C"/>
          <w:sz w:val="24"/>
          <w:szCs w:val="27"/>
        </w:rPr>
        <w:t>설명함</w:t>
      </w:r>
      <w:r w:rsidR="00460E36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70F18B8D" w14:textId="77777777" w:rsidR="0086760E" w:rsidRDefault="00A8449A" w:rsidP="0086760E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T</w:t>
      </w:r>
      <w:r>
        <w:rPr>
          <w:rFonts w:ascii="Source Sans Pro" w:hAnsi="Source Sans Pro"/>
          <w:color w:val="373A3C"/>
          <w:sz w:val="24"/>
          <w:szCs w:val="27"/>
        </w:rPr>
        <w:t>O</w:t>
      </w:r>
      <w:r w:rsidRPr="00A8449A">
        <w:rPr>
          <w:rFonts w:ascii="Source Sans Pro" w:hAnsi="Source Sans Pro"/>
          <w:color w:val="373A3C"/>
          <w:sz w:val="24"/>
          <w:szCs w:val="27"/>
        </w:rPr>
        <w:t>의</w:t>
      </w:r>
      <w:r w:rsidRPr="00A8449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49A">
        <w:rPr>
          <w:rFonts w:ascii="Source Sans Pro" w:hAnsi="Source Sans Pro"/>
          <w:color w:val="373A3C"/>
          <w:sz w:val="24"/>
          <w:szCs w:val="27"/>
        </w:rPr>
        <w:t>비교</w:t>
      </w:r>
      <w:r w:rsidRPr="00A8449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49A">
        <w:rPr>
          <w:rFonts w:ascii="Source Sans Pro" w:hAnsi="Source Sans Pro"/>
          <w:color w:val="373A3C"/>
          <w:sz w:val="24"/>
          <w:szCs w:val="27"/>
        </w:rPr>
        <w:t>활동</w:t>
      </w:r>
      <w:r w:rsidRPr="00A8449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49A">
        <w:rPr>
          <w:rFonts w:ascii="Source Sans Pro" w:hAnsi="Source Sans Pro"/>
          <w:color w:val="373A3C"/>
          <w:sz w:val="24"/>
          <w:szCs w:val="27"/>
        </w:rPr>
        <w:t>수준과</w:t>
      </w:r>
      <w:r w:rsidRPr="00A8449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49A">
        <w:rPr>
          <w:rFonts w:ascii="Source Sans Pro" w:hAnsi="Source Sans Pro"/>
          <w:color w:val="373A3C"/>
          <w:sz w:val="24"/>
          <w:szCs w:val="27"/>
        </w:rPr>
        <w:t>지원을</w:t>
      </w:r>
      <w:r w:rsidRPr="00A8449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49A">
        <w:rPr>
          <w:rFonts w:ascii="Source Sans Pro" w:hAnsi="Source Sans Pro"/>
          <w:color w:val="373A3C"/>
          <w:sz w:val="24"/>
          <w:szCs w:val="27"/>
        </w:rPr>
        <w:t>모두</w:t>
      </w:r>
      <w:r w:rsidRPr="00A8449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49A">
        <w:rPr>
          <w:rFonts w:ascii="Source Sans Pro" w:hAnsi="Source Sans Pro"/>
          <w:color w:val="373A3C"/>
          <w:sz w:val="24"/>
          <w:szCs w:val="27"/>
        </w:rPr>
        <w:t>고려하여</w:t>
      </w:r>
      <w:r w:rsidRPr="00A8449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49A">
        <w:rPr>
          <w:rFonts w:ascii="Source Sans Pro" w:hAnsi="Source Sans Pro"/>
          <w:color w:val="373A3C"/>
          <w:sz w:val="24"/>
          <w:szCs w:val="27"/>
        </w:rPr>
        <w:t>다양한</w:t>
      </w:r>
      <w:r w:rsidRPr="00A8449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49A">
        <w:rPr>
          <w:rFonts w:ascii="Source Sans Pro" w:hAnsi="Source Sans Pro"/>
          <w:color w:val="373A3C"/>
          <w:sz w:val="24"/>
          <w:szCs w:val="27"/>
        </w:rPr>
        <w:t>지식</w:t>
      </w:r>
      <w:r w:rsidRPr="00A8449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49A">
        <w:rPr>
          <w:rFonts w:ascii="Source Sans Pro" w:hAnsi="Source Sans Pro"/>
          <w:color w:val="373A3C"/>
          <w:sz w:val="24"/>
          <w:szCs w:val="27"/>
        </w:rPr>
        <w:t>또는</w:t>
      </w:r>
      <w:r w:rsidRPr="00A8449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49A">
        <w:rPr>
          <w:rFonts w:ascii="Source Sans Pro" w:hAnsi="Source Sans Pro"/>
          <w:color w:val="373A3C"/>
          <w:sz w:val="24"/>
          <w:szCs w:val="27"/>
        </w:rPr>
        <w:t>기술</w:t>
      </w:r>
      <w:r w:rsidRPr="00A8449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49A">
        <w:rPr>
          <w:rFonts w:ascii="Source Sans Pro" w:hAnsi="Source Sans Pro"/>
          <w:color w:val="373A3C"/>
          <w:sz w:val="24"/>
          <w:szCs w:val="27"/>
        </w:rPr>
        <w:t>이전</w:t>
      </w:r>
      <w:r w:rsidRPr="00A8449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49A">
        <w:rPr>
          <w:rFonts w:ascii="Source Sans Pro" w:hAnsi="Source Sans Pro"/>
          <w:color w:val="373A3C"/>
          <w:sz w:val="24"/>
          <w:szCs w:val="27"/>
        </w:rPr>
        <w:t>모델을</w:t>
      </w:r>
      <w:r w:rsidRPr="00A8449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8449A">
        <w:rPr>
          <w:rFonts w:ascii="Source Sans Pro" w:hAnsi="Source Sans Pro"/>
          <w:color w:val="373A3C"/>
          <w:sz w:val="24"/>
          <w:szCs w:val="27"/>
        </w:rPr>
        <w:t>식</w:t>
      </w:r>
      <w:r w:rsidR="00311AE5">
        <w:rPr>
          <w:rFonts w:ascii="Source Sans Pro" w:hAnsi="Source Sans Pro" w:hint="eastAsia"/>
          <w:color w:val="373A3C"/>
          <w:sz w:val="24"/>
          <w:szCs w:val="27"/>
        </w:rPr>
        <w:t>별하여</w:t>
      </w:r>
      <w:r w:rsidR="00311AE5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311AE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1AE5">
        <w:rPr>
          <w:rFonts w:ascii="Source Sans Pro" w:hAnsi="Source Sans Pro"/>
          <w:color w:val="373A3C"/>
          <w:sz w:val="24"/>
          <w:szCs w:val="27"/>
        </w:rPr>
        <w:t>검색</w:t>
      </w:r>
      <w:r w:rsidRPr="00311AE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1AE5">
        <w:rPr>
          <w:rFonts w:ascii="Source Sans Pro" w:hAnsi="Source Sans Pro"/>
          <w:color w:val="373A3C"/>
          <w:sz w:val="24"/>
          <w:szCs w:val="27"/>
        </w:rPr>
        <w:t>단계에서</w:t>
      </w:r>
      <w:r w:rsidRPr="00311AE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1AE5">
        <w:rPr>
          <w:rFonts w:ascii="Source Sans Pro" w:hAnsi="Source Sans Pro"/>
          <w:color w:val="373A3C"/>
          <w:sz w:val="24"/>
          <w:szCs w:val="27"/>
        </w:rPr>
        <w:t>종종</w:t>
      </w:r>
      <w:r w:rsidRPr="00311AE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1AE5">
        <w:rPr>
          <w:rFonts w:ascii="Source Sans Pro" w:hAnsi="Source Sans Pro"/>
          <w:color w:val="373A3C"/>
          <w:sz w:val="24"/>
          <w:szCs w:val="27"/>
        </w:rPr>
        <w:t>제한되어</w:t>
      </w:r>
      <w:r w:rsidRPr="00311AE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1AE5">
        <w:rPr>
          <w:rFonts w:ascii="Source Sans Pro" w:hAnsi="Source Sans Pro"/>
          <w:color w:val="373A3C"/>
          <w:sz w:val="24"/>
          <w:szCs w:val="27"/>
        </w:rPr>
        <w:t>컨설턴트</w:t>
      </w:r>
      <w:r w:rsidRPr="00311AE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1AE5">
        <w:rPr>
          <w:rFonts w:ascii="Source Sans Pro" w:hAnsi="Source Sans Pro"/>
          <w:color w:val="373A3C"/>
          <w:sz w:val="24"/>
          <w:szCs w:val="27"/>
        </w:rPr>
        <w:t>및</w:t>
      </w:r>
      <w:r w:rsidRPr="00311AE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1AE5">
        <w:rPr>
          <w:rFonts w:ascii="Source Sans Pro" w:hAnsi="Source Sans Pro"/>
          <w:color w:val="373A3C"/>
          <w:sz w:val="24"/>
          <w:szCs w:val="27"/>
        </w:rPr>
        <w:t>기술</w:t>
      </w:r>
      <w:r w:rsidRPr="00311AE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1AE5">
        <w:rPr>
          <w:rFonts w:ascii="Source Sans Pro" w:hAnsi="Source Sans Pro"/>
          <w:color w:val="373A3C"/>
          <w:sz w:val="24"/>
          <w:szCs w:val="27"/>
        </w:rPr>
        <w:t>중개인에게</w:t>
      </w:r>
      <w:r w:rsidRPr="00311AE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311AE5">
        <w:rPr>
          <w:rFonts w:ascii="Source Sans Pro" w:hAnsi="Source Sans Pro" w:hint="eastAsia"/>
          <w:color w:val="373A3C"/>
          <w:sz w:val="24"/>
          <w:szCs w:val="27"/>
        </w:rPr>
        <w:t>제한되어</w:t>
      </w:r>
      <w:r w:rsidR="00311AE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311AE5">
        <w:rPr>
          <w:rFonts w:ascii="Source Sans Pro" w:hAnsi="Source Sans Pro" w:hint="eastAsia"/>
          <w:color w:val="373A3C"/>
          <w:sz w:val="24"/>
          <w:szCs w:val="27"/>
        </w:rPr>
        <w:t>있던</w:t>
      </w:r>
      <w:r w:rsidRPr="00311AE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311AE5">
        <w:rPr>
          <w:rFonts w:ascii="Source Sans Pro" w:hAnsi="Source Sans Pro" w:hint="eastAsia"/>
          <w:color w:val="373A3C"/>
          <w:sz w:val="24"/>
          <w:szCs w:val="27"/>
        </w:rPr>
        <w:t>기술</w:t>
      </w:r>
      <w:r w:rsidR="00311AE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311AE5">
        <w:rPr>
          <w:rFonts w:ascii="Source Sans Pro" w:hAnsi="Source Sans Pro" w:hint="eastAsia"/>
          <w:color w:val="373A3C"/>
          <w:sz w:val="24"/>
          <w:szCs w:val="27"/>
        </w:rPr>
        <w:t>이전</w:t>
      </w:r>
      <w:r w:rsidRPr="00311AE5">
        <w:rPr>
          <w:rFonts w:ascii="Source Sans Pro" w:hAnsi="Source Sans Pro"/>
          <w:color w:val="373A3C"/>
          <w:sz w:val="24"/>
          <w:szCs w:val="27"/>
        </w:rPr>
        <w:t>에서</w:t>
      </w:r>
      <w:r w:rsidRPr="00311AE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1AE5">
        <w:rPr>
          <w:rFonts w:ascii="Source Sans Pro" w:hAnsi="Source Sans Pro"/>
          <w:color w:val="373A3C"/>
          <w:sz w:val="24"/>
          <w:szCs w:val="27"/>
        </w:rPr>
        <w:t>중개</w:t>
      </w:r>
      <w:r w:rsidRPr="00311AE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1AE5">
        <w:rPr>
          <w:rFonts w:ascii="Source Sans Pro" w:hAnsi="Source Sans Pro"/>
          <w:color w:val="373A3C"/>
          <w:sz w:val="24"/>
          <w:szCs w:val="27"/>
        </w:rPr>
        <w:t>역할을</w:t>
      </w:r>
      <w:r w:rsidRPr="00311AE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1AE5">
        <w:rPr>
          <w:rFonts w:ascii="Source Sans Pro" w:hAnsi="Source Sans Pro"/>
          <w:color w:val="373A3C"/>
          <w:sz w:val="24"/>
          <w:szCs w:val="27"/>
        </w:rPr>
        <w:t>강조</w:t>
      </w:r>
      <w:r w:rsidR="00311AE5">
        <w:rPr>
          <w:rFonts w:ascii="Source Sans Pro" w:hAnsi="Source Sans Pro" w:hint="eastAsia"/>
          <w:color w:val="373A3C"/>
          <w:sz w:val="24"/>
          <w:szCs w:val="27"/>
        </w:rPr>
        <w:t>함</w:t>
      </w:r>
      <w:r w:rsidR="00311AE5">
        <w:rPr>
          <w:rFonts w:ascii="Source Sans Pro" w:hAnsi="Source Sans Pro" w:hint="eastAsia"/>
          <w:color w:val="373A3C"/>
          <w:sz w:val="24"/>
          <w:szCs w:val="27"/>
        </w:rPr>
        <w:t>.</w:t>
      </w:r>
      <w:r w:rsidRPr="00311AE5">
        <w:rPr>
          <w:rFonts w:ascii="Source Sans Pro" w:hAnsi="Source Sans Pro"/>
          <w:color w:val="373A3C"/>
          <w:sz w:val="24"/>
          <w:szCs w:val="27"/>
        </w:rPr>
        <w:t xml:space="preserve"> </w:t>
      </w:r>
    </w:p>
    <w:p w14:paraId="55B93EA2" w14:textId="1FAA43A5" w:rsidR="00A8449A" w:rsidRPr="0086760E" w:rsidRDefault="00A8449A" w:rsidP="0086760E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86760E">
        <w:rPr>
          <w:rFonts w:ascii="Source Sans Pro" w:hAnsi="Source Sans Pro" w:hint="eastAsia"/>
          <w:color w:val="373A3C"/>
          <w:sz w:val="24"/>
          <w:szCs w:val="27"/>
        </w:rPr>
        <w:t>프랑스와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영국에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위치한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두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개의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442A2F">
        <w:rPr>
          <w:rFonts w:ascii="Source Sans Pro" w:hAnsi="Source Sans Pro"/>
          <w:color w:val="373A3C"/>
          <w:sz w:val="24"/>
          <w:szCs w:val="27"/>
        </w:rPr>
        <w:t>TO</w:t>
      </w:r>
      <w:r w:rsidRPr="0086760E">
        <w:rPr>
          <w:rFonts w:ascii="Source Sans Pro" w:hAnsi="Source Sans Pro"/>
          <w:color w:val="373A3C"/>
          <w:sz w:val="24"/>
          <w:szCs w:val="27"/>
        </w:rPr>
        <w:t>에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대한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비교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연구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결과는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개방형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혁신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패러다임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내에서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운영되는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0A7902">
        <w:rPr>
          <w:rFonts w:ascii="Source Sans Pro" w:hAnsi="Source Sans Pro"/>
          <w:color w:val="373A3C"/>
          <w:sz w:val="24"/>
          <w:szCs w:val="27"/>
        </w:rPr>
        <w:t>TO</w:t>
      </w:r>
      <w:r w:rsidRPr="0086760E">
        <w:rPr>
          <w:rFonts w:ascii="Source Sans Pro" w:hAnsi="Source Sans Pro"/>
          <w:color w:val="373A3C"/>
          <w:sz w:val="24"/>
          <w:szCs w:val="27"/>
        </w:rPr>
        <w:t>의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전략적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관리를</w:t>
      </w:r>
      <w:r w:rsidR="008A3A78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위한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가이드를</w:t>
      </w:r>
      <w:r w:rsidRPr="0086760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6760E">
        <w:rPr>
          <w:rFonts w:ascii="Source Sans Pro" w:hAnsi="Source Sans Pro"/>
          <w:color w:val="373A3C"/>
          <w:sz w:val="24"/>
          <w:szCs w:val="27"/>
        </w:rPr>
        <w:t>제공</w:t>
      </w:r>
      <w:r w:rsidR="0086760E">
        <w:rPr>
          <w:rFonts w:ascii="Source Sans Pro" w:hAnsi="Source Sans Pro" w:hint="eastAsia"/>
          <w:color w:val="373A3C"/>
          <w:sz w:val="24"/>
          <w:szCs w:val="27"/>
        </w:rPr>
        <w:t>함</w:t>
      </w:r>
      <w:r w:rsidR="00D05DDE">
        <w:rPr>
          <w:rFonts w:ascii="Source Sans Pro" w:hAnsi="Source Sans Pro" w:hint="eastAsia"/>
          <w:color w:val="373A3C"/>
          <w:sz w:val="24"/>
          <w:szCs w:val="27"/>
        </w:rPr>
        <w:t>.</w:t>
      </w:r>
    </w:p>
    <w:sectPr w:rsidR="00A8449A" w:rsidRPr="008676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CAB60" w14:textId="77777777" w:rsidR="005D0B6E" w:rsidRDefault="005D0B6E" w:rsidP="00892E2F">
      <w:pPr>
        <w:spacing w:after="0" w:line="240" w:lineRule="auto"/>
      </w:pPr>
      <w:r>
        <w:separator/>
      </w:r>
    </w:p>
  </w:endnote>
  <w:endnote w:type="continuationSeparator" w:id="0">
    <w:p w14:paraId="1C557582" w14:textId="77777777" w:rsidR="005D0B6E" w:rsidRDefault="005D0B6E" w:rsidP="0089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D4AD" w14:textId="77777777" w:rsidR="00710821" w:rsidRDefault="007108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747108"/>
      <w:docPartObj>
        <w:docPartGallery w:val="Page Numbers (Bottom of Page)"/>
        <w:docPartUnique/>
      </w:docPartObj>
    </w:sdtPr>
    <w:sdtEndPr/>
    <w:sdtContent>
      <w:p w14:paraId="0CBE8683" w14:textId="65DAA164" w:rsidR="00710821" w:rsidRDefault="007108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A67B60F" w14:textId="0A5C29DC" w:rsidR="00892E2F" w:rsidRDefault="00892E2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0EF9" w14:textId="77777777" w:rsidR="00710821" w:rsidRDefault="007108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32779" w14:textId="77777777" w:rsidR="005D0B6E" w:rsidRDefault="005D0B6E" w:rsidP="00892E2F">
      <w:pPr>
        <w:spacing w:after="0" w:line="240" w:lineRule="auto"/>
      </w:pPr>
      <w:r>
        <w:separator/>
      </w:r>
    </w:p>
  </w:footnote>
  <w:footnote w:type="continuationSeparator" w:id="0">
    <w:p w14:paraId="1D46A8FD" w14:textId="77777777" w:rsidR="005D0B6E" w:rsidRDefault="005D0B6E" w:rsidP="00892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5B0D" w14:textId="77777777" w:rsidR="00710821" w:rsidRDefault="0071082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BCE5" w14:textId="77777777" w:rsidR="00710821" w:rsidRDefault="0071082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A956" w14:textId="77777777" w:rsidR="00710821" w:rsidRDefault="0071082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086"/>
    <w:multiLevelType w:val="hybridMultilevel"/>
    <w:tmpl w:val="0F5CA652"/>
    <w:lvl w:ilvl="0" w:tplc="8E06DE56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73218"/>
    <w:multiLevelType w:val="hybridMultilevel"/>
    <w:tmpl w:val="41107BEE"/>
    <w:lvl w:ilvl="0" w:tplc="3E9A2374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C45770"/>
    <w:multiLevelType w:val="hybridMultilevel"/>
    <w:tmpl w:val="D2E8A8F6"/>
    <w:lvl w:ilvl="0" w:tplc="81787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2C30AF"/>
    <w:multiLevelType w:val="hybridMultilevel"/>
    <w:tmpl w:val="6F42D9CE"/>
    <w:lvl w:ilvl="0" w:tplc="A2041C20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41568B"/>
    <w:multiLevelType w:val="hybridMultilevel"/>
    <w:tmpl w:val="D2E8A8F6"/>
    <w:lvl w:ilvl="0" w:tplc="81787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E9219E"/>
    <w:multiLevelType w:val="hybridMultilevel"/>
    <w:tmpl w:val="5D5634DC"/>
    <w:lvl w:ilvl="0" w:tplc="59A22B9C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8D83074"/>
    <w:multiLevelType w:val="hybridMultilevel"/>
    <w:tmpl w:val="4078C8A8"/>
    <w:lvl w:ilvl="0" w:tplc="993069FC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F27A10"/>
    <w:multiLevelType w:val="hybridMultilevel"/>
    <w:tmpl w:val="7868B444"/>
    <w:lvl w:ilvl="0" w:tplc="7F3EDD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A1"/>
    <w:rsid w:val="000020BD"/>
    <w:rsid w:val="00011650"/>
    <w:rsid w:val="00047D18"/>
    <w:rsid w:val="00066FF5"/>
    <w:rsid w:val="0008284E"/>
    <w:rsid w:val="00086AA4"/>
    <w:rsid w:val="000951BB"/>
    <w:rsid w:val="000A7902"/>
    <w:rsid w:val="000B6FE0"/>
    <w:rsid w:val="000C3AC8"/>
    <w:rsid w:val="000C7233"/>
    <w:rsid w:val="000E055D"/>
    <w:rsid w:val="000E1586"/>
    <w:rsid w:val="00103DCC"/>
    <w:rsid w:val="00114411"/>
    <w:rsid w:val="00122896"/>
    <w:rsid w:val="00142CAD"/>
    <w:rsid w:val="00157EAF"/>
    <w:rsid w:val="00162EC8"/>
    <w:rsid w:val="00167B55"/>
    <w:rsid w:val="00175DEC"/>
    <w:rsid w:val="001824EB"/>
    <w:rsid w:val="0019595A"/>
    <w:rsid w:val="001A6242"/>
    <w:rsid w:val="001E5AF3"/>
    <w:rsid w:val="001F189D"/>
    <w:rsid w:val="00206F6D"/>
    <w:rsid w:val="00221322"/>
    <w:rsid w:val="002226C7"/>
    <w:rsid w:val="00236013"/>
    <w:rsid w:val="0024148B"/>
    <w:rsid w:val="002768A1"/>
    <w:rsid w:val="002878DD"/>
    <w:rsid w:val="00297FF5"/>
    <w:rsid w:val="002B7C53"/>
    <w:rsid w:val="002F4C06"/>
    <w:rsid w:val="00311157"/>
    <w:rsid w:val="00311AE5"/>
    <w:rsid w:val="00322DDA"/>
    <w:rsid w:val="00326691"/>
    <w:rsid w:val="003322D2"/>
    <w:rsid w:val="003421DB"/>
    <w:rsid w:val="00366D64"/>
    <w:rsid w:val="003A57D1"/>
    <w:rsid w:val="003B3117"/>
    <w:rsid w:val="003D01AF"/>
    <w:rsid w:val="003D061D"/>
    <w:rsid w:val="003D5DFE"/>
    <w:rsid w:val="003F58FC"/>
    <w:rsid w:val="00413501"/>
    <w:rsid w:val="00422B1A"/>
    <w:rsid w:val="00442A2F"/>
    <w:rsid w:val="00460E36"/>
    <w:rsid w:val="004701CA"/>
    <w:rsid w:val="004724CF"/>
    <w:rsid w:val="004775C6"/>
    <w:rsid w:val="004A1CF1"/>
    <w:rsid w:val="004A3299"/>
    <w:rsid w:val="004B4D92"/>
    <w:rsid w:val="004C261F"/>
    <w:rsid w:val="004D0AC6"/>
    <w:rsid w:val="004E43F5"/>
    <w:rsid w:val="00512E09"/>
    <w:rsid w:val="00540EB5"/>
    <w:rsid w:val="005A7961"/>
    <w:rsid w:val="005B7BCD"/>
    <w:rsid w:val="005D0B6E"/>
    <w:rsid w:val="005D2B8A"/>
    <w:rsid w:val="005D67AC"/>
    <w:rsid w:val="005E0C72"/>
    <w:rsid w:val="005F11C6"/>
    <w:rsid w:val="005F3EA2"/>
    <w:rsid w:val="005F583F"/>
    <w:rsid w:val="006032C0"/>
    <w:rsid w:val="00607555"/>
    <w:rsid w:val="00613789"/>
    <w:rsid w:val="0061623F"/>
    <w:rsid w:val="006B446F"/>
    <w:rsid w:val="006B4813"/>
    <w:rsid w:val="006F5D5E"/>
    <w:rsid w:val="00704FC1"/>
    <w:rsid w:val="00710821"/>
    <w:rsid w:val="007313E3"/>
    <w:rsid w:val="00734808"/>
    <w:rsid w:val="00744F8F"/>
    <w:rsid w:val="00752784"/>
    <w:rsid w:val="00756B3F"/>
    <w:rsid w:val="0076578A"/>
    <w:rsid w:val="00773691"/>
    <w:rsid w:val="00786817"/>
    <w:rsid w:val="007874F7"/>
    <w:rsid w:val="007919A1"/>
    <w:rsid w:val="00792987"/>
    <w:rsid w:val="007C0EBE"/>
    <w:rsid w:val="007E5DAE"/>
    <w:rsid w:val="00843E60"/>
    <w:rsid w:val="00850057"/>
    <w:rsid w:val="00855BAF"/>
    <w:rsid w:val="00863EB8"/>
    <w:rsid w:val="0086760E"/>
    <w:rsid w:val="00880FC1"/>
    <w:rsid w:val="00890C37"/>
    <w:rsid w:val="00892E2F"/>
    <w:rsid w:val="00894C12"/>
    <w:rsid w:val="00894CC1"/>
    <w:rsid w:val="008963CB"/>
    <w:rsid w:val="008A3A78"/>
    <w:rsid w:val="008B3EB6"/>
    <w:rsid w:val="008C611C"/>
    <w:rsid w:val="009049A8"/>
    <w:rsid w:val="00916682"/>
    <w:rsid w:val="00916F02"/>
    <w:rsid w:val="00926BFC"/>
    <w:rsid w:val="009272D6"/>
    <w:rsid w:val="00942F48"/>
    <w:rsid w:val="0094658C"/>
    <w:rsid w:val="00950854"/>
    <w:rsid w:val="009605BF"/>
    <w:rsid w:val="00985EA2"/>
    <w:rsid w:val="009A2C62"/>
    <w:rsid w:val="009C4229"/>
    <w:rsid w:val="009F13A4"/>
    <w:rsid w:val="00A05388"/>
    <w:rsid w:val="00A17769"/>
    <w:rsid w:val="00A33778"/>
    <w:rsid w:val="00A40DC3"/>
    <w:rsid w:val="00A46935"/>
    <w:rsid w:val="00A8449A"/>
    <w:rsid w:val="00A849B6"/>
    <w:rsid w:val="00A902C6"/>
    <w:rsid w:val="00AA70EB"/>
    <w:rsid w:val="00AC70AD"/>
    <w:rsid w:val="00AD41C2"/>
    <w:rsid w:val="00AE0519"/>
    <w:rsid w:val="00AE1544"/>
    <w:rsid w:val="00AE4684"/>
    <w:rsid w:val="00B059AD"/>
    <w:rsid w:val="00B214D6"/>
    <w:rsid w:val="00B229A1"/>
    <w:rsid w:val="00B44FF9"/>
    <w:rsid w:val="00B560E4"/>
    <w:rsid w:val="00B57220"/>
    <w:rsid w:val="00B6481A"/>
    <w:rsid w:val="00B64C17"/>
    <w:rsid w:val="00B65A82"/>
    <w:rsid w:val="00B759E9"/>
    <w:rsid w:val="00B962D9"/>
    <w:rsid w:val="00B97F5C"/>
    <w:rsid w:val="00BA28F6"/>
    <w:rsid w:val="00BD2E54"/>
    <w:rsid w:val="00C03857"/>
    <w:rsid w:val="00C321EB"/>
    <w:rsid w:val="00C554B1"/>
    <w:rsid w:val="00C712E3"/>
    <w:rsid w:val="00C725D2"/>
    <w:rsid w:val="00C911D9"/>
    <w:rsid w:val="00C95F92"/>
    <w:rsid w:val="00C970D9"/>
    <w:rsid w:val="00D04D49"/>
    <w:rsid w:val="00D05DDE"/>
    <w:rsid w:val="00D1173B"/>
    <w:rsid w:val="00D3154D"/>
    <w:rsid w:val="00D32CF2"/>
    <w:rsid w:val="00D94704"/>
    <w:rsid w:val="00DB2B2E"/>
    <w:rsid w:val="00DB6E70"/>
    <w:rsid w:val="00DE774A"/>
    <w:rsid w:val="00E147AF"/>
    <w:rsid w:val="00E14C03"/>
    <w:rsid w:val="00E37AB0"/>
    <w:rsid w:val="00E40E74"/>
    <w:rsid w:val="00E43137"/>
    <w:rsid w:val="00E46469"/>
    <w:rsid w:val="00E50B3E"/>
    <w:rsid w:val="00E53D11"/>
    <w:rsid w:val="00E60B7F"/>
    <w:rsid w:val="00E639C9"/>
    <w:rsid w:val="00E810AE"/>
    <w:rsid w:val="00E90380"/>
    <w:rsid w:val="00EB25C9"/>
    <w:rsid w:val="00EB66E3"/>
    <w:rsid w:val="00EC14BE"/>
    <w:rsid w:val="00EC4282"/>
    <w:rsid w:val="00EC57CF"/>
    <w:rsid w:val="00EF33B9"/>
    <w:rsid w:val="00F05DC5"/>
    <w:rsid w:val="00F34F20"/>
    <w:rsid w:val="00F46D8F"/>
    <w:rsid w:val="00F54AFE"/>
    <w:rsid w:val="00F716AB"/>
    <w:rsid w:val="00F7336F"/>
    <w:rsid w:val="00FB2C24"/>
    <w:rsid w:val="00FB5837"/>
    <w:rsid w:val="00FB6788"/>
    <w:rsid w:val="00FC5808"/>
    <w:rsid w:val="00FC65E9"/>
    <w:rsid w:val="00FC71A5"/>
    <w:rsid w:val="00FE6F93"/>
    <w:rsid w:val="00FF045C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A42FB"/>
  <w15:chartTrackingRefBased/>
  <w15:docId w15:val="{A2C76F27-D88D-4F88-B6BC-954520BE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95A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14C0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31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2E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2E2F"/>
  </w:style>
  <w:style w:type="paragraph" w:styleId="a5">
    <w:name w:val="footer"/>
    <w:basedOn w:val="a"/>
    <w:link w:val="Char0"/>
    <w:uiPriority w:val="99"/>
    <w:unhideWhenUsed/>
    <w:rsid w:val="00892E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2E2F"/>
  </w:style>
  <w:style w:type="character" w:customStyle="1" w:styleId="anchor-text">
    <w:name w:val="anchor-text"/>
    <w:basedOn w:val="a0"/>
    <w:rsid w:val="00297FF5"/>
  </w:style>
  <w:style w:type="character" w:customStyle="1" w:styleId="2Char">
    <w:name w:val="제목 2 Char"/>
    <w:basedOn w:val="a0"/>
    <w:link w:val="2"/>
    <w:uiPriority w:val="9"/>
    <w:rsid w:val="00E14C03"/>
    <w:rPr>
      <w:rFonts w:ascii="굴림" w:eastAsia="굴림" w:hAnsi="굴림" w:cs="굴림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unhideWhenUsed/>
    <w:rsid w:val="00E14C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4C03"/>
    <w:rPr>
      <w:color w:val="605E5C"/>
      <w:shd w:val="clear" w:color="auto" w:fill="E1DFDD"/>
    </w:rPr>
  </w:style>
  <w:style w:type="character" w:customStyle="1" w:styleId="5Char">
    <w:name w:val="제목 5 Char"/>
    <w:basedOn w:val="a0"/>
    <w:link w:val="5"/>
    <w:uiPriority w:val="9"/>
    <w:semiHidden/>
    <w:rsid w:val="00E43137"/>
    <w:rPr>
      <w:rFonts w:asciiTheme="majorHAnsi" w:eastAsiaTheme="majorEastAsia" w:hAnsiTheme="majorHAnsi" w:cstheme="majorBidi"/>
    </w:rPr>
  </w:style>
  <w:style w:type="character" w:customStyle="1" w:styleId="react-xocs-alternative-link">
    <w:name w:val="react-xocs-alternative-link"/>
    <w:basedOn w:val="a0"/>
    <w:rsid w:val="00F34F20"/>
  </w:style>
  <w:style w:type="character" w:customStyle="1" w:styleId="given-name">
    <w:name w:val="given-name"/>
    <w:basedOn w:val="a0"/>
    <w:rsid w:val="00F34F20"/>
  </w:style>
  <w:style w:type="character" w:customStyle="1" w:styleId="text">
    <w:name w:val="text"/>
    <w:basedOn w:val="a0"/>
    <w:rsid w:val="00F34F20"/>
  </w:style>
  <w:style w:type="character" w:customStyle="1" w:styleId="author-ref">
    <w:name w:val="author-ref"/>
    <w:basedOn w:val="a0"/>
    <w:rsid w:val="00F34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techfore.2012.07.013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86E91-7262-49B1-AA3C-0C35DBF5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지석 안</dc:creator>
  <cp:keywords/>
  <dc:description/>
  <cp:lastModifiedBy>안지석</cp:lastModifiedBy>
  <cp:revision>50</cp:revision>
  <dcterms:created xsi:type="dcterms:W3CDTF">2023-09-22T01:45:00Z</dcterms:created>
  <dcterms:modified xsi:type="dcterms:W3CDTF">2023-10-09T03:49:00Z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c18ff88d-2b7d-4ed1-b4a2-85a2e3786dc7</vt:lpwstr>
  </property>
</Properties>
</file>