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맑은 고딕" w:cs="맑은 고딕" w:eastAsia="맑은 고딕" w:hAnsi="맑은 고딕"/>
          <w:b/>
          <w:bCs/>
          <w:color w:val="0F1C33"/>
          <w:sz w:val="44"/>
          <w:szCs w:val="44"/>
        </w:rPr>
        <w:t xml:space="preserve">업무 종합평가 보고서</w:t>
      </w:r>
    </w:p>
    <w:p>
      <w:pPr>
        <w:spacing w:after="60"/>
      </w:pPr>
      <w:r>
        <w:rPr>
          <w:rFonts w:ascii="맑은 고딕" w:cs="맑은 고딕" w:eastAsia="맑은 고딕" w:hAnsi="맑은 고딕"/>
          <w:b/>
          <w:bCs/>
          <w:color w:val="2E75B6"/>
          <w:sz w:val="21"/>
          <w:szCs w:val="21"/>
        </w:rPr>
        <w:t xml:space="preserve">강점 · 차별성 · 리스크 · 검증과제 종합 진단 (360)</w:t>
      </w:r>
    </w:p>
    <w:p>
      <w:pPr>
        <w:pBdr>
          <w:bottom w:val="single" w:color="0F1C33" w:sz="18" w:space="6"/>
        </w:pBdr>
        <w:spacing w:after="160"/>
      </w:pPr>
      <w:r>
        <w:rPr>
          <w:rFonts w:ascii="맑은 고딕" w:cs="맑은 고딕" w:eastAsia="맑은 고딕" w:hAnsi="맑은 고딕"/>
        </w:rPr>
        <w:t xml:space="preserve"/>
      </w:r>
    </w:p>
    <w:p>
      <w:pPr>
        <w:spacing w:after="30"/>
      </w:pPr>
      <w:r>
        <w:rPr>
          <w:rFonts w:ascii="맑은 고딕" w:cs="맑은 고딕" w:eastAsia="맑은 고딕" w:hAnsi="맑은 고딕"/>
          <w:color w:val="595959"/>
          <w:sz w:val="20"/>
          <w:szCs w:val="20"/>
        </w:rPr>
        <w:t xml:space="preserve">대상  </w:t>
      </w:r>
      <w:r>
        <w:rPr>
          <w:rFonts w:ascii="맑은 고딕" w:cs="맑은 고딕" w:eastAsia="맑은 고딕" w:hAnsi="맑은 고딕"/>
          <w:b/>
          <w:bCs/>
          <w:color w:val="0F1C33"/>
          <w:sz w:val="30"/>
          <w:szCs w:val="30"/>
        </w:rPr>
        <w:t xml:space="preserve">신재호 </w:t>
      </w:r>
      <w:r>
        <w:rPr>
          <w:rFonts w:ascii="맑은 고딕" w:cs="맑은 고딕" w:eastAsia="맑은 고딕" w:hAnsi="맑은 고딕"/>
          <w:color w:val="595959"/>
          <w:sz w:val="20"/>
          <w:szCs w:val="20"/>
        </w:rPr>
        <w:t xml:space="preserve">JAE-HO SHIN</w:t>
      </w:r>
    </w:p>
    <w:p>
      <w:pPr>
        <w:spacing w:after="120" w:before="0" w:line="264"/>
      </w:pPr>
      <w:r>
        <w:rPr>
          <w:rFonts w:ascii="맑은 고딕" w:cs="맑은 고딕" w:eastAsia="맑은 고딕" w:hAnsi="맑은 고딕"/>
          <w:b/>
          <w:bCs/>
          <w:color w:val="0F1C33"/>
          <w:sz w:val="19"/>
          <w:szCs w:val="19"/>
        </w:rPr>
        <w:t xml:space="preserve">건설 공무·원가·분쟁 15년 + 경영전략·투자유치(IR) + 서강대 MBA</w:t>
      </w:r>
    </w:p>
    <w:p>
      <w:pPr>
        <w:spacing w:after="160" w:before="0" w:line="264"/>
      </w:pPr>
      <w:r>
        <w:rPr>
          <w:rFonts w:ascii="맑은 고딕" w:cs="맑은 고딕" w:eastAsia="맑은 고딕" w:hAnsi="맑은 고딕"/>
          <w:color w:val="595959"/>
          <w:sz w:val="18"/>
          <w:szCs w:val="18"/>
        </w:rPr>
        <w:t xml:space="preserve">본 보고서는 회사별 업무 전수조사 보고서 6종(원본 파일 직접 확인)을 근거로, 신재호의 업무 역량·차별성과 함께 약점·리스크·검증과제를 가감 없이 진단한 솔직한 360 평가다. 강점 확대와 동시에 사전에 통제해야 할 리스크를 식별하는 데 목적이 있다.</w:t>
      </w:r>
    </w:p>
    <w:p>
      <w:pPr>
        <w:spacing w:after="80" w:before="0" w:line="264"/>
      </w:pPr>
      <w:r>
        <w:rPr>
          <w:rFonts w:ascii="맑은 고딕" w:cs="맑은 고딕" w:eastAsia="맑은 고딕" w:hAnsi="맑은 고딕"/>
          <w:b/>
          <w:bCs/>
          <w:color w:val="0F1C33"/>
          <w:sz w:val="20"/>
          <w:szCs w:val="20"/>
        </w:rPr>
        <w:t xml:space="preserve">종합 결론  </w:t>
      </w:r>
      <w:r>
        <w:rPr>
          <w:rFonts w:ascii="맑은 고딕" w:cs="맑은 고딕" w:eastAsia="맑은 고딕" w:hAnsi="맑은 고딕"/>
          <w:sz w:val="18"/>
          <w:szCs w:val="18"/>
        </w:rPr>
        <w:t xml:space="preserve">‘현장→본사 공무→사업본부’의 건설 원가·분쟁 통제력과 ‘Pre-Series A 40억 실무 총괄 클로징’의 자본조달 실행력을 한 사람이 보유한, 시장에서 드문 결합형 인재. 강점은 명확하나, 경력 도메인 교차·단기 재직과 일부 정량의 외부 검증 한계가 통제 과제다.</w:t>
      </w:r>
    </w:p>
    <w:p>
      <w:pPr>
        <w:spacing w:before="120"/>
      </w:pPr>
      <w:r>
        <w:rPr>
          <w:rFonts w:ascii="맑은 고딕" w:cs="맑은 고딕" w:eastAsia="맑은 고딕" w:hAnsi="맑은 고딕"/>
          <w:color w:val="595959"/>
          <w:sz w:val="16"/>
          <w:szCs w:val="16"/>
        </w:rPr>
        <w:t xml:space="preserve">작성일 2026.06.06    ·    평가 근거: 업무 전수조사 보고서 6종</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Executive Summary - 종합 진단</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500"/>
        <w:gridCol w:w="8240"/>
      </w:tblGrid>
      <w:tr>
        <w:trPr>
          <w:tblHeader/>
        </w:trPr>
        <w:tc>
          <w:tcPr>
            <w:tcW w:type="dxa" w:w="15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평가 축</w:t>
            </w:r>
          </w:p>
        </w:tc>
        <w:tc>
          <w:tcPr>
            <w:tcW w:type="dxa" w:w="824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한 줄 진단</w:t>
            </w:r>
          </w:p>
        </w:tc>
      </w:tr>
      <w:tr>
        <w:tc>
          <w:tcPr>
            <w:tcW w:type="dxa" w:w="15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핵심 강점</w:t>
            </w:r>
          </w:p>
        </w:tc>
        <w:tc>
          <w:tcPr>
            <w:tcW w:type="dxa" w:w="82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본사 공무 원가통제 + 자본조달(IR) 단독 실행 + 분쟁 서면대응을 한 사람이 수행. 견적·실행·정산을 일원 통제하고, 40억을 실무 총괄 클로징한 ‘실행 완주력’.</w:t>
            </w:r>
          </w:p>
        </w:tc>
      </w:tr>
      <w:tr>
        <w:tc>
          <w:tcPr>
            <w:tcW w:type="dxa" w:w="15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차별성</w:t>
            </w:r>
          </w:p>
        </w:tc>
        <w:tc>
          <w:tcPr>
            <w:tcW w:type="dxa" w:w="82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현장→본사 공무 심화 경로 자체가 드물고, 그 위에 IR 40억·MBA가 겹친 ‘건설 도메인 × 자본조달’ 결합은 건설업계 내 희소.</w:t>
            </w:r>
          </w:p>
        </w:tc>
      </w:tr>
      <w:tr>
        <w:tc>
          <w:tcPr>
            <w:tcW w:type="dxa" w:w="1500"/>
            <w:tcBorders>
              <w:top w:val="single" w:color="BFBFBF" w:sz="2"/>
              <w:left w:val="single" w:color="BFBFBF" w:sz="2"/>
              <w:bottom w:val="single" w:color="BFBFBF" w:sz="2"/>
              <w:right w:val="single" w:color="BFBFBF" w:sz="2"/>
            </w:tcBorders>
            <w:shd w:fill="FBE5CE"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B06A00"/>
                <w:sz w:val="18"/>
                <w:szCs w:val="18"/>
              </w:rPr>
              <w:t xml:space="preserve">약점·리스크</w:t>
            </w:r>
          </w:p>
        </w:tc>
        <w:tc>
          <w:tcPr>
            <w:tcW w:type="dxa" w:w="82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① 건설↔스타트업 도메인 교차·스타트업 단기 재직(안정성 인식) ② MBA·IR 보유의 과스펙 인식 ③ 단독수행 편중 대비 대규모 조직·P&amp;L 직접 책임 입증 제한 ④ 일부 정량의 외부 검증 한계.</w:t>
            </w:r>
          </w:p>
        </w:tc>
      </w:tr>
      <w:tr>
        <w:tc>
          <w:tcPr>
            <w:tcW w:type="dxa" w:w="1500"/>
            <w:tcBorders>
              <w:top w:val="single" w:color="BFBFBF" w:sz="2"/>
              <w:left w:val="single" w:color="BFBFBF" w:sz="2"/>
              <w:bottom w:val="single" w:color="BFBFBF" w:sz="2"/>
              <w:right w:val="single" w:color="BFBFBF" w:sz="2"/>
            </w:tcBorders>
            <w:shd w:fill="ECECEC"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595959"/>
                <w:sz w:val="18"/>
                <w:szCs w:val="18"/>
              </w:rPr>
              <w:t xml:space="preserve">검증 과제</w:t>
            </w:r>
          </w:p>
        </w:tc>
        <w:tc>
          <w:tcPr>
            <w:tcW w:type="dxa" w:w="82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소송 상대·쟁점·결과(동원), 단독/공동 산출물 구분, 도급액·실행률 등 내부수치, 경력 귀속(창원가포·인천공항 시기) - 외부 기재·면접 전 확정 필요.</w:t>
            </w:r>
          </w:p>
        </w:tc>
      </w:tr>
    </w:tbl>
    <w:p>
      <w:pPr>
        <w:spacing w:after="40"/>
      </w:pPr>
      <w:r>
        <w:rPr>
          <w:rFonts w:ascii="맑은 고딕" w:cs="맑은 고딕" w:eastAsia="맑은 고딕" w:hAnsi="맑은 고딕"/>
        </w:rPr>
        <w:t xml:space="preserve"/>
      </w:r>
    </w:p>
    <w:p>
      <w:pPr>
        <w:pStyle w:val="Heading2"/>
        <w:spacing w:after="90" w:before="200"/>
      </w:pPr>
      <w:r>
        <w:rPr>
          <w:rFonts w:ascii="맑은 고딕" w:cs="맑은 고딕" w:eastAsia="맑은 고딕" w:hAnsi="맑은 고딕"/>
          <w:b/>
          <w:bCs/>
          <w:color w:val="1E4E8C"/>
          <w:sz w:val="24"/>
          <w:szCs w:val="24"/>
        </w:rPr>
        <w:t xml:space="preserve">적합 포지션 우선순위 (평가 결론)</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140"/>
      </w:tblGrid>
      <w:tr>
        <w:trPr>
          <w:tblHeader/>
        </w:trPr>
        <w:tc>
          <w:tcPr>
            <w:tcW w:type="dxa" w:w="7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순위</w:t>
            </w:r>
          </w:p>
        </w:tc>
        <w:tc>
          <w:tcPr>
            <w:tcW w:type="dxa" w:w="29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포지션군</w:t>
            </w:r>
          </w:p>
        </w:tc>
        <w:tc>
          <w:tcPr>
            <w:tcW w:type="dxa" w:w="614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적합 근거 (강점 매핑)</w:t>
            </w:r>
          </w:p>
        </w:tc>
      </w:tr>
      <w:tr>
        <w:tc>
          <w:tcPr>
            <w:tcW w:type="dxa" w:w="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1</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디벨로퍼·PMC·사업관리</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원가·공정 + IR·재무추정 + MBA가 동시에 요구되는 영역 - 3대 강점 최적 결합</w:t>
            </w:r>
          </w:p>
        </w:tc>
      </w:tr>
      <w:tr>
        <w:tc>
          <w:tcPr>
            <w:tcW w:type="dxa" w:w="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2</w:t>
            </w:r>
          </w:p>
        </w:tc>
        <w:tc>
          <w:tcPr>
            <w:tcW w:type="dxa" w:w="29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건설사 본사 공무·원가·감사</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견적·실행·정산 일원 통제와 분쟁 서면대응이 즉시전력. (단 과스펙 인식 관리 필요)</w:t>
            </w:r>
          </w:p>
        </w:tc>
      </w:tr>
      <w:tr>
        <w:tc>
          <w:tcPr>
            <w:tcW w:type="dxa" w:w="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3</w:t>
            </w:r>
          </w:p>
        </w:tc>
        <w:tc>
          <w:tcPr>
            <w:tcW w:type="dxa" w:w="29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건설사 경영기획·전략</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스타트업 IR·지원사업·기획 경험이 건설사 기획직에서 차별화</w:t>
            </w:r>
          </w:p>
        </w:tc>
      </w:tr>
      <w:tr>
        <w:tc>
          <w:tcPr>
            <w:tcW w:type="dxa" w:w="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4</w:t>
            </w:r>
          </w:p>
        </w:tc>
        <w:tc>
          <w:tcPr>
            <w:tcW w:type="dxa" w:w="29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건설테크·스타트업 경영전략</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도메인 이해 + 투자유치 실무의 융합 포지션</w:t>
            </w:r>
          </w:p>
        </w:tc>
      </w:tr>
    </w:tbl>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Ⅰ. 평가 개요 · 방법</w:t>
      </w:r>
    </w:p>
    <w:p>
      <w:pPr>
        <w:pStyle w:val="Heading2"/>
        <w:spacing w:after="90" w:before="200"/>
      </w:pPr>
      <w:r>
        <w:rPr>
          <w:rFonts w:ascii="맑은 고딕" w:cs="맑은 고딕" w:eastAsia="맑은 고딕" w:hAnsi="맑은 고딕"/>
          <w:b/>
          <w:bCs/>
          <w:color w:val="1E4E8C"/>
          <w:sz w:val="24"/>
          <w:szCs w:val="24"/>
        </w:rPr>
        <w:t xml:space="preserve">목적</w:t>
      </w:r>
    </w:p>
    <w:p>
      <w:pPr>
        <w:spacing w:after="90" w:before="0" w:line="264"/>
      </w:pPr>
      <w:r>
        <w:rPr>
          <w:rFonts w:ascii="맑은 고딕" w:cs="맑은 고딕" w:eastAsia="맑은 고딕" w:hAnsi="맑은 고딕"/>
        </w:rPr>
        <w:t xml:space="preserve">신재호의 업무 역량을 객관적으로 진단하여, 강점을 극대화할 포지션을 도출하고 사전 통제가 필요한 리스크·검증 과제를 명확히 하는 데 목적이 있다. 셀링포인트 나열이 아니라, 의사결정·면접에서 노출될 수 있는 약점까지 선제 식별하는 관점으로 작성하였다.</w:t>
      </w:r>
    </w:p>
    <w:p>
      <w:pPr>
        <w:pStyle w:val="Heading2"/>
        <w:spacing w:after="90" w:before="200"/>
      </w:pPr>
      <w:r>
        <w:rPr>
          <w:rFonts w:ascii="맑은 고딕" w:cs="맑은 고딕" w:eastAsia="맑은 고딕" w:hAnsi="맑은 고딕"/>
          <w:b/>
          <w:bCs/>
          <w:color w:val="1E4E8C"/>
          <w:sz w:val="24"/>
          <w:szCs w:val="24"/>
        </w:rPr>
        <w:t xml:space="preserve">근거 자료</w:t>
      </w:r>
    </w:p>
    <w:p>
      <w:pPr>
        <w:spacing w:after="90" w:before="0" w:line="264"/>
      </w:pPr>
      <w:r>
        <w:rPr>
          <w:rFonts w:ascii="맑은 고딕" w:cs="맑은 고딕" w:eastAsia="맑은 고딕" w:hAnsi="맑은 고딕"/>
          <w:sz w:val="18"/>
          <w:szCs w:val="18"/>
        </w:rPr>
        <w:t xml:space="preserve">회사별 업무 전수조사 보고서 6종(2026.06.06) - 덴버코리아 / 건설경력(학진·아이윌·하동) / 한성토건 / 웍스메이트 투자유치·주주관리 / 웍스메이트 지원사업·제휴 / 어바웃피싱. 모든 평가는 원본 파일로 식별된 업무에 한정하며, 검증되지 않은 항목은 Ⅶ장 ‘검증 과제’로 분리하였다.</w:t>
      </w:r>
    </w:p>
    <w:p>
      <w:pPr>
        <w:pStyle w:val="Heading2"/>
        <w:spacing w:after="90" w:before="200"/>
      </w:pPr>
      <w:r>
        <w:rPr>
          <w:rFonts w:ascii="맑은 고딕" w:cs="맑은 고딕" w:eastAsia="맑은 고딕" w:hAnsi="맑은 고딕"/>
          <w:b/>
          <w:bCs/>
          <w:color w:val="1E4E8C"/>
          <w:sz w:val="24"/>
          <w:szCs w:val="24"/>
        </w:rPr>
        <w:t xml:space="preserve">평가 축</w:t>
      </w:r>
    </w:p>
    <w:p>
      <w:pPr>
        <w:pStyle w:val="ListParagraph"/>
        <w:numPr>
          <w:ilvl w:val="0"/>
          <w:numId w:val="2"/>
        </w:numPr>
        <w:spacing w:after="50" w:line="258"/>
      </w:pPr>
      <w:r>
        <w:rPr>
          <w:rFonts w:ascii="맑은 고딕" w:cs="맑은 고딕" w:eastAsia="맑은 고딕" w:hAnsi="맑은 고딕"/>
          <w:b/>
          <w:bCs/>
        </w:rPr>
        <w:t xml:space="preserve">역량 수준: </w:t>
      </w:r>
      <w:r>
        <w:rPr>
          <w:rFonts w:ascii="맑은 고딕" w:cs="맑은 고딕" w:eastAsia="맑은 고딕" w:hAnsi="맑은 고딕"/>
        </w:rPr>
        <w:t xml:space="preserve">‘상 / 중상 / 중’ 3단계 - 산출물의 범위·반복성·단독 수행 여부 기준.</w:t>
      </w:r>
    </w:p>
    <w:p>
      <w:pPr>
        <w:pStyle w:val="ListParagraph"/>
        <w:numPr>
          <w:ilvl w:val="0"/>
          <w:numId w:val="2"/>
        </w:numPr>
        <w:spacing w:after="50" w:line="258"/>
      </w:pPr>
      <w:r>
        <w:rPr>
          <w:rFonts w:ascii="맑은 고딕" w:cs="맑은 고딕" w:eastAsia="맑은 고딕" w:hAnsi="맑은 고딕"/>
          <w:b/>
          <w:bCs/>
        </w:rPr>
        <w:t xml:space="preserve">업무 스타일: </w:t>
      </w:r>
      <w:r>
        <w:rPr>
          <w:rFonts w:ascii="맑은 고딕" w:cs="맑은 고딕" w:eastAsia="맑은 고딕" w:hAnsi="맑은 고딕"/>
        </w:rPr>
        <w:t xml:space="preserve">사고방식·일하는 방식의 강점과 그 이면의 잠재 리스크를 함께 평가.</w:t>
      </w:r>
    </w:p>
    <w:p>
      <w:pPr>
        <w:pStyle w:val="ListParagraph"/>
        <w:numPr>
          <w:ilvl w:val="0"/>
          <w:numId w:val="2"/>
        </w:numPr>
        <w:spacing w:after="50" w:line="258"/>
      </w:pPr>
      <w:r>
        <w:rPr>
          <w:rFonts w:ascii="맑은 고딕" w:cs="맑은 고딕" w:eastAsia="맑은 고딕" w:hAnsi="맑은 고딕"/>
          <w:b/>
          <w:bCs/>
        </w:rPr>
        <w:t xml:space="preserve">리스크: </w:t>
      </w:r>
      <w:r>
        <w:rPr>
          <w:rFonts w:ascii="맑은 고딕" w:cs="맑은 고딕" w:eastAsia="맑은 고딕" w:hAnsi="맑은 고딕"/>
        </w:rPr>
        <w:t xml:space="preserve">경력 구조·시장 인식·입증 한계 등 의사결정에 영향을 주는 요인.</w:t>
      </w:r>
    </w:p>
    <w:p>
      <w:pPr>
        <w:spacing w:after="90" w:before="60" w:line="264"/>
      </w:pPr>
      <w:r>
        <w:rPr>
          <w:rFonts w:ascii="맑은 고딕" w:cs="맑은 고딕" w:eastAsia="맑은 고딕" w:hAnsi="맑은 고딕"/>
          <w:b/>
          <w:bCs/>
          <w:color w:val="B06A00"/>
        </w:rPr>
        <w:t xml:space="preserve">평가 한계: </w:t>
      </w:r>
      <w:r>
        <w:rPr>
          <w:rFonts w:ascii="맑은 고딕" w:cs="맑은 고딕" w:eastAsia="맑은 고딕" w:hAnsi="맑은 고딕"/>
          <w:sz w:val="18"/>
          <w:szCs w:val="18"/>
        </w:rPr>
        <w:t xml:space="preserve">근거 자료는 본인 산출물 아카이브 기반(자기보고 성격)이며, 일부 정량(도급액·실행률·소송 결과)은 외부 원천으로 재검증되지 않았다. 해당 항목은 단정하지 않고 ‘검증 과제’로 처리한다.</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Ⅱ. 핵심 강점</w:t>
      </w:r>
    </w:p>
    <w:p>
      <w:pPr>
        <w:pStyle w:val="Heading2"/>
        <w:spacing w:after="90" w:before="200"/>
      </w:pPr>
      <w:r>
        <w:rPr>
          <w:rFonts w:ascii="맑은 고딕" w:cs="맑은 고딕" w:eastAsia="맑은 고딕" w:hAnsi="맑은 고딕"/>
          <w:b/>
          <w:bCs/>
          <w:color w:val="1E4E8C"/>
          <w:sz w:val="24"/>
          <w:szCs w:val="24"/>
        </w:rPr>
        <w:t xml:space="preserve">강점 1 - 본사 공무 ‘원가 일원 통제’ 실행력</w:t>
      </w:r>
    </w:p>
    <w:p>
      <w:pPr>
        <w:spacing w:after="90" w:before="0" w:line="264"/>
      </w:pPr>
      <w:r>
        <w:rPr>
          <w:rFonts w:ascii="맑은 고딕" w:cs="맑은 고딕" w:eastAsia="맑은 고딕" w:hAnsi="맑은 고딕"/>
        </w:rPr>
        <w:t xml:space="preserve">수주견적 → 실행예산 → 기성·정산 → 품의·자금 → 손익·미불을 본사 한 축에서 통제한 경험이 반복 확인된다. 한성토건에서 동시 5개 현장+의 기성·실행을 본사가 검토·확정하는 체계를 운용했고, 실행대비표를 다단계 개정·본사확정(서산석림 다단계)하는 원가통제 프로세스를 직접 돌렸다. 덴버에서는 40여 프로젝트의 실행예산과 전 현장 정산을 총괄했다.</w:t>
      </w:r>
    </w:p>
    <w:p>
      <w:pPr>
        <w:spacing w:after="90" w:before="0" w:line="264"/>
      </w:pPr>
      <w:r>
        <w:rPr>
          <w:rFonts w:ascii="맑은 고딕" w:cs="맑은 고딕" w:eastAsia="맑은 고딕" w:hAnsi="맑은 고딕"/>
          <w:b/>
          <w:bCs/>
          <w:color w:val="2E6B2E"/>
        </w:rPr>
        <w:t xml:space="preserve">평가: </w:t>
      </w:r>
      <w:r>
        <w:rPr>
          <w:rFonts w:ascii="맑은 고딕" w:cs="맑은 고딕" w:eastAsia="맑은 고딕" w:hAnsi="맑은 고딕"/>
          <w:sz w:val="18"/>
          <w:szCs w:val="18"/>
        </w:rPr>
        <w:t xml:space="preserve">건설사 본사 공무직에서 즉시전력. 견적과 정산을 ‘따로’가 아니라 ‘한 흐름’으로 통제한다는 점이 일반 견적 담당과의 차이다.</w:t>
      </w:r>
    </w:p>
    <w:p>
      <w:pPr>
        <w:pStyle w:val="Heading2"/>
        <w:spacing w:after="90" w:before="200"/>
      </w:pPr>
      <w:r>
        <w:rPr>
          <w:rFonts w:ascii="맑은 고딕" w:cs="맑은 고딕" w:eastAsia="맑은 고딕" w:hAnsi="맑은 고딕"/>
          <w:b/>
          <w:bCs/>
          <w:color w:val="1E4E8C"/>
          <w:sz w:val="24"/>
          <w:szCs w:val="24"/>
        </w:rPr>
        <w:t xml:space="preserve">강점 2 - 자본조달(IR) 단독 ‘완주’ 실행력</w:t>
      </w:r>
    </w:p>
    <w:p>
      <w:pPr>
        <w:spacing w:after="90" w:before="0" w:line="264"/>
      </w:pPr>
      <w:r>
        <w:rPr>
          <w:rFonts w:ascii="맑은 고딕" w:cs="맑은 고딕" w:eastAsia="맑은 고딕" w:hAnsi="맑은 고딕"/>
        </w:rPr>
        <w:t xml:space="preserve">웍스메이트에서 Pre-Series A 브릿지 9개 기관 약 40.0억 원을 단독 창구로 클로징했다. 텀싯→실사→투심자료→Q&amp;A→계약 협상→납입→등기의 전 과정을 혼자 끌고 갔고, 기관 유형별(국책은행·CVC·ESG·정책펀드) 심사기준을 역산한 맞춤 IR/Q&amp;A 13건을 생산했다. 밸류 step-up(150→205억) 협상 근거자료도 직접 작성했다.</w:t>
      </w:r>
    </w:p>
    <w:p>
      <w:pPr>
        <w:spacing w:after="90" w:before="0" w:line="264"/>
      </w:pPr>
      <w:r>
        <w:rPr>
          <w:rFonts w:ascii="맑은 고딕" w:cs="맑은 고딕" w:eastAsia="맑은 고딕" w:hAnsi="맑은 고딕"/>
          <w:b/>
          <w:bCs/>
          <w:color w:val="2E6B2E"/>
        </w:rPr>
        <w:t xml:space="preserve">평가: </w:t>
      </w:r>
      <w:r>
        <w:rPr>
          <w:rFonts w:ascii="맑은 고딕" w:cs="맑은 고딕" w:eastAsia="맑은 고딕" w:hAnsi="맑은 고딕"/>
          <w:sz w:val="18"/>
          <w:szCs w:val="18"/>
        </w:rPr>
        <w:t xml:space="preserve">건설업계 경력자가 갖기 드문 역량. ‘단독으로 끝까지 클로징한다’는 완주력은 BD·사업개발·디벨로퍼 직무에서 강력한 차별점.</w:t>
      </w:r>
    </w:p>
    <w:p>
      <w:pPr>
        <w:pStyle w:val="Heading2"/>
        <w:spacing w:after="90" w:before="200"/>
      </w:pPr>
      <w:r>
        <w:rPr>
          <w:rFonts w:ascii="맑은 고딕" w:cs="맑은 고딕" w:eastAsia="맑은 고딕" w:hAnsi="맑은 고딕"/>
          <w:b/>
          <w:bCs/>
          <w:color w:val="1E4E8C"/>
          <w:sz w:val="24"/>
          <w:szCs w:val="24"/>
        </w:rPr>
        <w:t xml:space="preserve">강점 3 - 분쟁·법무 ‘서면·수치’ 대응력</w:t>
      </w:r>
    </w:p>
    <w:p>
      <w:pPr>
        <w:spacing w:after="90" w:before="0" w:line="264"/>
      </w:pPr>
      <w:r>
        <w:rPr>
          <w:rFonts w:ascii="맑은 고딕" w:cs="맑은 고딕" w:eastAsia="맑은 고딕" w:hAnsi="맑은 고딕"/>
        </w:rPr>
        <w:t xml:space="preserve">한성토건에서 회사 소송 3건(원주특수학교 외)을 동시 실무 총괄하며 소송금액 산정·간접비 기간 산출·감정 대응·준비서면 자료를 변호사와 협업해 생산했고, 덴버에서 정선 지반보강 분쟁의 회생법원 준비서면을 직접 작성했다. 건설 공무의 증빙·수치 통제 습관이 법무 서면의 ‘금액 논리’에 그대로 적용된다.</w:t>
      </w:r>
    </w:p>
    <w:p>
      <w:pPr>
        <w:spacing w:after="90" w:before="0" w:line="264"/>
      </w:pPr>
      <w:r>
        <w:rPr>
          <w:rFonts w:ascii="맑은 고딕" w:cs="맑은 고딕" w:eastAsia="맑은 고딕" w:hAnsi="맑은 고딕"/>
          <w:b/>
          <w:bCs/>
          <w:color w:val="2E6B2E"/>
        </w:rPr>
        <w:t xml:space="preserve">평가: </w:t>
      </w:r>
      <w:r>
        <w:rPr>
          <w:rFonts w:ascii="맑은 고딕" w:cs="맑은 고딕" w:eastAsia="맑은 고딕" w:hAnsi="맑은 고딕"/>
          <w:sz w:val="18"/>
          <w:szCs w:val="18"/>
        </w:rPr>
        <w:t xml:space="preserve">건설사가 선호하는 희소 역량. 단, ‘승소’ 등 결과는 외부 검증 전까지 단정하지 않는 것이 안전(Ⅶ장).</w:t>
      </w:r>
    </w:p>
    <w:p>
      <w:pPr>
        <w:pStyle w:val="Heading2"/>
        <w:spacing w:after="90" w:before="200"/>
      </w:pPr>
      <w:r>
        <w:rPr>
          <w:rFonts w:ascii="맑은 고딕" w:cs="맑은 고딕" w:eastAsia="맑은 고딕" w:hAnsi="맑은 고딕"/>
          <w:b/>
          <w:bCs/>
          <w:color w:val="1E4E8C"/>
          <w:sz w:val="24"/>
          <w:szCs w:val="24"/>
        </w:rPr>
        <w:t xml:space="preserve">강점 4 - ‘심사기준 역산형’ 문서 생산력</w:t>
      </w:r>
    </w:p>
    <w:p>
      <w:pPr>
        <w:spacing w:after="90" w:before="0" w:line="264"/>
      </w:pPr>
      <w:r>
        <w:rPr>
          <w:rFonts w:ascii="맑은 고딕" w:cs="맑은 고딕" w:eastAsia="맑은 고딕" w:hAnsi="맑은 고딕"/>
        </w:rPr>
        <w:t xml:space="preserve">정부·민간 지원사업 24건+(웍스 17·어바웃 7)을 심사 배점표·투자자 체크리스트를 먼저 놓고 역방향으로 설계해 작성했고, 다수 최종 선정(메트라이프·현대건설 오픈이노·우리금융 디노랩·OSA·경남TP 등)을 만들었다. 동일한 데이터를 독자(여신심사/VC 투심/ESG)에 따라 재가공하는 능력이 일관되게 나타난다.</w:t>
      </w:r>
    </w:p>
    <w:p>
      <w:pPr>
        <w:spacing w:after="90" w:before="0" w:line="264"/>
      </w:pPr>
      <w:r>
        <w:rPr>
          <w:rFonts w:ascii="맑은 고딕" w:cs="맑은 고딕" w:eastAsia="맑은 고딕" w:hAnsi="맑은 고딕"/>
          <w:b/>
          <w:bCs/>
          <w:color w:val="2E6B2E"/>
        </w:rPr>
        <w:t xml:space="preserve">평가: </w:t>
      </w:r>
      <w:r>
        <w:rPr>
          <w:rFonts w:ascii="맑은 고딕" w:cs="맑은 고딕" w:eastAsia="맑은 고딕" w:hAnsi="맑은 고딕"/>
          <w:sz w:val="18"/>
          <w:szCs w:val="18"/>
        </w:rPr>
        <w:t xml:space="preserve">제안서·IR·기획 직무 전반에 전이되는 메타 역량. 문서 생산성의 ‘질’이 높다.</w:t>
      </w:r>
    </w:p>
    <w:p>
      <w:pPr>
        <w:pStyle w:val="Heading2"/>
        <w:spacing w:after="90" w:before="200"/>
      </w:pPr>
      <w:r>
        <w:rPr>
          <w:rFonts w:ascii="맑은 고딕" w:cs="맑은 고딕" w:eastAsia="맑은 고딕" w:hAnsi="맑은 고딕"/>
          <w:b/>
          <w:bCs/>
          <w:color w:val="1E4E8C"/>
          <w:sz w:val="24"/>
          <w:szCs w:val="24"/>
        </w:rPr>
        <w:t xml:space="preserve">강점 5 - 건설 × 스타트업 ‘이중 언어’</w:t>
      </w:r>
    </w:p>
    <w:p>
      <w:pPr>
        <w:spacing w:after="90" w:before="0" w:line="264"/>
      </w:pPr>
      <w:r>
        <w:rPr>
          <w:rFonts w:ascii="맑은 고딕" w:cs="맑은 고딕" w:eastAsia="맑은 고딕" w:hAnsi="맑은 고딕"/>
        </w:rPr>
        <w:t xml:space="preserve">기성·실행예산·공정률·ESC(건설)와 IR·텀싯·밸류·step-up(스타트업)을 모두 별도 설명 없이 구사한다. 건설 도메인 깊이와 자본시장 언어를 한 사람이 가진 결합은 건설테크·디벨로퍼·PMC에서 통역 비용 없이 양쪽을 잇는 자산이다.</w:t>
      </w:r>
    </w:p>
    <w:p>
      <w:pPr>
        <w:spacing w:after="90" w:before="0" w:line="264"/>
      </w:pPr>
      <w:r>
        <w:rPr>
          <w:rFonts w:ascii="맑은 고딕" w:cs="맑은 고딕" w:eastAsia="맑은 고딕" w:hAnsi="맑은 고딕"/>
          <w:b/>
          <w:bCs/>
          <w:color w:val="2E6B2E"/>
        </w:rPr>
        <w:t xml:space="preserve">평가: </w:t>
      </w:r>
      <w:r>
        <w:rPr>
          <w:rFonts w:ascii="맑은 고딕" w:cs="맑은 고딕" w:eastAsia="맑은 고딕" w:hAnsi="맑은 고딕"/>
          <w:sz w:val="18"/>
          <w:szCs w:val="18"/>
        </w:rPr>
        <w:t xml:space="preserve">이 결합 자체가 신재호의 가장 큰 차별성(Ⅲ장).</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Ⅲ. 차별성 · 희소성</w:t>
      </w:r>
    </w:p>
    <w:p>
      <w:pPr>
        <w:spacing w:after="100" w:before="0" w:line="264"/>
      </w:pPr>
      <w:r>
        <w:rPr>
          <w:rFonts w:ascii="맑은 고딕" w:cs="맑은 고딕" w:eastAsia="맑은 고딕" w:hAnsi="맑은 고딕"/>
          <w:sz w:val="19"/>
          <w:szCs w:val="19"/>
        </w:rPr>
        <w:t xml:space="preserve">개별 역량보다 </w:t>
      </w:r>
      <w:r>
        <w:rPr>
          <w:rFonts w:ascii="맑은 고딕" w:cs="맑은 고딕" w:eastAsia="맑은 고딕" w:hAnsi="맑은 고딕"/>
          <w:b/>
          <w:bCs/>
          <w:color w:val="0F1C33"/>
          <w:sz w:val="19"/>
          <w:szCs w:val="19"/>
        </w:rPr>
        <w:t xml:space="preserve">결합 구조</w:t>
      </w:r>
      <w:r>
        <w:rPr>
          <w:rFonts w:ascii="맑은 고딕" w:cs="맑은 고딕" w:eastAsia="맑은 고딕" w:hAnsi="맑은 고딕"/>
          <w:sz w:val="19"/>
          <w:szCs w:val="19"/>
        </w:rPr>
        <w:t xml:space="preserve">가 핵심이다. 세 가지 축이 한 사람에게 겹친다.</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640"/>
      </w:tblGrid>
      <w:tr>
        <w:trPr>
          <w:tblHeader/>
        </w:trPr>
        <w:tc>
          <w:tcPr>
            <w:tcW w:type="dxa" w:w="14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축</w:t>
            </w:r>
          </w:p>
        </w:tc>
        <w:tc>
          <w:tcPr>
            <w:tcW w:type="dxa" w:w="37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내용</w:t>
            </w:r>
          </w:p>
        </w:tc>
        <w:tc>
          <w:tcPr>
            <w:tcW w:type="dxa" w:w="464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희소성 근거</w:t>
            </w:r>
          </w:p>
        </w:tc>
      </w:tr>
      <w:tr>
        <w:tc>
          <w:tcPr>
            <w:tcW w:type="dxa" w:w="14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깊이</w:t>
            </w:r>
          </w:p>
        </w:tc>
        <w:tc>
          <w:tcPr>
            <w:tcW w:type="dxa" w:w="3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현장 시공관리 → 본사 공무·원가 → 사업본부 부장</w:t>
            </w:r>
          </w:p>
        </w:tc>
        <w:tc>
          <w:tcPr>
            <w:tcW w:type="dxa" w:w="46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현장에서 본사 공무로 ‘올라간’ 경로 자체가 흔치 않음 - 견적·정산·분쟁을 모두 다룸</w:t>
            </w:r>
          </w:p>
        </w:tc>
      </w:tr>
      <w:tr>
        <w:tc>
          <w:tcPr>
            <w:tcW w:type="dxa" w:w="14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자본조달</w:t>
            </w:r>
          </w:p>
        </w:tc>
        <w:tc>
          <w:tcPr>
            <w:tcW w:type="dxa" w:w="3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Pre-Series A 40억 실무 총괄 클로징 · 14기관 사후관리</w:t>
            </w:r>
          </w:p>
        </w:tc>
        <w:tc>
          <w:tcPr>
            <w:tcW w:type="dxa" w:w="46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경력자 중 투자유치 실무를 단독 완주한 사례는 드묾</w:t>
            </w:r>
          </w:p>
        </w:tc>
      </w:tr>
      <w:tr>
        <w:tc>
          <w:tcPr>
            <w:tcW w:type="dxa" w:w="14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경영 지식</w:t>
            </w:r>
          </w:p>
        </w:tc>
        <w:tc>
          <w:tcPr>
            <w:tcW w:type="dxa" w:w="3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서강대 MBA(인사조직·전략)</w:t>
            </w:r>
          </w:p>
        </w:tc>
        <w:tc>
          <w:tcPr>
            <w:tcW w:type="dxa" w:w="46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실무 + MBA 결합으로 경영기획·전략까지 커버 가능</w:t>
            </w:r>
          </w:p>
        </w:tc>
      </w:tr>
    </w:tbl>
    <w:p>
      <w:pPr>
        <w:spacing w:after="90" w:before="80" w:line="264"/>
      </w:pPr>
      <w:r>
        <w:rPr>
          <w:rFonts w:ascii="맑은 고딕" w:cs="맑은 고딕" w:eastAsia="맑은 고딕" w:hAnsi="맑은 고딕"/>
          <w:b/>
          <w:bCs/>
          <w:color w:val="0F1C33"/>
        </w:rPr>
        <w:t xml:space="preserve">종합: </w:t>
      </w:r>
      <w:r>
        <w:rPr>
          <w:rFonts w:ascii="맑은 고딕" w:cs="맑은 고딕" w:eastAsia="맑은 고딕" w:hAnsi="맑은 고딕"/>
          <w:sz w:val="18"/>
          <w:szCs w:val="18"/>
        </w:rPr>
        <w:t xml:space="preserve">‘건설 원가·분쟁을 통제하면서 자본을 조달하고, 경영 언어로 설명할 수 있는 사람’은 시장에 많지 않다. 이 결합이 통째로 요구되는 </w:t>
      </w:r>
      <w:r>
        <w:rPr>
          <w:rFonts w:ascii="맑은 고딕" w:cs="맑은 고딕" w:eastAsia="맑은 고딕" w:hAnsi="맑은 고딕"/>
          <w:b/>
          <w:bCs/>
          <w:color w:val="1E4E8C"/>
          <w:sz w:val="18"/>
          <w:szCs w:val="18"/>
        </w:rPr>
        <w:t xml:space="preserve">디벨로퍼·PMC·사업관리</w:t>
      </w:r>
      <w:r>
        <w:rPr>
          <w:rFonts w:ascii="맑은 고딕" w:cs="맑은 고딕" w:eastAsia="맑은 고딕" w:hAnsi="맑은 고딕"/>
          <w:sz w:val="18"/>
          <w:szCs w:val="18"/>
        </w:rPr>
        <w:t xml:space="preserve"> 영역에서 적합도가 가장 높다.</w:t>
      </w:r>
    </w:p>
    <w:p>
      <w:pPr>
        <w:spacing w:after="90" w:before="0" w:line="264"/>
      </w:pPr>
      <w:r>
        <w:rPr>
          <w:rFonts w:ascii="맑은 고딕" w:cs="맑은 고딕" w:eastAsia="맑은 고딕" w:hAnsi="맑은 고딕"/>
          <w:b/>
          <w:bCs/>
          <w:color w:val="B06A00"/>
        </w:rPr>
        <w:t xml:space="preserve">주의: </w:t>
      </w:r>
      <w:r>
        <w:rPr>
          <w:rFonts w:ascii="맑은 고딕" w:cs="맑은 고딕" w:eastAsia="맑은 고딕" w:hAnsi="맑은 고딕"/>
          <w:sz w:val="18"/>
          <w:szCs w:val="18"/>
        </w:rPr>
        <w:t xml:space="preserve">동일한 결합이 ‘순수 건설 공무직’ 관점에서는 과스펙·이직 리스크로 읽힐 수 있다(Ⅵ장). 차별성과 리스크는 같은 사실의 양면이다.</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Ⅳ. 직무역량 평가 매트릭스</w:t>
      </w:r>
    </w:p>
    <w:p>
      <w:pPr>
        <w:spacing w:after="90" w:before="0" w:line="264"/>
      </w:pPr>
      <w:r>
        <w:rPr>
          <w:rFonts w:ascii="맑은 고딕" w:cs="맑은 고딕" w:eastAsia="맑은 고딕" w:hAnsi="맑은 고딕"/>
          <w:color w:val="595959"/>
          <w:sz w:val="17"/>
          <w:szCs w:val="17"/>
        </w:rPr>
        <w:t xml:space="preserve">수준은 산출물의 범위·반복성·단독 수행 여부 기준의 상대 평가다. (상 / 중상 / 중)</w:t>
      </w:r>
    </w:p>
    <w:p>
      <w:pPr>
        <w:pStyle w:val="Heading2"/>
        <w:spacing w:after="90" w:before="200"/>
      </w:pPr>
      <w:r>
        <w:rPr>
          <w:rFonts w:ascii="맑은 고딕" w:cs="맑은 고딕" w:eastAsia="맑은 고딕" w:hAnsi="맑은 고딕"/>
          <w:b/>
          <w:bCs/>
          <w:color w:val="1E4E8C"/>
          <w:sz w:val="24"/>
          <w:szCs w:val="24"/>
        </w:rPr>
        <w:t xml:space="preserve">건설 부문</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6140"/>
      </w:tblGrid>
      <w:tr>
        <w:trPr>
          <w:tblHeader/>
        </w:trPr>
        <w:tc>
          <w:tcPr>
            <w:tcW w:type="dxa" w:w="27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역량</w:t>
            </w:r>
          </w:p>
        </w:tc>
        <w:tc>
          <w:tcPr>
            <w:tcW w:type="dxa" w:w="9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수준</w:t>
            </w:r>
          </w:p>
        </w:tc>
        <w:tc>
          <w:tcPr>
            <w:tcW w:type="dxa" w:w="614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근거 · 평가</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수주견적·실행예산</w:t>
            </w:r>
          </w:p>
        </w:tc>
        <w:tc>
          <w:tcPr>
            <w:tcW w:type="dxa" w:w="9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한성 25건+/덴버 40여, 실행예산서 직접 작성 다수 - 즉시전력</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원가·정산 통제</w:t>
            </w:r>
          </w:p>
        </w:tc>
        <w:tc>
          <w:tcPr>
            <w:tcW w:type="dxa" w:w="9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상</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동시 5현장+ 본사검토·월정산 체계 운용 - 본사 공무 핵심 강점</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시공계획·수량산출</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학진~아이윌 다수(호남고철 수량 6권) - 현장 실무 탄탄</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가시설[흙막이]·현장관리</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CIP·어스앵커 + 현장소장 4개 현장 전현장 흑자준공</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분쟁·법무 서면</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소송 3건+1건 실무 - 희소 강점, 단 결과 검증 필요</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입찰·대관 행정</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LH 종심제·점용·산지전용·지하안전평가</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신기술·표준화</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신기술 지반보강·본부 매뉴얼·협력업체 평가체계</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대규모 조직·P&amp;L 직접책임</w:t>
            </w:r>
          </w:p>
        </w:tc>
        <w:tc>
          <w:tcPr>
            <w:tcW w:type="dxa" w:w="900"/>
            <w:tcBorders>
              <w:top w:val="single" w:color="BFBFBF" w:sz="2"/>
              <w:left w:val="single" w:color="BFBFBF" w:sz="2"/>
              <w:bottom w:val="single" w:color="BFBFBF" w:sz="2"/>
              <w:right w:val="single" w:color="BFBFBF" w:sz="2"/>
            </w:tcBorders>
            <w:shd w:fill="ECECEC"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595959"/>
                <w:sz w:val="18"/>
                <w:szCs w:val="18"/>
              </w:rPr>
              <w:t xml:space="preserve">중</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부장급이나 손익책임 단위의 직접 운영 입증은 제한적</w:t>
            </w:r>
          </w:p>
        </w:tc>
      </w:tr>
    </w:tbl>
    <w:p>
      <w:pPr>
        <w:spacing w:after="36"/>
      </w:pPr>
      <w:r>
        <w:rPr>
          <w:rFonts w:ascii="맑은 고딕" w:cs="맑은 고딕" w:eastAsia="맑은 고딕" w:hAnsi="맑은 고딕"/>
        </w:rPr>
        <w:t xml:space="preserve"/>
      </w:r>
    </w:p>
    <w:p>
      <w:pPr>
        <w:pStyle w:val="Heading2"/>
        <w:spacing w:after="90" w:before="200"/>
      </w:pPr>
      <w:r>
        <w:rPr>
          <w:rFonts w:ascii="맑은 고딕" w:cs="맑은 고딕" w:eastAsia="맑은 고딕" w:hAnsi="맑은 고딕"/>
          <w:b/>
          <w:bCs/>
          <w:color w:val="1E4E8C"/>
          <w:sz w:val="24"/>
          <w:szCs w:val="24"/>
        </w:rPr>
        <w:t xml:space="preserve">경영전략 부문</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6140"/>
      </w:tblGrid>
      <w:tr>
        <w:trPr>
          <w:tblHeader/>
        </w:trPr>
        <w:tc>
          <w:tcPr>
            <w:tcW w:type="dxa" w:w="27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역량</w:t>
            </w:r>
          </w:p>
        </w:tc>
        <w:tc>
          <w:tcPr>
            <w:tcW w:type="dxa" w:w="9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수준</w:t>
            </w:r>
          </w:p>
        </w:tc>
        <w:tc>
          <w:tcPr>
            <w:tcW w:type="dxa" w:w="614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근거 · 평가</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투자유치(IR) 실행</w:t>
            </w:r>
          </w:p>
        </w:tc>
        <w:tc>
          <w:tcPr>
            <w:tcW w:type="dxa" w:w="9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40억 실무 총괄 클로징 전 과정 - 건설계 희소</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투자사 사후관리·주주관리</w:t>
            </w:r>
          </w:p>
        </w:tc>
        <w:tc>
          <w:tcPr>
            <w:tcW w:type="dxa" w:w="9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상</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14기관·주총 5회·회계법인 실사 무이슈 - 디테일·증빙 강점</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지원사업 기획(심사 역산)</w:t>
            </w:r>
          </w:p>
        </w:tc>
        <w:tc>
          <w:tcPr>
            <w:tcW w:type="dxa" w:w="900"/>
            <w:tcBorders>
              <w:top w:val="single" w:color="BFBFBF" w:sz="2"/>
              <w:left w:val="single" w:color="BFBFBF" w:sz="2"/>
              <w:bottom w:val="single" w:color="BFBFBF" w:sz="2"/>
              <w:right w:val="single" w:color="BFBFBF" w:sz="2"/>
            </w:tcBorders>
            <w:shd w:fill="DCEAD9"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2E6B2E"/>
                <w:sz w:val="18"/>
                <w:szCs w:val="18"/>
              </w:rPr>
              <w:t xml:space="preserve">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24건+ 다수 최종선정 - 메타 역량</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재무추정·밸류에이션</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5개년 모델·조정PER·step-up 근거 - 실무 수준(전문 재무는 아님)</w:t>
            </w:r>
          </w:p>
        </w:tc>
      </w:tr>
      <w:tr>
        <w:tc>
          <w:tcPr>
            <w:tcW w:type="dxa" w:w="27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기업제휴·BD</w:t>
            </w:r>
          </w:p>
        </w:tc>
        <w:tc>
          <w:tcPr>
            <w:tcW w:type="dxa" w:w="900"/>
            <w:tcBorders>
              <w:top w:val="single" w:color="BFBFBF" w:sz="2"/>
              <w:left w:val="single" w:color="BFBFBF" w:sz="2"/>
              <w:bottom w:val="single" w:color="BFBFBF" w:sz="2"/>
              <w:right w:val="single" w:color="BFBFBF" w:sz="2"/>
            </w:tcBorders>
            <w:shd w:fill="DCE6F4"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1E4E8C"/>
                <w:sz w:val="18"/>
                <w:szCs w:val="18"/>
              </w:rPr>
              <w:t xml:space="preserve">중상</w:t>
            </w:r>
          </w:p>
        </w:tc>
        <w:tc>
          <w:tcPr>
            <w:tcW w:type="dxa" w:w="61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제휴 17건+·수요처 157사·하나손보 제휴</w:t>
            </w:r>
          </w:p>
        </w:tc>
      </w:tr>
      <w:tr>
        <w:tc>
          <w:tcPr>
            <w:tcW w:type="dxa" w:w="27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조직운영·리더십</w:t>
            </w:r>
          </w:p>
        </w:tc>
        <w:tc>
          <w:tcPr>
            <w:tcW w:type="dxa" w:w="900"/>
            <w:tcBorders>
              <w:top w:val="single" w:color="BFBFBF" w:sz="2"/>
              <w:left w:val="single" w:color="BFBFBF" w:sz="2"/>
              <w:bottom w:val="single" w:color="BFBFBF" w:sz="2"/>
              <w:right w:val="single" w:color="BFBFBF" w:sz="2"/>
            </w:tcBorders>
            <w:shd w:fill="ECECEC"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595959"/>
                <w:sz w:val="18"/>
                <w:szCs w:val="18"/>
              </w:rPr>
              <w:t xml:space="preserve">중</w:t>
            </w:r>
          </w:p>
        </w:tc>
        <w:tc>
          <w:tcPr>
            <w:tcW w:type="dxa" w:w="614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팀장급 운영 - 대규모 조직 리딩·다수 직속관리 입증 제한</w:t>
            </w:r>
          </w:p>
        </w:tc>
      </w:tr>
    </w:tbl>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Ⅴ. 업무 스타일 · 사고방식 평가</w:t>
      </w:r>
    </w:p>
    <w:p>
      <w:pPr>
        <w:spacing w:after="90" w:before="0" w:line="264"/>
      </w:pPr>
      <w:r>
        <w:rPr>
          <w:rFonts w:ascii="맑은 고딕" w:cs="맑은 고딕" w:eastAsia="맑은 고딕" w:hAnsi="맑은 고딕"/>
          <w:color w:val="595959"/>
          <w:sz w:val="18"/>
          <w:szCs w:val="18"/>
        </w:rPr>
        <w:t xml:space="preserve">강점이 곧 잠재 리스크가 되는 지점까지 함께 평가한다.</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3870"/>
        <w:gridCol w:w="4070"/>
      </w:tblGrid>
      <w:tr>
        <w:trPr>
          <w:tblHeader/>
        </w:trPr>
        <w:tc>
          <w:tcPr>
            <w:tcW w:type="dxa" w:w="18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스타일</w:t>
            </w:r>
          </w:p>
        </w:tc>
        <w:tc>
          <w:tcPr>
            <w:tcW w:type="dxa" w:w="387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강점</w:t>
            </w:r>
          </w:p>
        </w:tc>
        <w:tc>
          <w:tcPr>
            <w:tcW w:type="dxa" w:w="407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이면의 잠재 리스크</w:t>
            </w:r>
          </w:p>
        </w:tc>
      </w:tr>
      <w:tr>
        <w:tc>
          <w:tcPr>
            <w:tcW w:type="dxa" w:w="18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독자 역산형 사고</w:t>
            </w:r>
          </w:p>
        </w:tc>
        <w:tc>
          <w:tcPr>
            <w:tcW w:type="dxa" w:w="38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심사·투심 기준을 먼저 놓고 역설계 → 적중률 높은 문서</w:t>
            </w:r>
          </w:p>
        </w:tc>
        <w:tc>
          <w:tcPr>
            <w:tcW w:type="dxa" w:w="40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역산 전제(배점·기준)가 틀리면 전체 논리가 흔들림 - 전제 검증 루틴 필요</w:t>
            </w:r>
          </w:p>
        </w:tc>
      </w:tr>
      <w:tr>
        <w:tc>
          <w:tcPr>
            <w:tcW w:type="dxa" w:w="18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수치 증빙 원칙</w:t>
            </w:r>
          </w:p>
        </w:tc>
        <w:tc>
          <w:tcPr>
            <w:tcW w:type="dxa" w:w="387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근거 없는 숫자를 쓰지 않음 → 실사·감사에서 강함</w:t>
            </w:r>
          </w:p>
        </w:tc>
        <w:tc>
          <w:tcPr>
            <w:tcW w:type="dxa" w:w="407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속도가 필요한 국면에서 과도한 증빙 추구가 병목이 될 수 있음</w:t>
            </w:r>
          </w:p>
        </w:tc>
      </w:tr>
      <w:tr>
        <w:tc>
          <w:tcPr>
            <w:tcW w:type="dxa" w:w="18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구조화→실행→델타</w:t>
            </w:r>
          </w:p>
        </w:tc>
        <w:tc>
          <w:tcPr>
            <w:tcW w:type="dxa" w:w="38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빠른 실행 후 변경분만 수정 → 생산성 높음</w:t>
            </w:r>
          </w:p>
        </w:tc>
        <w:tc>
          <w:tcPr>
            <w:tcW w:type="dxa" w:w="40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구조화 단계 오류 시 후행 수정비용↑ - 초기 정렬 합의 중요</w:t>
            </w:r>
          </w:p>
        </w:tc>
      </w:tr>
      <w:tr>
        <w:tc>
          <w:tcPr>
            <w:tcW w:type="dxa" w:w="18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리스크 선제 통제</w:t>
            </w:r>
          </w:p>
        </w:tc>
        <w:tc>
          <w:tcPr>
            <w:tcW w:type="dxa" w:w="387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법적·구조적 리스크를 먼저 제거 후 협상</w:t>
            </w:r>
          </w:p>
        </w:tc>
        <w:tc>
          <w:tcPr>
            <w:tcW w:type="dxa" w:w="407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방어적 프레이밍이 공격적 기회 포착을 늦출 수 있음</w:t>
            </w:r>
          </w:p>
        </w:tc>
      </w:tr>
      <w:tr>
        <w:tc>
          <w:tcPr>
            <w:tcW w:type="dxa" w:w="18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단독 완주력</w:t>
            </w:r>
          </w:p>
        </w:tc>
        <w:tc>
          <w:tcPr>
            <w:tcW w:type="dxa" w:w="38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혼자 끝까지 클로징·정산·서면 완결</w:t>
            </w:r>
          </w:p>
        </w:tc>
        <w:tc>
          <w:tcPr>
            <w:tcW w:type="dxa" w:w="407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위임·팀 레버리지·후임 양성 경험이 상대적으로 적게 드러남</w:t>
            </w:r>
          </w:p>
        </w:tc>
      </w:tr>
    </w:tbl>
    <w:p>
      <w:pPr>
        <w:spacing w:after="90" w:before="70" w:line="264"/>
      </w:pPr>
      <w:r>
        <w:rPr>
          <w:rFonts w:ascii="맑은 고딕" w:cs="맑은 고딕" w:eastAsia="맑은 고딕" w:hAnsi="맑은 고딕"/>
          <w:b/>
          <w:bCs/>
          <w:color w:val="0F1C33"/>
        </w:rPr>
        <w:t xml:space="preserve">총평: </w:t>
      </w:r>
      <w:r>
        <w:rPr>
          <w:rFonts w:ascii="맑은 고딕" w:cs="맑은 고딕" w:eastAsia="맑은 고딕" w:hAnsi="맑은 고딕"/>
          <w:sz w:val="18"/>
          <w:szCs w:val="18"/>
        </w:rPr>
        <w:t xml:space="preserve">‘정확하게, 끝까지, 혼자서도’ 해내는 실행가형. 개인 실행력이 최대 강점이자, 조직 레버리지·위임 역량이 다음 성장 과제다. 부장→임원 트랙에서는 ‘직접 한다’에서 ‘시켜서 되게 한다’로의 전환 입증이 관건.</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Ⅵ. 약점 · 리스크 (직설)</w:t>
      </w:r>
    </w:p>
    <w:p>
      <w:pPr>
        <w:spacing w:after="90" w:before="0" w:line="264"/>
      </w:pPr>
      <w:r>
        <w:rPr>
          <w:rFonts w:ascii="맑은 고딕" w:cs="맑은 고딕" w:eastAsia="맑은 고딕" w:hAnsi="맑은 고딕"/>
          <w:color w:val="595959"/>
          <w:sz w:val="18"/>
          <w:szCs w:val="18"/>
        </w:rPr>
        <w:t xml:space="preserve">동의가 아니라 통제가 목적이다. 각 항목에 대응 방향을 함께 제시한다.</w:t>
      </w:r>
    </w:p>
    <w:p>
      <w:pPr>
        <w:spacing w:after="70" w:before="150"/>
      </w:pPr>
      <w:r>
        <w:rPr>
          <w:rFonts w:ascii="맑은 고딕" w:cs="맑은 고딕" w:eastAsia="맑은 고딕" w:hAnsi="맑은 고딕"/>
          <w:b/>
          <w:bCs/>
          <w:color w:val="0F1C33"/>
          <w:sz w:val="22"/>
          <w:szCs w:val="22"/>
        </w:rPr>
        <w:t xml:space="preserve">1. 경력 도메인 교차 · 스타트업 단기 재직</w:t>
      </w:r>
    </w:p>
    <w:p>
      <w:pPr>
        <w:spacing w:after="90" w:before="0" w:line="264"/>
      </w:pPr>
      <w:r>
        <w:rPr>
          <w:rFonts w:ascii="맑은 고딕" w:cs="맑은 고딕" w:eastAsia="맑은 고딕" w:hAnsi="맑은 고딕"/>
        </w:rPr>
        <w:t xml:space="preserve">건설(한성)→스타트업(웍스·애그유니)→건설(덴버)→스타트업(어바웃)으로 도메인이 교차하고, 스타트업 재직은 각각 1년 내외로 짧다. 평가자에 따라 ‘방향성·안정성 의문’으로 읽힐 수 있다.</w:t>
      </w:r>
    </w:p>
    <w:p>
      <w:pPr>
        <w:spacing w:after="90" w:before="0" w:line="264"/>
      </w:pPr>
      <w:r>
        <w:rPr>
          <w:rFonts w:ascii="맑은 고딕" w:cs="맑은 고딕" w:eastAsia="맑은 고딕" w:hAnsi="맑은 고딕"/>
          <w:b/>
          <w:bCs/>
          <w:color w:val="1E4E8C"/>
        </w:rPr>
        <w:t xml:space="preserve">대응: </w:t>
      </w:r>
      <w:r>
        <w:rPr>
          <w:rFonts w:ascii="맑은 고딕" w:cs="맑은 고딕" w:eastAsia="맑은 고딕" w:hAnsi="맑은 고딕"/>
          <w:sz w:val="18"/>
          <w:szCs w:val="18"/>
        </w:rPr>
        <w:t xml:space="preserve">교차를 ‘산만함’이 아니라 ‘건설 도메인을 자본·경영으로 확장한 일관된 궤적’으로 프레이밍. 단기 재직은 ‘프로젝트 단위 성과(40억 클로징·지원사업 선정)’ 중심으로 서술해 기간보다 결과를 전면화.</w:t>
      </w:r>
    </w:p>
    <w:p>
      <w:pPr>
        <w:spacing w:after="70" w:before="150"/>
      </w:pPr>
      <w:r>
        <w:rPr>
          <w:rFonts w:ascii="맑은 고딕" w:cs="맑은 고딕" w:eastAsia="맑은 고딕" w:hAnsi="맑은 고딕"/>
          <w:b/>
          <w:bCs/>
          <w:color w:val="0F1C33"/>
          <w:sz w:val="22"/>
          <w:szCs w:val="22"/>
        </w:rPr>
        <w:t xml:space="preserve">2. 과스펙 인식 리스크 (MBA + IR)</w:t>
      </w:r>
    </w:p>
    <w:p>
      <w:pPr>
        <w:spacing w:after="90" w:before="0" w:line="264"/>
      </w:pPr>
      <w:r>
        <w:rPr>
          <w:rFonts w:ascii="맑은 고딕" w:cs="맑은 고딕" w:eastAsia="맑은 고딕" w:hAnsi="맑은 고딕"/>
        </w:rPr>
        <w:t xml:space="preserve">순수 건설 공무직 관점에서는 MBA·IR 경력이 ‘오래 머물지 않을 사람’ 또는 ‘직무 대비 과한 스펙’으로 인식될 수 있다. 차별성과 동전의 양면이다.</w:t>
      </w:r>
    </w:p>
    <w:p>
      <w:pPr>
        <w:spacing w:after="90" w:before="0" w:line="264"/>
      </w:pPr>
      <w:r>
        <w:rPr>
          <w:rFonts w:ascii="맑은 고딕" w:cs="맑은 고딕" w:eastAsia="맑은 고딕" w:hAnsi="맑은 고딕"/>
          <w:b/>
          <w:bCs/>
          <w:color w:val="1E4E8C"/>
        </w:rPr>
        <w:t xml:space="preserve">대응: </w:t>
      </w:r>
      <w:r>
        <w:rPr>
          <w:rFonts w:ascii="맑은 고딕" w:cs="맑은 고딕" w:eastAsia="맑은 고딕" w:hAnsi="맑은 고딕"/>
          <w:sz w:val="18"/>
          <w:szCs w:val="18"/>
        </w:rPr>
        <w:t xml:space="preserve">포지션별로 강조 비중을 달리하는 것이 합리적 - 공무·감사 지원 시에는 원가·분쟁을 전면에 두고 MBA·IR은 보조 근거로 축소. 적합도가 높은 디벨로퍼·PMC·기획에서는 결합을 전면화.</w:t>
      </w:r>
    </w:p>
    <w:p>
      <w:pPr>
        <w:spacing w:after="70" w:before="150"/>
      </w:pPr>
      <w:r>
        <w:rPr>
          <w:rFonts w:ascii="맑은 고딕" w:cs="맑은 고딕" w:eastAsia="맑은 고딕" w:hAnsi="맑은 고딕"/>
          <w:b/>
          <w:bCs/>
          <w:color w:val="0F1C33"/>
          <w:sz w:val="22"/>
          <w:szCs w:val="22"/>
        </w:rPr>
        <w:t xml:space="preserve">3. 단독수행 편중 vs 대규모 조직·예산 직접 책임</w:t>
      </w:r>
    </w:p>
    <w:p>
      <w:pPr>
        <w:spacing w:after="90" w:before="0" w:line="264"/>
      </w:pPr>
      <w:r>
        <w:rPr>
          <w:rFonts w:ascii="맑은 고딕" w:cs="맑은 고딕" w:eastAsia="맑은 고딕" w:hAnsi="맑은 고딕"/>
        </w:rPr>
        <w:t xml:space="preserve">강점인 ‘단독 완주력’의 이면으로, 다수 인원·대규모 예산·손익(P&amp;L) 단위를 직접 책임지고 운영한 경험의 입증은 상대적으로 제한적이다. 임원급 평가에서 질문이 나올 수 있는 지점이다.</w:t>
      </w:r>
    </w:p>
    <w:p>
      <w:pPr>
        <w:spacing w:after="90" w:before="0" w:line="264"/>
      </w:pPr>
      <w:r>
        <w:rPr>
          <w:rFonts w:ascii="맑은 고딕" w:cs="맑은 고딕" w:eastAsia="맑은 고딕" w:hAnsi="맑은 고딕"/>
          <w:b/>
          <w:bCs/>
          <w:color w:val="1E4E8C"/>
        </w:rPr>
        <w:t xml:space="preserve">대응: </w:t>
      </w:r>
      <w:r>
        <w:rPr>
          <w:rFonts w:ascii="맑은 고딕" w:cs="맑은 고딕" w:eastAsia="맑은 고딕" w:hAnsi="맑은 고딕"/>
          <w:sz w:val="18"/>
          <w:szCs w:val="18"/>
        </w:rPr>
        <w:t xml:space="preserve">‘본사 공무로 전 현장의 원가·자금을 통제’한 범위(동시 5현장+, 40여 프로젝트 실행예산)를 사실상의 포트폴리오 관리 경험으로 정량화해 제시. 협력업체 평가체계·매뉴얼 제정 등 ‘시스템으로 통제한’ 사례를 조직 레버리지 근거로 활용.</w:t>
      </w:r>
    </w:p>
    <w:p>
      <w:pPr>
        <w:spacing w:after="70" w:before="150"/>
      </w:pPr>
      <w:r>
        <w:rPr>
          <w:rFonts w:ascii="맑은 고딕" w:cs="맑은 고딕" w:eastAsia="맑은 고딕" w:hAnsi="맑은 고딕"/>
          <w:b/>
          <w:bCs/>
          <w:color w:val="0F1C33"/>
          <w:sz w:val="22"/>
          <w:szCs w:val="22"/>
        </w:rPr>
        <w:t xml:space="preserve">4. 정량 성과의 외부 검증 한계</w:t>
      </w:r>
    </w:p>
    <w:p>
      <w:pPr>
        <w:spacing w:after="90" w:before="0" w:line="264"/>
      </w:pPr>
      <w:r>
        <w:rPr>
          <w:rFonts w:ascii="맑은 고딕" w:cs="맑은 고딕" w:eastAsia="맑은 고딕" w:hAnsi="맑은 고딕"/>
        </w:rPr>
        <w:t xml:space="preserve">핵심 수치(40억 등)는 투자계약서로 교차검증되나, 일부 건설 정량(도급액·실행률·BEP)과 소송 ‘결과’는 내부 파일 또는 기억 기반으로 외부 원천 재검증이 안 된 상태다.</w:t>
      </w:r>
    </w:p>
    <w:p>
      <w:pPr>
        <w:spacing w:after="90" w:before="0" w:line="264"/>
      </w:pPr>
      <w:r>
        <w:rPr>
          <w:rFonts w:ascii="맑은 고딕" w:cs="맑은 고딕" w:eastAsia="맑은 고딕" w:hAnsi="맑은 고딕"/>
          <w:b/>
          <w:bCs/>
          <w:color w:val="1E4E8C"/>
        </w:rPr>
        <w:t xml:space="preserve">대응: </w:t>
      </w:r>
      <w:r>
        <w:rPr>
          <w:rFonts w:ascii="맑은 고딕" w:cs="맑은 고딕" w:eastAsia="맑은 고딕" w:hAnsi="맑은 고딕"/>
          <w:sz w:val="18"/>
          <w:szCs w:val="18"/>
        </w:rPr>
        <w:t xml:space="preserve">Ⅶ장 검증 과제를 외부 기재·면접 전에 확정. 미검증 수치는 단정 대신 ‘본사 공무로 총괄’ 수준으로 표현해 리스크를 제거.</w:t>
      </w:r>
    </w:p>
    <w:p>
      <w:pPr>
        <w:spacing w:after="70" w:before="150"/>
      </w:pPr>
      <w:r>
        <w:rPr>
          <w:rFonts w:ascii="맑은 고딕" w:cs="맑은 고딕" w:eastAsia="맑은 고딕" w:hAnsi="맑은 고딕"/>
          <w:b/>
          <w:bCs/>
          <w:color w:val="0F1C33"/>
          <w:sz w:val="22"/>
          <w:szCs w:val="22"/>
        </w:rPr>
        <w:t xml:space="preserve">5. 실집행 트렌드 경험의 편중</w:t>
      </w:r>
    </w:p>
    <w:p>
      <w:pPr>
        <w:spacing w:after="90" w:before="0" w:line="264"/>
      </w:pPr>
      <w:r>
        <w:rPr>
          <w:rFonts w:ascii="맑은 고딕" w:cs="맑은 고딕" w:eastAsia="맑은 고딕" w:hAnsi="맑은 고딕"/>
        </w:rPr>
        <w:t xml:space="preserve">최신 스마트건설·디지털 시공의 ‘현장 실집행’보다는 견적·기획·품질관리(스마트지오시스 등) 측면 기여가 중심이다. 기술 실집행 역량을 직접 묻는 포지션에서는 보완 설명이 필요할 수 있다.</w:t>
      </w:r>
    </w:p>
    <w:p>
      <w:pPr>
        <w:spacing w:after="90" w:before="0" w:line="264"/>
      </w:pPr>
      <w:r>
        <w:rPr>
          <w:rFonts w:ascii="맑은 고딕" w:cs="맑은 고딕" w:eastAsia="맑은 고딕" w:hAnsi="맑은 고딕"/>
          <w:b/>
          <w:bCs/>
          <w:color w:val="1E4E8C"/>
        </w:rPr>
        <w:t xml:space="preserve">대응: </w:t>
      </w:r>
      <w:r>
        <w:rPr>
          <w:rFonts w:ascii="맑은 고딕" w:cs="맑은 고딕" w:eastAsia="맑은 고딕" w:hAnsi="맑은 고딕"/>
          <w:sz w:val="18"/>
          <w:szCs w:val="18"/>
        </w:rPr>
        <w:t xml:space="preserve">덴버의 신기술 지반보강·특허 R&amp;D 정리, 품질 모니터링 도입 경험을 ‘기술을 사업·견적으로 연결한’ 관점으로 제시.</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Ⅶ. 검증 과제 (외부 기재·면접 전 확정)</w:t>
      </w:r>
    </w:p>
    <w:p>
      <w:pPr>
        <w:spacing w:after="90" w:before="0" w:line="264"/>
      </w:pPr>
      <w:r>
        <w:rPr>
          <w:rFonts w:ascii="맑은 고딕" w:cs="맑은 고딕" w:eastAsia="맑은 고딕" w:hAnsi="맑은 고딕"/>
          <w:sz w:val="18"/>
          <w:szCs w:val="18"/>
        </w:rPr>
        <w:t xml:space="preserve">전수조사에서 [요확인]으로 식별된 항목. </w:t>
      </w:r>
      <w:r>
        <w:rPr>
          <w:rFonts w:ascii="맑은 고딕" w:cs="맑은 고딕" w:eastAsia="맑은 고딕" w:hAnsi="맑은 고딕"/>
          <w:b/>
          <w:bCs/>
          <w:color w:val="B06A00"/>
          <w:sz w:val="18"/>
          <w:szCs w:val="18"/>
        </w:rPr>
        <w:t xml:space="preserve">이력서·경력기술서 외부 제출 또는 면접 전 반드시 확정</w:t>
      </w:r>
      <w:r>
        <w:rPr>
          <w:rFonts w:ascii="맑은 고딕" w:cs="맑은 고딕" w:eastAsia="맑은 고딕" w:hAnsi="맑은 고딕"/>
          <w:sz w:val="18"/>
          <w:szCs w:val="18"/>
        </w:rPr>
        <w:t xml:space="preserve">해야 리스크가 제거된다.</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600"/>
        <w:gridCol w:w="2950"/>
        <w:gridCol w:w="3600"/>
        <w:gridCol w:w="2590"/>
      </w:tblGrid>
      <w:tr>
        <w:trPr>
          <w:tblHeader/>
        </w:trPr>
        <w:tc>
          <w:tcPr>
            <w:tcW w:type="dxa" w:w="6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w:t>
            </w:r>
          </w:p>
        </w:tc>
        <w:tc>
          <w:tcPr>
            <w:tcW w:type="dxa" w:w="295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검증 항목</w:t>
            </w:r>
          </w:p>
        </w:tc>
        <w:tc>
          <w:tcPr>
            <w:tcW w:type="dxa" w:w="360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현재 상태</w:t>
            </w:r>
          </w:p>
        </w:tc>
        <w:tc>
          <w:tcPr>
            <w:tcW w:type="dxa" w:w="2590"/>
            <w:tcBorders>
              <w:top w:val="single" w:color="BFBFBF" w:sz="2"/>
              <w:left w:val="single" w:color="BFBFBF" w:sz="2"/>
              <w:bottom w:val="single" w:color="BFBFBF" w:sz="2"/>
              <w:right w:val="single" w:color="BFBFBF" w:sz="2"/>
            </w:tcBorders>
            <w:shd w:fill="0F1C33" w:color="auto" w:val="clear"/>
            <w:tcMar>
              <w:top w:type="dxa" w:w="60"/>
              <w:left w:type="dxa" w:w="110"/>
              <w:bottom w:type="dxa" w:w="60"/>
              <w:right w:type="dxa" w:w="110"/>
            </w:tcMar>
            <w:vAlign w:val="center"/>
          </w:tcPr>
          <w:p>
            <w:pPr>
              <w:spacing w:after="0" w:line="240"/>
              <w:jc w:val="center"/>
            </w:pPr>
            <w:r>
              <w:rPr>
                <w:rFonts w:ascii="맑은 고딕" w:cs="맑은 고딕" w:eastAsia="맑은 고딕" w:hAnsi="맑은 고딕"/>
                <w:b/>
                <w:bCs/>
                <w:color w:val="FFFFFF"/>
                <w:sz w:val="18"/>
                <w:szCs w:val="18"/>
              </w:rPr>
              <w:t xml:space="preserve">조치</w:t>
            </w:r>
          </w:p>
        </w:tc>
      </w:tr>
      <w:tr>
        <w:tc>
          <w:tcPr>
            <w:tcW w:type="dxa" w:w="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1</w:t>
            </w:r>
          </w:p>
        </w:tc>
        <w:tc>
          <w:tcPr>
            <w:tcW w:type="dxa" w:w="295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한성토건 소송 정체성·결과</w:t>
            </w:r>
          </w:p>
        </w:tc>
        <w:tc>
          <w:tcPr>
            <w:tcW w:type="dxa" w:w="3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메모리 ‘동원개발 물가변동(ESC) 승소’ vs 폴더 ‘동원건설산업+미래 하도급대금/간접비, 2021.06까지 진행’ - 상대·쟁점·결과 불일치</w:t>
            </w:r>
          </w:p>
        </w:tc>
        <w:tc>
          <w:tcPr>
            <w:tcW w:type="dxa" w:w="259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판결문·조정조서로 상대·쟁점·결과 확정 후 기재. 확정 전 ‘승소’ 표현 보류</w:t>
            </w:r>
          </w:p>
        </w:tc>
      </w:tr>
      <w:tr>
        <w:tc>
          <w:tcPr>
            <w:tcW w:type="dxa" w:w="6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2</w:t>
            </w:r>
          </w:p>
        </w:tc>
        <w:tc>
          <w:tcPr>
            <w:tcW w:type="dxa" w:w="295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단독 / 공동 산출물 구분</w:t>
            </w:r>
          </w:p>
        </w:tc>
        <w:tc>
          <w:tcPr>
            <w:tcW w:type="dxa" w:w="36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실행대비표·정산 일부에 동료 수정본(오지욱·김건회 등) 혼재</w:t>
            </w:r>
          </w:p>
        </w:tc>
        <w:tc>
          <w:tcPr>
            <w:tcW w:type="dxa" w:w="259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‘본사 공무로 총괄·관리’와 ‘본인 직접 작성’을 분리 표기</w:t>
            </w:r>
          </w:p>
        </w:tc>
      </w:tr>
      <w:tr>
        <w:tc>
          <w:tcPr>
            <w:tcW w:type="dxa" w:w="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3</w:t>
            </w:r>
          </w:p>
        </w:tc>
        <w:tc>
          <w:tcPr>
            <w:tcW w:type="dxa" w:w="295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건설 내부 정량(금액)</w:t>
            </w:r>
          </w:p>
        </w:tc>
        <w:tc>
          <w:tcPr>
            <w:tcW w:type="dxa" w:w="3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도급액·실행률·BEP·소송 청구액 등은 파일명 노출분만 확인</w:t>
            </w:r>
          </w:p>
        </w:tc>
        <w:tc>
          <w:tcPr>
            <w:tcW w:type="dxa" w:w="259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원본 엑셀 열람 후 대표 수치 1~2개만 확정해 사용</w:t>
            </w:r>
          </w:p>
        </w:tc>
      </w:tr>
      <w:tr>
        <w:tc>
          <w:tcPr>
            <w:tcW w:type="dxa" w:w="6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4</w:t>
            </w:r>
          </w:p>
        </w:tc>
        <w:tc>
          <w:tcPr>
            <w:tcW w:type="dxa" w:w="295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경력 귀속</w:t>
            </w:r>
          </w:p>
        </w:tc>
        <w:tc>
          <w:tcPr>
            <w:tcW w:type="dxa" w:w="360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창원가포 LH(삼환기업/대지건설 파견), 인천공항 제2합동청사 시기(폴더 2017 vs 실수행 2014~2016)</w:t>
            </w:r>
          </w:p>
        </w:tc>
        <w:tc>
          <w:tcPr>
            <w:tcW w:type="dxa" w:w="2590"/>
            <w:tcBorders>
              <w:top w:val="single" w:color="BFBFBF" w:sz="2"/>
              <w:left w:val="single" w:color="BFBFBF" w:sz="2"/>
              <w:bottom w:val="single" w:color="BFBFBF" w:sz="2"/>
              <w:right w:val="single" w:color="BFBFBF" w:sz="2"/>
            </w:tcBorders>
            <w:shd w:fill="F4F7FB" w:color="auto" w:val="clear"/>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파견 처리·실수행 시기로 일관 정리</w:t>
            </w:r>
          </w:p>
        </w:tc>
      </w:tr>
      <w:tr>
        <w:tc>
          <w:tcPr>
            <w:tcW w:type="dxa" w:w="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5</w:t>
            </w:r>
          </w:p>
        </w:tc>
        <w:tc>
          <w:tcPr>
            <w:tcW w:type="dxa" w:w="295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어바웃피싱 지원사업 건수</w:t>
            </w:r>
          </w:p>
        </w:tc>
        <w:tc>
          <w:tcPr>
            <w:tcW w:type="dxa" w:w="360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최종/합격 5건 중 3건 확인, 2건 미확인</w:t>
            </w:r>
          </w:p>
        </w:tc>
        <w:tc>
          <w:tcPr>
            <w:tcW w:type="dxa" w:w="259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pPr>
              <w:spacing w:after="0" w:line="240"/>
              <w:jc w:val="left"/>
            </w:pPr>
            <w:r>
              <w:rPr>
                <w:rFonts w:ascii="맑은 고딕" w:cs="맑은 고딕" w:eastAsia="맑은 고딕" w:hAnsi="맑은 고딕"/>
                <w:b w:val="false"/>
                <w:bCs w:val="false"/>
                <w:sz w:val="18"/>
                <w:szCs w:val="18"/>
              </w:rPr>
              <w:t xml:space="preserve">결과통보로 2건 확정 후 수치 사용</w:t>
            </w:r>
          </w:p>
        </w:tc>
      </w:tr>
    </w:tbl>
    <w:p>
      <w:pPr>
        <w:spacing w:after="90" w:before="70" w:line="264"/>
      </w:pPr>
      <w:r>
        <w:rPr>
          <w:rFonts w:ascii="맑은 고딕" w:cs="맑은 고딕" w:eastAsia="맑은 고딕" w:hAnsi="맑은 고딕"/>
          <w:b/>
          <w:bCs/>
          <w:color w:val="0F1C33"/>
        </w:rPr>
        <w:t xml:space="preserve">원칙: </w:t>
      </w:r>
      <w:r>
        <w:rPr>
          <w:rFonts w:ascii="맑은 고딕" w:cs="맑은 고딕" w:eastAsia="맑은 고딕" w:hAnsi="맑은 고딕"/>
          <w:sz w:val="18"/>
          <w:szCs w:val="18"/>
        </w:rPr>
        <w:t xml:space="preserve">검증되지 않은 수치는 ‘생성하지 않는다’. 확정 전에는 범위·역할 중심으로 서술하고, 확정 후 정량으로 강화한다.</w:t>
      </w:r>
    </w:p>
    <w:p>
      <w:r>
        <w:br w:type="page"/>
      </w:r>
    </w:p>
    <w:p>
      <w:pPr>
        <w:pStyle w:val="Heading1"/>
        <w:pBdr>
          <w:bottom w:val="single" w:color="1E4E8C" w:sz="14" w:space="4"/>
        </w:pBdr>
        <w:spacing w:after="140" w:before="300"/>
      </w:pPr>
      <w:r>
        <w:rPr>
          <w:rFonts w:ascii="맑은 고딕" w:cs="맑은 고딕" w:eastAsia="맑은 고딕" w:hAnsi="맑은 고딕"/>
          <w:b/>
          <w:bCs/>
          <w:color w:val="0F1C33"/>
          <w:sz w:val="28"/>
          <w:szCs w:val="28"/>
        </w:rPr>
        <w:t xml:space="preserve">Ⅷ. 종합 결론 · 활용 제언</w:t>
      </w:r>
    </w:p>
    <w:p>
      <w:pPr>
        <w:pStyle w:val="Heading2"/>
        <w:spacing w:after="90" w:before="200"/>
      </w:pPr>
      <w:r>
        <w:rPr>
          <w:rFonts w:ascii="맑은 고딕" w:cs="맑은 고딕" w:eastAsia="맑은 고딕" w:hAnsi="맑은 고딕"/>
          <w:b/>
          <w:bCs/>
          <w:color w:val="1E4E8C"/>
          <w:sz w:val="24"/>
          <w:szCs w:val="24"/>
        </w:rPr>
        <w:t xml:space="preserve">종합 결론</w:t>
      </w:r>
    </w:p>
    <w:p>
      <w:pPr>
        <w:spacing w:after="90" w:before="0" w:line="264"/>
      </w:pPr>
      <w:r>
        <w:rPr>
          <w:rFonts w:ascii="맑은 고딕" w:cs="맑은 고딕" w:eastAsia="맑은 고딕" w:hAnsi="맑은 고딕"/>
          <w:sz w:val="19"/>
          <w:szCs w:val="19"/>
        </w:rPr>
        <w:t xml:space="preserve">신재호는 </w:t>
      </w:r>
      <w:r>
        <w:rPr>
          <w:rFonts w:ascii="맑은 고딕" w:cs="맑은 고딕" w:eastAsia="맑은 고딕" w:hAnsi="맑은 고딕"/>
          <w:b/>
          <w:bCs/>
          <w:color w:val="0F1C33"/>
          <w:sz w:val="19"/>
          <w:szCs w:val="19"/>
        </w:rPr>
        <w:t xml:space="preserve">건설 원가·분쟁 통제력과 자본조달 실행력을 결합한 ‘실행 완주형 결합 인재’</w:t>
      </w:r>
      <w:r>
        <w:rPr>
          <w:rFonts w:ascii="맑은 고딕" w:cs="맑은 고딕" w:eastAsia="맑은 고딕" w:hAnsi="맑은 고딕"/>
          <w:sz w:val="19"/>
          <w:szCs w:val="19"/>
        </w:rPr>
        <w:t xml:space="preserve">다. 개인 실행력·문서 생산력·증빙 통제력이 최상위 강점이며, 이 결합이 통째로 요구되는 디벨로퍼·PMC·사업관리에서 적합도가 가장 높다. 통제 과제는 ‘경력 서사의 일관성 프레이밍’, ‘포지션별 강조 비중 조정’, ‘미검증 정량의 확정’ 세 가지다.</w:t>
      </w:r>
    </w:p>
    <w:p>
      <w:pPr>
        <w:pStyle w:val="Heading2"/>
        <w:spacing w:after="90" w:before="200"/>
      </w:pPr>
      <w:r>
        <w:rPr>
          <w:rFonts w:ascii="맑은 고딕" w:cs="맑은 고딕" w:eastAsia="맑은 고딕" w:hAnsi="맑은 고딕"/>
          <w:b/>
          <w:bCs/>
          <w:color w:val="1E4E8C"/>
          <w:sz w:val="24"/>
          <w:szCs w:val="24"/>
        </w:rPr>
        <w:t xml:space="preserve">활용 제언</w:t>
      </w:r>
    </w:p>
    <w:p>
      <w:pPr>
        <w:pStyle w:val="ListParagraph"/>
        <w:numPr>
          <w:ilvl w:val="0"/>
          <w:numId w:val="2"/>
        </w:numPr>
        <w:spacing w:after="50" w:line="258"/>
      </w:pPr>
      <w:r>
        <w:rPr>
          <w:rFonts w:ascii="맑은 고딕" w:cs="맑은 고딕" w:eastAsia="맑은 고딕" w:hAnsi="맑은 고딕"/>
          <w:b/>
          <w:bCs/>
        </w:rPr>
        <w:t xml:space="preserve">강점 극대화: </w:t>
      </w:r>
      <w:r>
        <w:rPr>
          <w:rFonts w:ascii="맑은 고딕" w:cs="맑은 고딕" w:eastAsia="맑은 고딕" w:hAnsi="맑은 고딕"/>
        </w:rPr>
        <w:t xml:space="preserve">‘견적→실행→정산 일원 통제’와 ‘40억 실무 총괄 클로징’을 두 개의 대표 서사로 고정. 숫자가 검증된 IR 성과를 신뢰 앵커로 전면 배치.</w:t>
      </w:r>
    </w:p>
    <w:p>
      <w:pPr>
        <w:pStyle w:val="ListParagraph"/>
        <w:numPr>
          <w:ilvl w:val="0"/>
          <w:numId w:val="2"/>
        </w:numPr>
        <w:spacing w:after="50" w:line="258"/>
      </w:pPr>
      <w:r>
        <w:rPr>
          <w:rFonts w:ascii="맑은 고딕" w:cs="맑은 고딕" w:eastAsia="맑은 고딕" w:hAnsi="맑은 고딕"/>
          <w:b/>
          <w:bCs/>
        </w:rPr>
        <w:t xml:space="preserve">리스크 통제: </w:t>
      </w:r>
      <w:r>
        <w:rPr>
          <w:rFonts w:ascii="맑은 고딕" w:cs="맑은 고딕" w:eastAsia="맑은 고딕" w:hAnsi="맑은 고딕"/>
        </w:rPr>
        <w:t xml:space="preserve">포지션 성격(공무직 vs 디벨로퍼·기획)에 따라 MBA·IR의 강조 비중을 조정. 도메인 교차는 ‘확장 궤적’으로 일관 서술.</w:t>
      </w:r>
    </w:p>
    <w:p>
      <w:pPr>
        <w:pStyle w:val="ListParagraph"/>
        <w:numPr>
          <w:ilvl w:val="0"/>
          <w:numId w:val="2"/>
        </w:numPr>
        <w:spacing w:after="50" w:line="258"/>
      </w:pPr>
      <w:r>
        <w:rPr>
          <w:rFonts w:ascii="맑은 고딕" w:cs="맑은 고딕" w:eastAsia="맑은 고딕" w:hAnsi="맑은 고딕"/>
          <w:b/>
          <w:bCs/>
        </w:rPr>
        <w:t xml:space="preserve">선결 과제: </w:t>
      </w:r>
      <w:r>
        <w:rPr>
          <w:rFonts w:ascii="맑은 고딕" w:cs="맑은 고딕" w:eastAsia="맑은 고딕" w:hAnsi="맑은 고딕"/>
        </w:rPr>
        <w:t xml:space="preserve">Ⅶ장 5개 검증 항목을 우선 확정 - 특히 소송 결과·단독/공동 구분은 신뢰도에 직접 영향.</w:t>
      </w:r>
    </w:p>
    <w:p>
      <w:pPr>
        <w:pStyle w:val="ListParagraph"/>
        <w:numPr>
          <w:ilvl w:val="0"/>
          <w:numId w:val="2"/>
        </w:numPr>
        <w:spacing w:after="50" w:line="258"/>
      </w:pPr>
      <w:r>
        <w:rPr>
          <w:rFonts w:ascii="맑은 고딕" w:cs="맑은 고딕" w:eastAsia="맑은 고딕" w:hAnsi="맑은 고딕"/>
          <w:b/>
          <w:bCs/>
        </w:rPr>
        <w:t xml:space="preserve">성장 과제: </w:t>
      </w:r>
      <w:r>
        <w:rPr>
          <w:rFonts w:ascii="맑은 고딕" w:cs="맑은 고딕" w:eastAsia="맑은 고딕" w:hAnsi="맑은 고딕"/>
        </w:rPr>
        <w:t xml:space="preserve">‘직접 실행’에서 ‘조직으로 되게 함’으로의 전환(위임·팀 레버리지) 사례를 의식적으로 축적·기록.</w:t>
      </w:r>
    </w:p>
    <w:p>
      <w:pPr>
        <w:spacing w:after="50"/>
      </w:pPr>
      <w:r>
        <w:rPr>
          <w:rFonts w:ascii="맑은 고딕" w:cs="맑은 고딕" w:eastAsia="맑은 고딕" w:hAnsi="맑은 고딕"/>
        </w:rPr>
        <w:t xml:space="preserve"/>
      </w:r>
    </w:p>
    <w:p>
      <w:pPr>
        <w:pStyle w:val="Heading2"/>
        <w:spacing w:after="90" w:before="200"/>
      </w:pPr>
      <w:r>
        <w:rPr>
          <w:rFonts w:ascii="맑은 고딕" w:cs="맑은 고딕" w:eastAsia="맑은 고딕" w:hAnsi="맑은 고딕"/>
          <w:b/>
          <w:bCs/>
          <w:color w:val="1E4E8C"/>
          <w:sz w:val="24"/>
          <w:szCs w:val="24"/>
        </w:rPr>
        <w:t xml:space="preserve">출처</w:t>
      </w:r>
    </w:p>
    <w:p>
      <w:pPr>
        <w:spacing w:after="90" w:before="0" w:line="264"/>
      </w:pPr>
      <w:r>
        <w:rPr>
          <w:rFonts w:ascii="맑은 고딕" w:cs="맑은 고딕" w:eastAsia="맑은 고딕" w:hAnsi="맑은 고딕"/>
          <w:color w:val="595959"/>
          <w:sz w:val="16"/>
          <w:szCs w:val="16"/>
        </w:rPr>
        <w:t xml:space="preserve">본 평가는 회사별 업무 전수조사 보고서 6종(2026.06.06, 원본 파일 직접 확인)에 근거한다. ‘검증 과제’ 항목은 각 보고서의 [요확인]·[작성자확인] 플래그를 종합한 것이다.</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4"/>
        <w:szCs w:val="14"/>
      </w:rPr>
      <w:t xml:space="preserve">- </w:t>
    </w:r>
    <w:r>
      <w:rPr>
        <w:rFonts w:ascii="맑은 고딕" w:cs="맑은 고딕" w:eastAsia="맑은 고딕" w:hAnsi="맑은 고딕"/>
        <w:color w:val="595959"/>
        <w:sz w:val="14"/>
        <w:szCs w:val="14"/>
      </w:rPr>
      <w:fldChar w:fldCharType="begin"/>
      <w:instrText xml:space="preserve">PAGE</w:instrText>
      <w:fldChar w:fldCharType="separate"/>
      <w:fldChar w:fldCharType="end"/>
    </w:r>
    <w:r>
      <w:rPr>
        <w:rFonts w:ascii="맑은 고딕" w:cs="맑은 고딕" w:eastAsia="맑은 고딕" w:hAnsi="맑은 고딕"/>
        <w:color w:val="595959"/>
        <w:sz w:val="14"/>
        <w:szCs w:val="14"/>
      </w:rPr>
      <w:t xml:space="preserve"> -   ·   2026.06.06   ·   솔직한 360 평가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맑은 고딕" w:cs="맑은 고딕" w:eastAsia="맑은 고딕" w:hAnsi="맑은 고딕"/>
        <w:color w:val="9AA5B1"/>
        <w:sz w:val="14"/>
        <w:szCs w:val="14"/>
      </w:rPr>
      <w:t xml:space="preserve">신재호 업무 종합평가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30"/>
      </w:pPr>
      <w:rPr>
        <w:rFonts w:ascii="맑은 고딕" w:cs="맑은 고딕" w:eastAsia="맑은 고딕" w:hAnsi="맑은 고딕"/>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맑은 고딕" w:cs="맑은 고딕" w:eastAsia="맑은 고딕" w:hAnsi="맑은 고딕"/>
      <w:b/>
      <w:bCs/>
      <w:color w:val="0F1C33"/>
      <w:sz w:val="28"/>
      <w:szCs w:val="28"/>
    </w:rPr>
  </w:style>
  <w:style w:type="paragraph" w:styleId="Heading2">
    <w:name w:val="Heading 2"/>
    <w:basedOn w:val="Normal"/>
    <w:next w:val="Normal"/>
    <w:qFormat/>
    <w:pPr>
      <w:spacing w:after="90" w:before="200"/>
      <w:outlineLvl w:val="1"/>
    </w:pPr>
    <w:rPr>
      <w:rFonts w:ascii="맑은 고딕" w:cs="맑은 고딕" w:eastAsia="맑은 고딕" w:hAnsi="맑은 고딕"/>
      <w:b/>
      <w:bCs/>
      <w:color w:val="1E4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2026-06-06T03:38:13.879Z</dcterms:created>
  <dcterms:modified xsi:type="dcterms:W3CDTF">2026-06-06T03:38:13.879Z</dcterms:modified>
</cp:coreProperties>
</file>

<file path=docProps/custom.xml><?xml version="1.0" encoding="utf-8"?>
<Properties xmlns="http://schemas.openxmlformats.org/officeDocument/2006/custom-properties" xmlns:vt="http://schemas.openxmlformats.org/officeDocument/2006/docPropsVTypes"/>
</file>