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About Fishing</w:t>
      </w:r>
    </w:p>
    <w:p>
      <w:pPr>
        <w:pBdr>
          <w:bottom w:val="single" w:color="1F3864" w:sz="18" w:space="6"/>
        </w:pBdr>
        <w:spacing w:after="60" w:before="6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어바웃피싱 업무 실적 종합 보고서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경영전략팀장 업무 실적  |  재직기간 2026.03 ~ 현재</w:t>
      </w:r>
    </w:p>
    <w:p>
      <w:pPr>
        <w:spacing w:after="2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작성자 신재호   ·   작성일 2026.06.06   ·   기준일 2026.06.06</w:t>
      </w:r>
    </w:p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 Executive Summary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본 보고서는 어바웃피싱(법인 ㈜킹고스프링) 경영전략팀장으로서 2026년 3월 재직 이후 약 3개월간 </w:t>
      </w:r>
      <w:r>
        <w:rPr>
          <w:rFonts w:ascii="맑은 고딕" w:cs="맑은 고딕" w:eastAsia="맑은 고딕" w:hAnsi="맑은 고딕"/>
          <w:b/>
          <w:bCs/>
        </w:rPr>
        <w:t xml:space="preserve">직접 수행·주도한 업무 실적</w:t>
      </w:r>
      <w:r>
        <w:rPr>
          <w:rFonts w:ascii="맑은 고딕" w:cs="맑은 고딕" w:eastAsia="맑은 고딕" w:hAnsi="맑은 고딕"/>
        </w:rPr>
        <w:t xml:space="preserve">을 정부·민간 지원사업, 전략적 제휴, 투자유치(IR), 본점 이전의 4개 축으로 정리한 것이다.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동 기간 정부·민간 지원사업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7건을 실무 총괄</w:t>
      </w:r>
      <w:r>
        <w:rPr>
          <w:rFonts w:ascii="맑은 고딕" w:cs="맑은 고딕" w:eastAsia="맑은 고딕" w:hAnsi="맑은 고딕"/>
        </w:rPr>
        <w:t xml:space="preserve">하여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최종 선정 2건·서면(1차) 합격 3건</w:t>
      </w:r>
      <w:r>
        <w:rPr>
          <w:rFonts w:ascii="맑은 고딕" w:cs="맑은 고딕" w:eastAsia="맑은 고딕" w:hAnsi="맑은 고딕"/>
        </w:rPr>
        <w:t xml:space="preserve">을 확보(1차 통과율 86%)하였고, 하나손해보험과의 선상 상해보험 제휴를 제안 단계에서 </w:t>
      </w:r>
      <w:r>
        <w:rPr>
          <w:rFonts w:ascii="맑은 고딕" w:cs="맑은 고딕" w:eastAsia="맑은 고딕" w:hAnsi="맑은 고딕"/>
          <w:b/>
          <w:bCs/>
        </w:rPr>
        <w:t xml:space="preserve">보험대리점 등록 추진 단계</w:t>
      </w:r>
      <w:r>
        <w:rPr>
          <w:rFonts w:ascii="맑은 고딕" w:cs="맑은 고딕" w:eastAsia="맑은 고딕" w:hAnsi="맑은 고딕"/>
        </w:rPr>
        <w:t xml:space="preserve">까지 진전시켰다. 또한 Pre-Series A 브릿지 라운드 IR 체계와 본점의 창원 이전 실행계획을 수립·추진하였다.</w:t>
      </w:r>
    </w:p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업무 축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실적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정부·민간 지원사업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7건 총괄 — 최종선정 2 · 서면합격 3 · 결과대기 1 · 불합격 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진행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전략적 제휴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하나손해보험 선상 상해보험 제휴 — 보험대리점 등록 추진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진행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투자유치 (IR)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Pre-A 브릿지 라운드 IR 체계 구축 (Pre-money 110억)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추진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본점 이전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경남TP 연계 창원 이전 실행계획 수립 (등기 7.6 완료 목표)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진행 중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 재직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0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법인 / 서비스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0F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㈜킹고스프링 / 어바웃피싱(About Fishing)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설립 · 대표 · 규모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2021.06 설립 · 대표이사 송동현 · 상시 22명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 단계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Pre-Series A (브릿지 라운드 준비)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본인 직위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경영전략팀장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재직 기간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2026.03 ~ 현재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범위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정부·민간 지원사업 / 전략적 제휴 / 투자유치(IR) / 본점 이전 / 대외협력·외부대응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b/>
          <w:bCs/>
          <w:color w:val="2E5496"/>
          <w:sz w:val="21"/>
          <w:szCs w:val="21"/>
        </w:rPr>
        <w:t xml:space="preserve">업무 환경(회사 지표, 마스터레퍼런스 기준)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</w:rPr>
        <w:t xml:space="preserve">누적 회원 24.7만 명, 입점 선박 765척(전국 약 4,500척의 17%), 정형 조과 데이터 13만 건을 보유한 국내 선상낚시 예약 플랫폼 선두 사업자이며, 2025년 연매출 12.96억 원(전년 대비 +50.1%)·매출총이익률 29.1%로 성장 국면에 있는 환경에서 업무를 수행하였다.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회원 / 선박 / 데이터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2025 매출 / 총이익률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기술·자산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24.7만 명 · 765척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조과데이터 13만 건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12.96억 (+50.1%)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총이익률 29.1%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특허 5건 · 상표 12건+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데이터가치 19억 · 기보 18억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 정부·민간 지원사업 총괄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심사 배점표를 역산하는 방식으로 사업별 사업계획서(서식)·발표자료·재무추정·증빙서류 패키지를 </w:t>
      </w:r>
      <w:r>
        <w:rPr>
          <w:rFonts w:ascii="맑은 고딕" w:cs="맑은 고딕" w:eastAsia="맑은 고딕" w:hAnsi="맑은 고딕"/>
          <w:b/>
          <w:bCs/>
        </w:rPr>
        <w:t xml:space="preserve">단독 작성·제출하였다.</w:t>
      </w:r>
      <w:r>
        <w:rPr>
          <w:rFonts w:ascii="맑은 고딕" w:cs="맑은 고딕" w:eastAsia="맑은 고딕" w:hAnsi="맑은 고딕"/>
        </w:rPr>
        <w:t xml:space="preserve"> 재직 3개월간 신청 7건 중 1차 통과 이상 6건(86%)을 달성하였다.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요약 스코어카드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cantSplit/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최종 선정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서면·1차 합격</w:t>
            </w:r>
          </w:p>
        </w:tc>
        <w:tc>
          <w:tcPr>
            <w:tcW w:type="dxa" w:w="22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결과 대기</w:t>
            </w:r>
          </w:p>
        </w:tc>
        <w:tc>
          <w:tcPr>
            <w:tcW w:type="dxa" w:w="22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불합격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6"/>
                <w:szCs w:val="26"/>
              </w:rPr>
              <w:t xml:space="preserve">2건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6"/>
                <w:szCs w:val="26"/>
              </w:rPr>
              <w:t xml:space="preserve">3건</w:t>
            </w:r>
          </w:p>
        </w:tc>
        <w:tc>
          <w:tcPr>
            <w:tcW w:type="dxa" w:w="22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6"/>
                <w:szCs w:val="26"/>
              </w:rPr>
              <w:t xml:space="preserve">1건</w:t>
            </w:r>
          </w:p>
        </w:tc>
        <w:tc>
          <w:tcPr>
            <w:tcW w:type="dxa" w:w="22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6"/>
                <w:szCs w:val="26"/>
              </w:rPr>
              <w:t xml:space="preserve">1건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OSA · 경남TP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오션스프링보드·관광데이터·성장관광벤처</w:t>
            </w:r>
          </w:p>
        </w:tc>
        <w:tc>
          <w:tcPr>
            <w:tcW w:type="dxa" w:w="22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혁신프리미어1000</w:t>
            </w:r>
          </w:p>
        </w:tc>
        <w:tc>
          <w:tcPr>
            <w:tcW w:type="dxa" w:w="225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IBK창공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사업별 진행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40"/>
        <w:gridCol w:w="1100"/>
        <w:gridCol w:w="3766"/>
      </w:tblGrid>
      <w:tr>
        <w:trPr>
          <w:cantSplit/>
          <w:tblHeader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사업명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신청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 / 비고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2026 오션스프링보드 3기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해양수산 AC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26.03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서면합격 — 발표평가 단계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IBK창공 혁신창업기업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IBK기업은행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불합격 (발표 5.6)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혁신 프리미어 1000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해양수산부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제출완료(4.30) — 결과 대기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2026 관광데이터 활용 공모전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한국관광공사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서면합격 (웹·앱 개발 부문)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2026 OSA 스마트해양 액셀러레이팅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부산창조경제
혁신센터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최종 선정 (5.29)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제18회 성장관광벤처 공모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한국관광공사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26.05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1차(서면) 합격 (6.2) — 2차 발표 예정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경남테크노파크 입주기업</w:t>
            </w:r>
          </w:p>
        </w:tc>
        <w:tc>
          <w:tcPr>
            <w:tcW w:type="dxa" w:w="1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경남테크노파크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26.05</w:t>
            </w:r>
          </w:p>
        </w:tc>
        <w:tc>
          <w:tcPr>
            <w:tcW w:type="dxa" w:w="37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최종 선정·입주 승인 (5.22)</w:t>
            </w:r>
          </w:p>
        </w:tc>
      </w:tr>
    </w:tbl>
    <w:p>
      <w:pPr>
        <w:spacing w:after="5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핵심 산출물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</w:rPr>
        <w:t xml:space="preserve">사업별 사업계획서(서식1·2) 및 발표자료(PPT) — 사업당 평균 2~3회 개정 반복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</w:rPr>
        <w:t xml:space="preserve">핵심 IR 장표 — 4 Moat 구조, Closed Transaction Loop, TAM/SAM/SOM, 추정재무제표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</w:rPr>
        <w:t xml:space="preserve">증빙서류 패키지 — 재무제표·납세·고용보험·주주명부·투자유치 증빙 등 신청자격 일체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</w:rPr>
        <w:t xml:space="preserve">후속 실행 — OSA 선정 후 1:1 매칭 기관 우선순위 매트릭스 수립(6.18 미팅 대비)</w:t>
      </w:r>
    </w:p>
    <w:p>
      <w:r>
        <w:br w:type="page"/>
      </w:r>
    </w:p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Ⅳ.  전략적 제휴 — 하나손해보험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해양레저 보험 사각지대(연 313건 낚시어선 사고)에 대응하는 </w:t>
      </w:r>
      <w:r>
        <w:rPr>
          <w:rFonts w:ascii="맑은 고딕" w:cs="맑은 고딕" w:eastAsia="맑은 고딕" w:hAnsi="맑은 고딕"/>
          <w:b/>
          <w:bCs/>
        </w:rPr>
        <w:t xml:space="preserve">선상 활동 안심보장(단체상해보험) 임베드 제휴</w:t>
      </w:r>
      <w:r>
        <w:rPr>
          <w:rFonts w:ascii="맑은 고딕" w:cs="맑은 고딕" w:eastAsia="맑은 고딕" w:hAnsi="맑은 고딕"/>
        </w:rPr>
        <w:t xml:space="preserve">를 제안 단계부터 협상·등록 추진까지 전 과정 주도하였다. 예약 플로우에 미니보험을 임베드하여 720만 낚시인구에 접근하는 디지털 채널을 구축하는 구조이다.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추진 경과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400"/>
        <w:gridCol w:w="5306"/>
      </w:tblGrid>
      <w:tr>
        <w:trPr>
          <w:cantSplit/>
          <w:tblHeader/>
        </w:trP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26.04.02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제휴 검토 착수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제안서(v4) 작성 — 선상 상해보험 임베드 모델 설계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26.04.08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1차 미팅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협의 및 대표이사 의견 정리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26.04.15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제휴(안) 송부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HANA×ABOUTFISHING 선상 상해보험 제휴(안) 공식 송부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26.04.23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본사 방문 (2차)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하나손해보험 본사 방문·실무 협의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26.05.13~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대리점 등록 추진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손해보험 법인대리점 등록 절차 설계 — 자격시험(손해+제3보험) 준비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계약 → 론칭 → 확장</w:t>
            </w:r>
          </w:p>
        </w:tc>
        <w:tc>
          <w:tcPr>
            <w:tcW w:type="dxa" w:w="53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5월 계약 → 6월 론칭 → 9월 성수기 성과 기반 하나카드·하나은행 연계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color w:val="2E5496"/>
        </w:rPr>
        <w:t xml:space="preserve">기대효과 </w:t>
      </w:r>
      <w:r>
        <w:rPr>
          <w:rFonts w:ascii="맑은 고딕" w:cs="맑은 고딕" w:eastAsia="맑은 고딕" w:hAnsi="맑은 고딕"/>
        </w:rPr>
        <w:t xml:space="preserve">CPS 1,500~2,500원/건, 연간 4,050~6,750만 원 수익 예상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[추정, 마스터레퍼런스 기준]</w:t>
      </w:r>
      <w:r>
        <w:rPr>
          <w:rFonts w:ascii="맑은 고딕" w:cs="맑은 고딕" w:eastAsia="맑은 고딕" w:hAnsi="맑은 고딕"/>
        </w:rPr>
        <w:t xml:space="preserve">. 타겟층 4050+ 비중이 높아 하나금융 시니어 전략과 정합.</w:t>
      </w:r>
    </w:p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Ⅴ.  투자유치 (IR) — Pre-Series A 브릿지 라운드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브릿지 라운드 대비 </w:t>
      </w:r>
      <w:r>
        <w:rPr>
          <w:rFonts w:ascii="맑은 고딕" w:cs="맑은 고딕" w:eastAsia="맑은 고딕" w:hAnsi="맑은 고딕"/>
          <w:b/>
          <w:bCs/>
        </w:rPr>
        <w:t xml:space="preserve">IR 자료 체계 전반을 구축</w:t>
      </w:r>
      <w:r>
        <w:rPr>
          <w:rFonts w:ascii="맑은 고딕" w:cs="맑은 고딕" w:eastAsia="맑은 고딕" w:hAnsi="맑은 고딕"/>
        </w:rPr>
        <w:t xml:space="preserve">하였다. 전 지원사업·제휴의 공통 기초자료가 되는 종합 마스터레퍼런스 v1.0(16장)을 집필하고, 추정재무제표(2026F~2028F)와 Investor Deck을 정비하였으며, 투자 스토리라인의 핵심 프레임을 정립하였다.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핵심 프레임 정립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  <w:b/>
          <w:bCs/>
        </w:rPr>
        <w:t xml:space="preserve">Transaction Missing Market</w:t>
      </w:r>
      <w:r>
        <w:rPr>
          <w:rFonts w:ascii="맑은 고딕" w:cs="맑은 고딕" w:eastAsia="맑은 고딕" w:hAnsi="맑은 고딕"/>
        </w:rPr>
        <w:t xml:space="preserve"> — 거래 데이터 공백 시장에 최초의 디지털 거래 기록을 생성하는 인프라 포지셔닝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  <w:b/>
          <w:bCs/>
        </w:rPr>
        <w:t xml:space="preserve">Closed Transaction Loop</w:t>
      </w:r>
      <w:r>
        <w:rPr>
          <w:rFonts w:ascii="맑은 고딕" w:cs="맑은 고딕" w:eastAsia="맑은 고딕" w:hAnsi="맑은 고딕"/>
        </w:rPr>
        <w:t xml:space="preserve"> — 탐색→예약→결제→정산→피드백 거래 완결형 순환 구조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  <w:b/>
          <w:bCs/>
        </w:rPr>
        <w:t xml:space="preserve">4 Moat 구조</w:t>
      </w:r>
      <w:r>
        <w:rPr>
          <w:rFonts w:ascii="맑은 고딕" w:cs="맑은 고딕" w:eastAsia="맑은 고딕" w:hAnsi="맑은 고딕"/>
        </w:rPr>
        <w:t xml:space="preserve"> — 재현불가 데이터 / 누적 전환비용 / 공급자 Lock-in / 거래표준 수렴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3"/>
          <w:szCs w:val="23"/>
        </w:rPr>
        <w:t xml:space="preserve">라운드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Pre-money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브릿지 목표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직전 라운드 (참고)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4"/>
                <w:szCs w:val="24"/>
              </w:rPr>
              <w:t xml:space="preserve">110억 원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5496"/>
                <w:sz w:val="24"/>
                <w:szCs w:val="24"/>
              </w:rPr>
              <w:t xml:space="preserve">20억 원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22"/>
                <w:szCs w:val="22"/>
              </w:rPr>
              <w:t xml:space="preserve">Pre-A 40억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Post 150억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협상범위 150~170억</w:t>
            </w:r>
          </w:p>
        </w:tc>
        <w:tc>
          <w:tcPr>
            <w:tcW w:type="dxa" w:w="300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2024.12 (재직 전)</w:t>
            </w:r>
          </w:p>
        </w:tc>
      </w:tr>
    </w:tbl>
    <w:p>
      <w:pPr>
        <w:spacing w:after="3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주: 브릿지 라운드는 추진 단계이며, 본인 수행 범위는 IR 자료 체계 구축 및 협상 지원이다.</w:t>
      </w:r>
    </w:p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Ⅵ.  본점 이전 프로젝트 (경남TP 연계)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경남테크노파크 입주(최종 선정)와 연계하여 본점을 서울 종로에서 </w:t>
      </w:r>
      <w:r>
        <w:rPr>
          <w:rFonts w:ascii="맑은 고딕" w:cs="맑은 고딕" w:eastAsia="맑은 고딕" w:hAnsi="맑은 고딕"/>
          <w:b/>
          <w:bCs/>
        </w:rPr>
        <w:t xml:space="preserve">창원으로 이전하는 프로젝트를 내부 PM으로 총괄</w:t>
      </w:r>
      <w:r>
        <w:rPr>
          <w:rFonts w:ascii="맑은 고딕" w:cs="맑은 고딕" w:eastAsia="맑은 고딕" w:hAnsi="맑은 고딕"/>
        </w:rPr>
        <w:t xml:space="preserve">하였다. 법무사·회계사 외주와 사내 부서(대표이사·경영전략·경영지원)를 시간 순으로 통합 관리하는 실행계획(v4.1)을 수립하고, 지방이전 투자유치 전략과 연계하였다.</w:t>
      </w:r>
    </w:p>
    <w:p>
      <w:pPr>
        <w:spacing w:after="2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등기 완료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26.05.25 ~ 26.07.06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본점 이전 법적 완료(7.6 목표) — 외주·사무실 작업 통합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입주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26.05.28 ~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경남TP 봉암동 3동 303호 입주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후속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26.07.07 ~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창원 거점 부속 업무 수행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Ⅶ.  전략 인프라·문서 자산 구축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전 지원사업·IR·제휴 자료의 공통 기초자료를 표준화·재사용 가능한 형태로 구축하였다.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  <w:b/>
          <w:bCs/>
        </w:rPr>
        <w:t xml:space="preserve">종합 마스터레퍼런스 v1.0</w:t>
      </w:r>
      <w:r>
        <w:rPr>
          <w:rFonts w:ascii="맑은 고딕" w:cs="맑은 고딕" w:eastAsia="맑은 고딕" w:hAnsi="맑은 고딕"/>
        </w:rPr>
        <w:t xml:space="preserve"> — Executive Summary, 기업개요, KPI/Traction, 시장분석, BM, 기술·데이터, 재무추정, 투자전략, 파트너십, ESG, 정부과제 적합성, SWOT, 리스크 매트릭스, 실행 로드맵 등 16장 체계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  <w:b/>
          <w:bCs/>
        </w:rPr>
        <w:t xml:space="preserve">시장조사</w:t>
      </w:r>
      <w:r>
        <w:rPr>
          <w:rFonts w:ascii="맑은 고딕" w:cs="맑은 고딕" w:eastAsia="맑은 고딕" w:hAnsi="맑은 고딕"/>
        </w:rPr>
        <w:t xml:space="preserve"> — TAM 16.2조 / SAM 3조 / SOM 1조 원 (출처 병기)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  <w:b/>
          <w:bCs/>
        </w:rPr>
        <w:t xml:space="preserve">추정재무제표</w:t>
      </w:r>
      <w:r>
        <w:rPr>
          <w:rFonts w:ascii="맑은 고딕" w:cs="맑은 고딕" w:eastAsia="맑은 고딕" w:hAnsi="맑은 고딕"/>
        </w:rPr>
        <w:t xml:space="preserve"> — 2023~2025 확정 실적 연결 기반 2026F~2028F 손익·재무상태·현금흐름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맑은 고딕" w:cs="맑은 고딕" w:eastAsia="맑은 고딕" w:hAnsi="맑은 고딕"/>
          <w:b/>
          <w:bCs/>
        </w:rPr>
        <w:t xml:space="preserve">ESG 전략 · SWOT · 리스크 매트릭스</w:t>
      </w:r>
      <w:r>
        <w:rPr>
          <w:rFonts w:ascii="맑은 고딕" w:cs="맑은 고딕" w:eastAsia="맑은 고딕" w:hAnsi="맑은 고딕"/>
        </w:rPr>
        <w:t xml:space="preserve"> — 정부과제·IR 공통 활용</w:t>
      </w:r>
    </w:p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Ⅷ.  회사 기보유 자산 활용 (재직 전 착수)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본인 재직 전 회사가 확보한 인증·자산으로, 재직 중 지원사업·IR 논거로 활용하였다. (본인 수행 실적과 구분하여 기재)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26"/>
        <w:gridCol w:w="26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자산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이노비즈 인증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기술혁신형 중소기업 인증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기보 기술특례보증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18억 원 (Runway 보강)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가치평가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19억 원 (나이스디앤비, DCF 기반)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특허 · 상표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특허 5건(등록1+분할출원4) · 상표 12건+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Pre-A 투자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40억 원 (하나벤처스·우리은행·우리금융디지털)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2024.12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창업도약패키지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대기업협업형 — 최종점검 '우수'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2026.05.22</w:t>
            </w:r>
          </w:p>
        </w:tc>
      </w:tr>
    </w:tbl>
    <w:p>
      <w:pPr>
        <w:spacing w:after="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주: 창업도약패키지 최종점검(26.05.22)은 재직 기간 중 시점이나 과제 착수는 재직 전이다.</w:t>
      </w:r>
    </w:p>
    <w:p>
      <w:pPr>
        <w:pStyle w:val="Heading1"/>
        <w:pBdr>
          <w:bottom w:val="single" w:color="1F3864" w:sz="10" w:space="4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Ⅸ.  종합 성과 및 핵심 역량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</w:rPr>
        <w:t xml:space="preserve">재직 약 3개월간 정부·민간 지원사업·전략적 제휴·투자유치(IR)·본점 이전을 단독 또는 주도적으로 수행하여, </w:t>
      </w:r>
      <w:r>
        <w:rPr>
          <w:rFonts w:ascii="맑은 고딕" w:cs="맑은 고딕" w:eastAsia="맑은 고딕" w:hAnsi="맑은 고딕"/>
          <w:b/>
          <w:bCs/>
        </w:rPr>
        <w:t xml:space="preserve">단기간에 측정 가능한 성과(최종선정 2건·서면합격 4건·금융사 제휴 진전)</w:t>
      </w:r>
      <w:r>
        <w:rPr>
          <w:rFonts w:ascii="맑은 고딕" w:cs="맑은 고딕" w:eastAsia="맑은 고딕" w:hAnsi="맑은 고딕"/>
        </w:rPr>
        <w:t xml:space="preserve">를 창출하였다. 확인된 핵심 역량은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지원사업 기획·작성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심사기준 역산 기반 7건 총괄 — 최종선정 2건, 1차 통과 86%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투자·IR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마스터레퍼런스(16장)·추정재무·Investor Deck 체계 구축, 브릿지 라운드 추진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제휴·대외협력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하나손해보험 선상 상해보험 제휴 제안·협상·대리점 등록 주도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관리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본점 창원 이전 PM — 법무·회계·행정 통합 일정 관리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top w:val="single" w:color="BFBFBF" w:sz="6" w:space="6"/>
        </w:pBdr>
        <w:spacing w:before="80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출처 : 어바웃피싱 종합사업 마스터레퍼런스 v1.0(2026.04.09), 사업별 지원사업 폴더(05.래퍼런스/26.06.06 어바웃피싱), 본점 이전 실무 진행 가이드 v4.1(2026.05.18), 하나손보 보험대리점 등록 추진 브리핑 v2.2(2026.05.13). 회사 지표는 마스터레퍼런스 기준일(2026.04.09)을 따름.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맑은 고딕" w:cs="맑은 고딕" w:eastAsia="맑은 고딕" w:hAnsi="맑은 고딕"/>
        <w:color w:val="595959"/>
        <w:sz w:val="15"/>
        <w:szCs w:val="15"/>
      </w:rPr>
      <w:t xml:space="preserve">어바웃피싱 업무 실적 종합 보고서  ·  신재호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맑은 고딕" w:cs="맑은 고딕" w:eastAsia="맑은 고딕" w:hAnsi="맑은 고딕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어바웃피싱 업무 실적 종합 보고서</dc:title>
  <dc:creator>신재호</dc:creator>
  <cp:lastModifiedBy>Un-named</cp:lastModifiedBy>
  <cp:revision>1</cp:revision>
  <dcterms:created xsi:type="dcterms:W3CDTF">2026-06-05T19:12:57.622Z</dcterms:created>
  <dcterms:modified xsi:type="dcterms:W3CDTF">2026-06-05T19:12:57.622Z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