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8F9D"/>
          <w:sz w:val="32"/>
        </w:rPr>
        <w:t>TCS</w:t>
      </w:r>
    </w:p>
    <w:p>
      <w:pPr>
        <w:pStyle w:val="Title"/>
        <w:spacing w:before="1000" w:after="160"/>
        <w:jc w:val="center"/>
      </w:pPr>
      <w:r>
        <w:t>TCS V1 Building Strategy</w:t>
      </w:r>
    </w:p>
    <w:p>
      <w:pPr>
        <w:spacing w:after="600"/>
        <w:jc w:val="center"/>
      </w:pPr>
      <w:r>
        <w:rPr>
          <w:color w:val="667085"/>
          <w:sz w:val="24"/>
        </w:rPr>
        <w:t>From executable prototype to production-ready Version 1</w:t>
      </w:r>
    </w:p>
    <w:tbl>
      <w:tblPr>
        <w:tblW w:type="auto" w:w="0"/>
        <w:jc w:val="center"/>
        <w:tblLayout w:type="fixed"/>
        <w:tblLook w:firstColumn="1" w:firstRow="1" w:lastColumn="0" w:lastRow="0" w:noHBand="0" w:noVBand="1" w:val="04A0"/>
      </w:tblPr>
      <w:tblGrid>
        <w:gridCol w:w="9936"/>
      </w:tblGrid>
      <w:tr>
        <w:trPr>
          <w:cantSplit/>
        </w:trPr>
        <w:tc>
          <w:tcPr>
            <w:tcW w:type="dxa" w:w="9792"/>
            <w:shd w:fill="EAF2F8"/>
            <w:tcMar>
              <w:top w:w="120" w:type="dxa"/>
              <w:start w:w="140" w:type="dxa"/>
              <w:bottom w:w="120" w:type="dxa"/>
              <w:end w:w="140" w:type="dxa"/>
            </w:tcMar>
          </w:tcPr>
          <w:p>
            <w:pPr>
              <w:spacing w:after="60"/>
            </w:pPr>
            <w:r>
              <w:rPr>
                <w:b/>
                <w:color w:val="17365D"/>
              </w:rPr>
              <w:t>Purpose</w:t>
            </w:r>
          </w:p>
          <w:p>
            <w:pPr>
              <w:spacing w:after="0"/>
            </w:pPr>
            <w:r>
              <w:t>This document captures the agreed TCS building strategy: why the prototype matters, how it becomes an executable build specification, which capabilities belong in Version 1, what infrastructure and integrations are required, and how TCS should move from prototype to UAT, production and a controlled first release without unnecessary over-engineering.</w:t>
            </w:r>
          </w:p>
        </w:tc>
      </w:tr>
    </w:tbl>
    <w:p>
      <w:pPr>
        <w:spacing w:before="480"/>
        <w:jc w:val="center"/>
      </w:pPr>
      <w:r>
        <w:rPr>
          <w:color w:val="667085"/>
          <w:sz w:val="19"/>
        </w:rPr>
        <w:t>Working strategy note • 15 September 2026</w:t>
      </w:r>
    </w:p>
    <w:p>
      <w:r>
        <w:br w:type="page"/>
      </w:r>
    </w:p>
    <w:p>
      <w:pPr>
        <w:pStyle w:val="Heading1"/>
      </w:pPr>
      <w:r>
        <w:t>1. Executive Summary</w:t>
      </w:r>
    </w:p>
    <w:p>
      <w:r>
        <w:t>The TCS prototype is not merely a visual mock-up. It has become an executable specification of the product: screens, states, business rules, money flows, operational decisions, exceptions, permissions and audit behaviour are being worked through before they are committed to production APIs and database structures.</w:t>
      </w:r>
    </w:p>
    <w:p>
      <w:r>
        <w:t>Starting the production application earlier would have been possible, but many of the hardest TCS decisions were product and lifecycle decisions rather than coding decisions. Discovering those rules while simultaneously changing database migrations, API contracts and production frontend code would have created more rework.</w:t>
      </w:r>
    </w:p>
    <w:tbl>
      <w:tblPr>
        <w:tblW w:type="auto" w:w="0"/>
        <w:jc w:val="center"/>
        <w:tblLayout w:type="fixed"/>
        <w:tblLook w:firstColumn="1" w:firstRow="1" w:lastColumn="0" w:lastRow="0" w:noHBand="0" w:noVBand="1" w:val="04A0"/>
      </w:tblPr>
      <w:tblGrid>
        <w:gridCol w:w="9936"/>
      </w:tblGrid>
      <w:tr>
        <w:trPr>
          <w:cantSplit/>
        </w:trPr>
        <w:tc>
          <w:tcPr>
            <w:tcW w:type="dxa" w:w="9792"/>
            <w:shd w:fill="EAF2F8"/>
            <w:tcMar>
              <w:top w:w="120" w:type="dxa"/>
              <w:start w:w="140" w:type="dxa"/>
              <w:bottom w:w="120" w:type="dxa"/>
              <w:end w:w="140" w:type="dxa"/>
            </w:tcMar>
          </w:tcPr>
          <w:p>
            <w:pPr>
              <w:spacing w:after="60"/>
            </w:pPr>
            <w:r>
              <w:rPr>
                <w:b/>
                <w:color w:val="17365D"/>
              </w:rPr>
              <w:t>The important change from here</w:t>
            </w:r>
          </w:p>
          <w:p>
            <w:pPr>
              <w:spacing w:after="0"/>
            </w:pPr>
            <w:r>
              <w:t>The prototype must not become an endless phase. Finish Modules 6–8, perform one final hardening pass, extract the production build package, lock Constitution v1.0 and Prototype v1, then move into the production build.</w:t>
            </w:r>
          </w:p>
        </w:tc>
      </w:tr>
    </w:tbl>
    <w:p>
      <w:pPr>
        <w:pStyle w:val="Heading1"/>
      </w:pPr>
      <w:r>
        <w:t>2. Why the Prototype Has Already Paid for Itself</w:t>
      </w:r>
    </w:p>
    <w:p>
      <w:r>
        <w:t>The prototype forced TCS to settle difficult behaviours before production implementation. Examples include payment allocation, early exit, post-payout default, optional recipient contribution, half positions, payout evidence, disputes, recovery, Organization breach, TCS revenue share, Force Close, restrictions, audit and Operations authority.</w:t>
      </w:r>
    </w:p>
    <w:p>
      <w:r>
        <w:t>These are the kinds of issues that become expensive when discovered after database schemas, APIs and integrations are already live. The prototype has therefore reduced product ambiguity and should reduce implementation churn.</w:t>
      </w:r>
    </w:p>
    <w:p>
      <w:pPr>
        <w:pStyle w:val="Heading1"/>
      </w:pPr>
      <w:r>
        <w:t>3. What the Prototype Becomes</w:t>
      </w:r>
    </w:p>
    <w:p>
      <w:r>
        <w:t>Before the production build starts, the prototype and Constitution should be converted into a formal Build Handoff / Product Extraction package. The goal is to ensure Codex and future developers are implementing a defined product rather than inventing product behaviour during coding.</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7365D"/>
            <w:tcMar>
              <w:top w:w="90" w:type="dxa"/>
              <w:start w:w="100" w:type="dxa"/>
              <w:bottom w:w="90" w:type="dxa"/>
              <w:end w:w="100" w:type="dxa"/>
            </w:tcMar>
          </w:tcPr>
          <w:p>
            <w:r>
              <w:rPr>
                <w:b/>
                <w:color w:val="FFFFFF"/>
              </w:rPr>
              <w:t>Area</w:t>
            </w:r>
          </w:p>
        </w:tc>
        <w:tc>
          <w:tcPr>
            <w:tcW w:type="dxa" w:w="4968"/>
            <w:shd w:fill="17365D"/>
            <w:tcMar>
              <w:top w:w="90" w:type="dxa"/>
              <w:start w:w="100" w:type="dxa"/>
              <w:bottom w:w="90" w:type="dxa"/>
              <w:end w:w="100" w:type="dxa"/>
            </w:tcMar>
          </w:tcPr>
          <w:p>
            <w:r>
              <w:rPr>
                <w:b/>
                <w:color w:val="FFFFFF"/>
              </w:rPr>
              <w:t>What must be extracted</w:t>
            </w:r>
          </w:p>
        </w:tc>
      </w:tr>
      <w:tr>
        <w:trPr>
          <w:cantSplit/>
        </w:trPr>
        <w:tc>
          <w:tcPr>
            <w:tcW w:type="dxa" w:w="4968"/>
            <w:tcMar>
              <w:top w:w="90" w:type="dxa"/>
              <w:start w:w="100" w:type="dxa"/>
              <w:bottom w:w="90" w:type="dxa"/>
              <w:end w:w="100" w:type="dxa"/>
            </w:tcMar>
            <w:vAlign w:val="top"/>
          </w:tcPr>
          <w:p>
            <w:r>
              <w:t>Screens</w:t>
            </w:r>
          </w:p>
        </w:tc>
        <w:tc>
          <w:tcPr>
            <w:tcW w:type="dxa" w:w="4968"/>
            <w:tcMar>
              <w:top w:w="90" w:type="dxa"/>
              <w:start w:w="100" w:type="dxa"/>
              <w:bottom w:w="90" w:type="dxa"/>
              <w:end w:w="100" w:type="dxa"/>
            </w:tcMar>
            <w:vAlign w:val="top"/>
          </w:tcPr>
          <w:p>
            <w:r>
              <w:t>Every screen, route and persona/actor that can access it.</w:t>
            </w:r>
          </w:p>
        </w:tc>
      </w:tr>
      <w:tr>
        <w:trPr>
          <w:cantSplit/>
        </w:trPr>
        <w:tc>
          <w:tcPr>
            <w:tcW w:type="dxa" w:w="4968"/>
            <w:tcMar>
              <w:top w:w="90" w:type="dxa"/>
              <w:start w:w="100" w:type="dxa"/>
              <w:bottom w:w="90" w:type="dxa"/>
              <w:end w:w="100" w:type="dxa"/>
            </w:tcMar>
            <w:vAlign w:val="top"/>
          </w:tcPr>
          <w:p>
            <w:r>
              <w:t>Fields</w:t>
            </w:r>
          </w:p>
        </w:tc>
        <w:tc>
          <w:tcPr>
            <w:tcW w:type="dxa" w:w="4968"/>
            <w:tcMar>
              <w:top w:w="90" w:type="dxa"/>
              <w:start w:w="100" w:type="dxa"/>
              <w:bottom w:w="90" w:type="dxa"/>
              <w:end w:w="100" w:type="dxa"/>
            </w:tcMar>
            <w:vAlign w:val="top"/>
          </w:tcPr>
          <w:p>
            <w:r>
              <w:t>Field name, type, required/optional, editable/read-only, validation, lifecycle lock and source.</w:t>
            </w:r>
          </w:p>
        </w:tc>
      </w:tr>
      <w:tr>
        <w:trPr>
          <w:cantSplit/>
        </w:trPr>
        <w:tc>
          <w:tcPr>
            <w:tcW w:type="dxa" w:w="4968"/>
            <w:tcMar>
              <w:top w:w="90" w:type="dxa"/>
              <w:start w:w="100" w:type="dxa"/>
              <w:bottom w:w="90" w:type="dxa"/>
              <w:end w:w="100" w:type="dxa"/>
            </w:tcMar>
            <w:vAlign w:val="top"/>
          </w:tcPr>
          <w:p>
            <w:r>
              <w:t>Components</w:t>
            </w:r>
          </w:p>
        </w:tc>
        <w:tc>
          <w:tcPr>
            <w:tcW w:type="dxa" w:w="4968"/>
            <w:tcMar>
              <w:top w:w="90" w:type="dxa"/>
              <w:start w:w="100" w:type="dxa"/>
              <w:bottom w:w="90" w:type="dxa"/>
              <w:end w:w="100" w:type="dxa"/>
            </w:tcMar>
            <w:vAlign w:val="top"/>
          </w:tcPr>
          <w:p>
            <w:r>
              <w:t>Forms, cards, tables, filters, badges, timelines, dialogs and shared UI primitives.</w:t>
            </w:r>
          </w:p>
        </w:tc>
      </w:tr>
      <w:tr>
        <w:trPr>
          <w:cantSplit/>
        </w:trPr>
        <w:tc>
          <w:tcPr>
            <w:tcW w:type="dxa" w:w="4968"/>
            <w:tcMar>
              <w:top w:w="90" w:type="dxa"/>
              <w:start w:w="100" w:type="dxa"/>
              <w:bottom w:w="90" w:type="dxa"/>
              <w:end w:w="100" w:type="dxa"/>
            </w:tcMar>
            <w:vAlign w:val="top"/>
          </w:tcPr>
          <w:p>
            <w:r>
              <w:t>Entities</w:t>
            </w:r>
          </w:p>
        </w:tc>
        <w:tc>
          <w:tcPr>
            <w:tcW w:type="dxa" w:w="4968"/>
            <w:tcMar>
              <w:top w:w="90" w:type="dxa"/>
              <w:start w:w="100" w:type="dxa"/>
              <w:bottom w:w="90" w:type="dxa"/>
              <w:end w:w="100" w:type="dxa"/>
            </w:tcMar>
            <w:vAlign w:val="top"/>
          </w:tcPr>
          <w:p>
            <w:r>
              <w:t>Member, Organization, Group, Cycle, Round, Position, Obligation, Payment, Payout, Case and related domain objects.</w:t>
            </w:r>
          </w:p>
        </w:tc>
      </w:tr>
      <w:tr>
        <w:trPr>
          <w:cantSplit/>
        </w:trPr>
        <w:tc>
          <w:tcPr>
            <w:tcW w:type="dxa" w:w="4968"/>
            <w:tcMar>
              <w:top w:w="90" w:type="dxa"/>
              <w:start w:w="100" w:type="dxa"/>
              <w:bottom w:w="90" w:type="dxa"/>
              <w:end w:w="100" w:type="dxa"/>
            </w:tcMar>
            <w:vAlign w:val="top"/>
          </w:tcPr>
          <w:p>
            <w:r>
              <w:t>Relationships</w:t>
            </w:r>
          </w:p>
        </w:tc>
        <w:tc>
          <w:tcPr>
            <w:tcW w:type="dxa" w:w="4968"/>
            <w:tcMar>
              <w:top w:w="90" w:type="dxa"/>
              <w:start w:w="100" w:type="dxa"/>
              <w:bottom w:w="90" w:type="dxa"/>
              <w:end w:w="100" w:type="dxa"/>
            </w:tcMar>
            <w:vAlign w:val="top"/>
          </w:tcPr>
          <w:p>
            <w:r>
              <w:t>How entities relate across Member → Organization → Group → Cycle → Round and supporting records.</w:t>
            </w:r>
          </w:p>
        </w:tc>
      </w:tr>
      <w:tr>
        <w:trPr>
          <w:cantSplit/>
        </w:trPr>
        <w:tc>
          <w:tcPr>
            <w:tcW w:type="dxa" w:w="4968"/>
            <w:tcMar>
              <w:top w:w="90" w:type="dxa"/>
              <w:start w:w="100" w:type="dxa"/>
              <w:bottom w:w="90" w:type="dxa"/>
              <w:end w:w="100" w:type="dxa"/>
            </w:tcMar>
            <w:vAlign w:val="top"/>
          </w:tcPr>
          <w:p>
            <w:r>
              <w:t>States</w:t>
            </w:r>
          </w:p>
        </w:tc>
        <w:tc>
          <w:tcPr>
            <w:tcW w:type="dxa" w:w="4968"/>
            <w:tcMar>
              <w:top w:w="90" w:type="dxa"/>
              <w:start w:w="100" w:type="dxa"/>
              <w:bottom w:w="90" w:type="dxa"/>
              <w:end w:w="100" w:type="dxa"/>
            </w:tcMar>
            <w:vAlign w:val="top"/>
          </w:tcPr>
          <w:p>
            <w:r>
              <w:t>All important statuses such as Pending, Active, Verified, Due, Late, Defaulted and Disputed.</w:t>
            </w:r>
          </w:p>
        </w:tc>
      </w:tr>
      <w:tr>
        <w:trPr>
          <w:cantSplit/>
        </w:trPr>
        <w:tc>
          <w:tcPr>
            <w:tcW w:type="dxa" w:w="4968"/>
            <w:tcMar>
              <w:top w:w="90" w:type="dxa"/>
              <w:start w:w="100" w:type="dxa"/>
              <w:bottom w:w="90" w:type="dxa"/>
              <w:end w:w="100" w:type="dxa"/>
            </w:tcMar>
            <w:vAlign w:val="top"/>
          </w:tcPr>
          <w:p>
            <w:r>
              <w:t>Transitions</w:t>
            </w:r>
          </w:p>
        </w:tc>
        <w:tc>
          <w:tcPr>
            <w:tcW w:type="dxa" w:w="4968"/>
            <w:tcMar>
              <w:top w:w="90" w:type="dxa"/>
              <w:start w:w="100" w:type="dxa"/>
              <w:bottom w:w="90" w:type="dxa"/>
              <w:end w:w="100" w:type="dxa"/>
            </w:tcMar>
            <w:vAlign w:val="top"/>
          </w:tcPr>
          <w:p>
            <w:r>
              <w:t>What event/action causes every important state change.</w:t>
            </w:r>
          </w:p>
        </w:tc>
      </w:tr>
      <w:tr>
        <w:trPr>
          <w:cantSplit/>
        </w:trPr>
        <w:tc>
          <w:tcPr>
            <w:tcW w:type="dxa" w:w="4968"/>
            <w:tcMar>
              <w:top w:w="90" w:type="dxa"/>
              <w:start w:w="100" w:type="dxa"/>
              <w:bottom w:w="90" w:type="dxa"/>
              <w:end w:w="100" w:type="dxa"/>
            </w:tcMar>
            <w:vAlign w:val="top"/>
          </w:tcPr>
          <w:p>
            <w:r>
              <w:t>Permissions</w:t>
            </w:r>
          </w:p>
        </w:tc>
        <w:tc>
          <w:tcPr>
            <w:tcW w:type="dxa" w:w="4968"/>
            <w:tcMar>
              <w:top w:w="90" w:type="dxa"/>
              <w:start w:w="100" w:type="dxa"/>
              <w:bottom w:w="90" w:type="dxa"/>
              <w:end w:w="100" w:type="dxa"/>
            </w:tcMar>
            <w:vAlign w:val="top"/>
          </w:tcPr>
          <w:p>
            <w:r>
              <w:t>Which internal permission is required for each protected action.</w:t>
            </w:r>
          </w:p>
        </w:tc>
      </w:tr>
      <w:tr>
        <w:trPr>
          <w:cantSplit/>
        </w:trPr>
        <w:tc>
          <w:tcPr>
            <w:tcW w:type="dxa" w:w="4968"/>
            <w:tcMar>
              <w:top w:w="90" w:type="dxa"/>
              <w:start w:w="100" w:type="dxa"/>
              <w:bottom w:w="90" w:type="dxa"/>
              <w:end w:w="100" w:type="dxa"/>
            </w:tcMar>
            <w:vAlign w:val="top"/>
          </w:tcPr>
          <w:p>
            <w:r>
              <w:t>Business Rules</w:t>
            </w:r>
          </w:p>
        </w:tc>
        <w:tc>
          <w:tcPr>
            <w:tcW w:type="dxa" w:w="4968"/>
            <w:tcMar>
              <w:top w:w="90" w:type="dxa"/>
              <w:start w:w="100" w:type="dxa"/>
              <w:bottom w:w="90" w:type="dxa"/>
              <w:end w:w="100" w:type="dxa"/>
            </w:tcMar>
            <w:vAlign w:val="top"/>
          </w:tcPr>
          <w:p>
            <w:r>
              <w:t>Constitution rule governing each material action or lifecycle behaviour.</w:t>
            </w:r>
          </w:p>
        </w:tc>
      </w:tr>
      <w:tr>
        <w:trPr>
          <w:cantSplit/>
        </w:trPr>
        <w:tc>
          <w:tcPr>
            <w:tcW w:type="dxa" w:w="4968"/>
            <w:tcMar>
              <w:top w:w="90" w:type="dxa"/>
              <w:start w:w="100" w:type="dxa"/>
              <w:bottom w:w="90" w:type="dxa"/>
              <w:end w:w="100" w:type="dxa"/>
            </w:tcMar>
            <w:vAlign w:val="top"/>
          </w:tcPr>
          <w:p>
            <w:r>
              <w:t>APIs Required</w:t>
            </w:r>
          </w:p>
        </w:tc>
        <w:tc>
          <w:tcPr>
            <w:tcW w:type="dxa" w:w="4968"/>
            <w:tcMar>
              <w:top w:w="90" w:type="dxa"/>
              <w:start w:w="100" w:type="dxa"/>
              <w:bottom w:w="90" w:type="dxa"/>
              <w:end w:w="100" w:type="dxa"/>
            </w:tcMar>
            <w:vAlign w:val="top"/>
          </w:tcPr>
          <w:p>
            <w:r>
              <w:t>Endpoint, request/response, authorization, validation, idempotency and resulting source-state change.</w:t>
            </w:r>
          </w:p>
        </w:tc>
      </w:tr>
      <w:tr>
        <w:trPr>
          <w:cantSplit/>
        </w:trPr>
        <w:tc>
          <w:tcPr>
            <w:tcW w:type="dxa" w:w="4968"/>
            <w:tcMar>
              <w:top w:w="90" w:type="dxa"/>
              <w:start w:w="100" w:type="dxa"/>
              <w:bottom w:w="90" w:type="dxa"/>
              <w:end w:w="100" w:type="dxa"/>
            </w:tcMar>
            <w:vAlign w:val="top"/>
          </w:tcPr>
          <w:p>
            <w:r>
              <w:t>Reports</w:t>
            </w:r>
          </w:p>
        </w:tc>
        <w:tc>
          <w:tcPr>
            <w:tcW w:type="dxa" w:w="4968"/>
            <w:tcMar>
              <w:top w:w="90" w:type="dxa"/>
              <w:start w:w="100" w:type="dxa"/>
              <w:bottom w:w="90" w:type="dxa"/>
              <w:end w:w="100" w:type="dxa"/>
            </w:tcMar>
            <w:vAlign w:val="top"/>
          </w:tcPr>
          <w:p>
            <w:r>
              <w:t>Required filters, columns, totals, visibility and audit/reporting requirements.</w:t>
            </w:r>
          </w:p>
        </w:tc>
      </w:tr>
      <w:tr>
        <w:trPr>
          <w:cantSplit/>
        </w:trPr>
        <w:tc>
          <w:tcPr>
            <w:tcW w:type="dxa" w:w="4968"/>
            <w:tcMar>
              <w:top w:w="90" w:type="dxa"/>
              <w:start w:w="100" w:type="dxa"/>
              <w:bottom w:w="90" w:type="dxa"/>
              <w:end w:w="100" w:type="dxa"/>
            </w:tcMar>
            <w:vAlign w:val="top"/>
          </w:tcPr>
          <w:p>
            <w:r>
              <w:t>Settings</w:t>
            </w:r>
          </w:p>
        </w:tc>
        <w:tc>
          <w:tcPr>
            <w:tcW w:type="dxa" w:w="4968"/>
            <w:tcMar>
              <w:top w:w="90" w:type="dxa"/>
              <w:start w:w="100" w:type="dxa"/>
              <w:bottom w:w="90" w:type="dxa"/>
              <w:end w:w="100" w:type="dxa"/>
            </w:tcMar>
            <w:vAlign w:val="top"/>
          </w:tcPr>
          <w:p>
            <w:r>
              <w:t>Runtime policies, Business Date, environment controls and system configuration.</w:t>
            </w:r>
          </w:p>
        </w:tc>
      </w:tr>
      <w:tr>
        <w:trPr>
          <w:cantSplit/>
        </w:trPr>
        <w:tc>
          <w:tcPr>
            <w:tcW w:type="dxa" w:w="4968"/>
            <w:tcMar>
              <w:top w:w="90" w:type="dxa"/>
              <w:start w:w="100" w:type="dxa"/>
              <w:bottom w:w="90" w:type="dxa"/>
              <w:end w:w="100" w:type="dxa"/>
            </w:tcMar>
            <w:vAlign w:val="top"/>
          </w:tcPr>
          <w:p>
            <w:r>
              <w:t>Integrations</w:t>
            </w:r>
          </w:p>
        </w:tc>
        <w:tc>
          <w:tcPr>
            <w:tcW w:type="dxa" w:w="4968"/>
            <w:tcMar>
              <w:top w:w="90" w:type="dxa"/>
              <w:start w:w="100" w:type="dxa"/>
              <w:bottom w:w="90" w:type="dxa"/>
              <w:end w:w="100" w:type="dxa"/>
            </w:tcMar>
            <w:vAlign w:val="top"/>
          </w:tcPr>
          <w:p>
            <w:r>
              <w:t>Paystack/payment provider, Email, SMS, WhatsApp, identity/KYC, bank validation and other external dependencies.</w:t>
            </w:r>
          </w:p>
        </w:tc>
      </w:tr>
      <w:tr>
        <w:trPr>
          <w:cantSplit/>
        </w:trPr>
        <w:tc>
          <w:tcPr>
            <w:tcW w:type="dxa" w:w="4968"/>
            <w:tcMar>
              <w:top w:w="90" w:type="dxa"/>
              <w:start w:w="100" w:type="dxa"/>
              <w:bottom w:w="90" w:type="dxa"/>
              <w:end w:w="100" w:type="dxa"/>
            </w:tcMar>
            <w:vAlign w:val="top"/>
          </w:tcPr>
          <w:p>
            <w:r>
              <w:t>Tests</w:t>
            </w:r>
          </w:p>
        </w:tc>
        <w:tc>
          <w:tcPr>
            <w:tcW w:type="dxa" w:w="4968"/>
            <w:tcMar>
              <w:top w:w="90" w:type="dxa"/>
              <w:start w:w="100" w:type="dxa"/>
              <w:bottom w:w="90" w:type="dxa"/>
              <w:end w:w="100" w:type="dxa"/>
            </w:tcMar>
            <w:vAlign w:val="top"/>
          </w:tcPr>
          <w:p>
            <w:r>
              <w:t>Acceptance scenarios already validated by the prototype and required for production regression/UAT.</w:t>
            </w:r>
          </w:p>
        </w:tc>
      </w:tr>
    </w:tbl>
    <w:p>
      <w:pPr>
        <w:pStyle w:val="Heading1"/>
      </w:pPr>
      <w:r>
        <w:t>4. The Field/Data Dictionary</w:t>
      </w:r>
    </w:p>
    <w:p>
      <w:r>
        <w:t>A formal field dictionary should be created from the prototype. This becomes one of the most useful handoff artifacts because it connects UI fields to domain ownership, validation and lifecycle rules.</w:t>
      </w:r>
    </w:p>
    <w:tbl>
      <w:tblPr>
        <w:tblW w:type="auto" w:w="0"/>
        <w:jc w:val="center"/>
        <w:tblLayout w:type="fixed"/>
        <w:tblLook w:firstColumn="1" w:firstRow="1" w:lastColumn="0" w:lastRow="0" w:noHBand="0" w:noVBand="1" w:val="04A0"/>
      </w:tblPr>
      <w:tblGrid>
        <w:gridCol w:w="9936"/>
      </w:tblGrid>
      <w:tr>
        <w:trPr>
          <w:cantSplit/>
        </w:trPr>
        <w:tc>
          <w:tcPr>
            <w:tcW w:type="dxa" w:w="9792"/>
            <w:shd w:fill="F3F5F7"/>
            <w:tcMar>
              <w:top w:w="120" w:type="dxa"/>
              <w:start w:w="140" w:type="dxa"/>
              <w:bottom w:w="120" w:type="dxa"/>
              <w:end w:w="140" w:type="dxa"/>
            </w:tcMar>
          </w:tcPr>
          <w:p>
            <w:pPr>
              <w:spacing w:after="60"/>
            </w:pPr>
            <w:r>
              <w:rPr>
                <w:b/>
                <w:color w:val="17365D"/>
              </w:rPr>
              <w:t>Example</w:t>
            </w:r>
          </w:p>
          <w:p>
            <w:pPr>
              <w:spacing w:after="0"/>
            </w:pPr>
            <w:r>
              <w:t>contributionAmountMinor</w:t>
              <w:br/>
              <w:t>Entity: Group/Cycle</w:t>
              <w:br/>
              <w:t>Type: Integer money in minor units</w:t>
              <w:br/>
              <w:t>Required: Yes</w:t>
              <w:br/>
              <w:t>Editable: During setup</w:t>
              <w:br/>
              <w:t>Locked: After financial commencement except through a controlled amendment</w:t>
              <w:br/>
              <w:t>Validation: Greater than zero and within applicable policy</w:t>
              <w:br/>
              <w:t>Used by: Obligation generation, payout entitlement, financial calculations and reports</w:t>
            </w:r>
          </w:p>
        </w:tc>
      </w:tr>
    </w:tbl>
    <w:p>
      <w:pPr>
        <w:pStyle w:val="Heading1"/>
      </w:pPr>
      <w:r>
        <w:t>5. Do Not Throw Away the Frontend</w:t>
      </w:r>
    </w:p>
    <w:p>
      <w:r>
        <w:t>The current prototype is already React/Vite/TypeScript/Tailwind. If code quality remains acceptable, the production strategy should be to evolve it rather than discard it.</w:t>
      </w:r>
    </w:p>
    <w:p>
      <w:r>
        <w:t>A prototype screen may currently call an in-memory service such as getGroups(). In production, the implementation can progressively be replaced by an API call such as GET /api/groups while retaining much of the approved screen design, navigation, status rendering, forms and user experience.</w:t>
      </w:r>
    </w:p>
    <w:tbl>
      <w:tblPr>
        <w:tblW w:type="auto" w:w="0"/>
        <w:jc w:val="center"/>
        <w:tblLayout w:type="fixed"/>
        <w:tblLook w:firstColumn="1" w:firstRow="1" w:lastColumn="0" w:lastRow="0" w:noHBand="0" w:noVBand="1" w:val="04A0"/>
      </w:tblPr>
      <w:tblGrid>
        <w:gridCol w:w="9936"/>
      </w:tblGrid>
      <w:tr>
        <w:trPr>
          <w:cantSplit/>
        </w:trPr>
        <w:tc>
          <w:tcPr>
            <w:tcW w:type="dxa" w:w="9792"/>
            <w:shd w:fill="EAF2F8"/>
            <w:tcMar>
              <w:top w:w="120" w:type="dxa"/>
              <w:start w:w="140" w:type="dxa"/>
              <w:bottom w:w="120" w:type="dxa"/>
              <w:end w:w="140" w:type="dxa"/>
            </w:tcMar>
          </w:tcPr>
          <w:p>
            <w:pPr>
              <w:spacing w:after="60"/>
            </w:pPr>
            <w:r>
              <w:rPr>
                <w:b/>
                <w:color w:val="17365D"/>
              </w:rPr>
              <w:t>Target approach</w:t>
            </w:r>
          </w:p>
          <w:p>
            <w:pPr>
              <w:spacing w:after="0"/>
            </w:pPr>
            <w:r>
              <w:t>Prototype UI → production frontend progressively. Production refactoring is expected, but there should be no unnecessary restart from an empty src/ directory.</w:t>
            </w:r>
          </w:p>
        </w:tc>
      </w:tr>
    </w:tbl>
    <w:p>
      <w:r>
        <w:br w:type="page"/>
      </w:r>
    </w:p>
    <w:p>
      <w:pPr>
        <w:pStyle w:val="Heading1"/>
      </w:pPr>
      <w:r>
        <w:t>6. TCS Version 1 Building Strategy</w:t>
      </w:r>
    </w:p>
    <w:p>
      <w:pPr>
        <w:pStyle w:val="Heading2"/>
      </w:pPr>
      <w:r>
        <w:t>6.1 Finish the Blueprint — Then Stop Prototyping</w:t>
      </w:r>
    </w:p>
    <w:p>
      <w:pPr>
        <w:pStyle w:val="ListBullet"/>
        <w:spacing w:after="60"/>
      </w:pPr>
      <w:r>
        <w:t>Complete Module 6 — Access Management.</w:t>
      </w:r>
    </w:p>
    <w:p>
      <w:pPr>
        <w:pStyle w:val="ListBullet"/>
        <w:spacing w:after="60"/>
      </w:pPr>
      <w:r>
        <w:t>Complete Module 7 — Reports.</w:t>
      </w:r>
    </w:p>
    <w:p>
      <w:pPr>
        <w:pStyle w:val="ListBullet"/>
        <w:spacing w:after="60"/>
      </w:pPr>
      <w:r>
        <w:t>Complete Module 8 — Settings.</w:t>
      </w:r>
    </w:p>
    <w:p>
      <w:pPr>
        <w:pStyle w:val="ListBullet"/>
        <w:spacing w:after="60"/>
      </w:pPr>
      <w:r>
        <w:t>Perform one final hardening/polish pass.</w:t>
      </w:r>
    </w:p>
    <w:p>
      <w:pPr>
        <w:pStyle w:val="ListBullet"/>
        <w:spacing w:after="60"/>
      </w:pPr>
      <w:r>
        <w:t>Lock TCS Product Constitution v1.0.</w:t>
      </w:r>
    </w:p>
    <w:p>
      <w:pPr>
        <w:pStyle w:val="ListBullet"/>
        <w:spacing w:after="60"/>
      </w:pPr>
      <w:r>
        <w:t>Freeze TCS Prototype v1.</w:t>
      </w:r>
    </w:p>
    <w:p>
      <w:r>
        <w:t>After this point, new ideas should generally enter a backlog rather than reopening the prototype unless they block launch or reveal a material business-rule defect.</w:t>
      </w:r>
    </w:p>
    <w:p>
      <w:pPr>
        <w:pStyle w:val="Heading2"/>
      </w:pPr>
      <w:r>
        <w:t>6.2 Generate the Production Build Package</w:t>
      </w:r>
    </w:p>
    <w:p>
      <w:pPr>
        <w:pStyle w:val="ListBullet"/>
        <w:spacing w:after="60"/>
      </w:pPr>
      <w:r>
        <w:t>Product Inventory</w:t>
      </w:r>
    </w:p>
    <w:p>
      <w:pPr>
        <w:pStyle w:val="ListBullet"/>
        <w:spacing w:after="60"/>
      </w:pPr>
      <w:r>
        <w:t>Screen / Route Catalogue</w:t>
      </w:r>
    </w:p>
    <w:p>
      <w:pPr>
        <w:pStyle w:val="ListBullet"/>
        <w:spacing w:after="60"/>
      </w:pPr>
      <w:r>
        <w:t>Field &amp; Data Dictionary</w:t>
      </w:r>
    </w:p>
    <w:p>
      <w:pPr>
        <w:pStyle w:val="ListBullet"/>
        <w:spacing w:after="60"/>
      </w:pPr>
      <w:r>
        <w:t>Domain / Data Model</w:t>
      </w:r>
    </w:p>
    <w:p>
      <w:pPr>
        <w:pStyle w:val="ListBullet"/>
        <w:spacing w:after="60"/>
      </w:pPr>
      <w:r>
        <w:t>State &amp; Transition Catalogue</w:t>
      </w:r>
    </w:p>
    <w:p>
      <w:pPr>
        <w:pStyle w:val="ListBullet"/>
        <w:spacing w:after="60"/>
      </w:pPr>
      <w:r>
        <w:t>Permission Matrix</w:t>
      </w:r>
    </w:p>
    <w:p>
      <w:pPr>
        <w:pStyle w:val="ListBullet"/>
        <w:spacing w:after="60"/>
      </w:pPr>
      <w:r>
        <w:t>API Requirement Catalogue</w:t>
      </w:r>
    </w:p>
    <w:p>
      <w:pPr>
        <w:pStyle w:val="ListBullet"/>
        <w:spacing w:after="60"/>
      </w:pPr>
      <w:r>
        <w:t>Integration Catalogue</w:t>
      </w:r>
    </w:p>
    <w:p>
      <w:pPr>
        <w:pStyle w:val="ListBullet"/>
        <w:spacing w:after="60"/>
      </w:pPr>
      <w:r>
        <w:t>Reports Catalogue</w:t>
      </w:r>
    </w:p>
    <w:p>
      <w:pPr>
        <w:pStyle w:val="ListBullet"/>
        <w:spacing w:after="60"/>
      </w:pPr>
      <w:r>
        <w:t>Settings Catalogue</w:t>
      </w:r>
    </w:p>
    <w:p>
      <w:pPr>
        <w:pStyle w:val="ListBullet"/>
        <w:spacing w:after="60"/>
      </w:pPr>
      <w:r>
        <w:t>Acceptance / UAT Catalogue</w:t>
      </w:r>
    </w:p>
    <w:p>
      <w:r>
        <w:t>Also create a traceability matrix so that important functionality can be followed from product rule to implementation:</w:t>
      </w:r>
    </w:p>
    <w:tbl>
      <w:tblPr>
        <w:tblW w:type="auto" w:w="0"/>
        <w:jc w:val="center"/>
        <w:tblLayout w:type="fixed"/>
        <w:tblLook w:firstColumn="1" w:firstRow="1" w:lastColumn="0" w:lastRow="0" w:noHBand="0" w:noVBand="1" w:val="04A0"/>
      </w:tblPr>
      <w:tblGrid>
        <w:gridCol w:w="9936"/>
      </w:tblGrid>
      <w:tr>
        <w:trPr>
          <w:cantSplit/>
        </w:trPr>
        <w:tc>
          <w:tcPr>
            <w:tcW w:type="dxa" w:w="9792"/>
            <w:shd w:fill="EAF2F8"/>
            <w:tcMar>
              <w:top w:w="120" w:type="dxa"/>
              <w:start w:w="140" w:type="dxa"/>
              <w:bottom w:w="120" w:type="dxa"/>
              <w:end w:w="140" w:type="dxa"/>
            </w:tcMar>
          </w:tcPr>
          <w:p>
            <w:pPr>
              <w:spacing w:after="60"/>
            </w:pPr>
            <w:r>
              <w:rPr>
                <w:b/>
                <w:color w:val="17365D"/>
              </w:rPr>
              <w:t>Traceability</w:t>
            </w:r>
          </w:p>
          <w:p>
            <w:pPr>
              <w:spacing w:after="0"/>
            </w:pPr>
            <w:r>
              <w:t>Constitution Rule → Screen → API → Domain Entity → Permission → Test</w:t>
            </w:r>
          </w:p>
        </w:tc>
      </w:tr>
    </w:tbl>
    <w:p>
      <w:pPr>
        <w:pStyle w:val="Heading2"/>
      </w:pPr>
      <w:r>
        <w:t>6.3 Establish the Real Product Foundations</w:t>
      </w:r>
    </w:p>
    <w:tbl>
      <w:tblPr>
        <w:tblW w:type="auto" w:w="0"/>
        <w:jc w:val="center"/>
        <w:tblLook w:firstColumn="1" w:firstRow="1" w:lastColumn="0" w:lastRow="0" w:noHBand="0" w:noVBand="1" w:val="04A0"/>
      </w:tblPr>
      <w:tblGrid>
        <w:gridCol w:w="9936"/>
      </w:tblGrid>
      <w:tr>
        <w:trPr>
          <w:cantSplit/>
        </w:trPr>
        <w:tc>
          <w:tcPr>
            <w:tcW w:type="dxa" w:w="9936"/>
            <w:shd w:fill="EAF2F8"/>
            <w:tcMar>
              <w:top w:w="120" w:type="dxa"/>
              <w:start w:w="140" w:type="dxa"/>
              <w:bottom w:w="120" w:type="dxa"/>
              <w:end w:w="140" w:type="dxa"/>
            </w:tcMar>
          </w:tcPr>
          <w:p>
            <w:r>
              <w:rPr>
                <w:b/>
                <w:color w:val="17365D"/>
              </w:rPr>
              <w:t>External integration readiness</w:t>
            </w:r>
          </w:p>
          <w:p>
            <w:pPr>
              <w:spacing w:after="0"/>
            </w:pPr>
            <w:r>
              <w:t>Development/UAT targets already identified: Paystack Test Mode for payments, Mailtrap for Email, Africa's Talking for SMS, and Meta WhatsApp Business Platform for WhatsApp. Production credentials, compliance and commercial activation are introduced only when the relevant V1 slice is ready.</w:t>
            </w:r>
          </w:p>
        </w:tc>
      </w:tr>
    </w:tbl>
    <w:p>
      <w:r>
        <w:t>Once the product blueprint is stable, the business and technical foundations required for a live service can be established in parallel.</w:t>
      </w:r>
    </w:p>
    <w:p>
      <w:pPr>
        <w:pStyle w:val="ListBullet"/>
        <w:spacing w:after="60"/>
      </w:pPr>
      <w:r>
        <w:t>Corestack/TCS company and legal setup.</w:t>
      </w:r>
    </w:p>
    <w:p>
      <w:pPr>
        <w:pStyle w:val="ListBullet"/>
        <w:spacing w:after="60"/>
      </w:pPr>
      <w:r>
        <w:t>Domain and professional email.</w:t>
      </w:r>
    </w:p>
    <w:p>
      <w:pPr>
        <w:pStyle w:val="ListBullet"/>
        <w:spacing w:after="60"/>
      </w:pPr>
      <w:r>
        <w:t>Legal counsel, privacy policy, Terms and other required documentation.</w:t>
      </w:r>
    </w:p>
    <w:p>
      <w:pPr>
        <w:pStyle w:val="ListBullet"/>
        <w:spacing w:after="60"/>
      </w:pPr>
      <w:r>
        <w:t>Relevant privacy/data-protection and compliance work.</w:t>
      </w:r>
    </w:p>
    <w:p>
      <w:pPr>
        <w:pStyle w:val="ListBullet"/>
        <w:spacing w:after="60"/>
      </w:pPr>
      <w:r>
        <w:t>Payment-provider architecture and commercial discussions.</w:t>
      </w:r>
    </w:p>
    <w:p>
      <w:pPr>
        <w:pStyle w:val="ListBullet"/>
        <w:spacing w:after="60"/>
      </w:pPr>
      <w:r>
        <w:t>Production cloud account and database.</w:t>
      </w:r>
    </w:p>
    <w:p>
      <w:pPr>
        <w:pStyle w:val="ListBullet"/>
        <w:spacing w:after="60"/>
      </w:pPr>
      <w:r>
        <w:t>Email/SMS/WhatsApp messaging services.</w:t>
      </w:r>
    </w:p>
    <w:p>
      <w:pPr>
        <w:pStyle w:val="ListBullet"/>
        <w:spacing w:after="60"/>
      </w:pPr>
      <w:r>
        <w:t>Monitoring and logging.</w:t>
      </w:r>
    </w:p>
    <w:p>
      <w:pPr>
        <w:pStyle w:val="ListBullet"/>
        <w:spacing w:after="60"/>
      </w:pPr>
      <w:r>
        <w:t>Backups and disaster-recovery basics.</w:t>
      </w:r>
    </w:p>
    <w:p>
      <w:pPr>
        <w:pStyle w:val="ListBullet"/>
        <w:spacing w:after="60"/>
      </w:pPr>
      <w:r>
        <w:t>Secrets management.</w:t>
      </w:r>
    </w:p>
    <w:p>
      <w:pPr>
        <w:pStyle w:val="ListBullet"/>
        <w:spacing w:after="60"/>
      </w:pPr>
      <w:r>
        <w:t>CI/CD.</w:t>
      </w:r>
    </w:p>
    <w:p>
      <w:pPr>
        <w:pStyle w:val="ListBullet"/>
        <w:spacing w:after="60"/>
      </w:pPr>
      <w:r>
        <w:t>Separate UAT/staging/production environments.</w:t>
      </w:r>
    </w:p>
    <w:tbl>
      <w:tblPr>
        <w:tblW w:type="auto" w:w="0"/>
        <w:jc w:val="center"/>
        <w:tblLayout w:type="fixed"/>
        <w:tblLook w:firstColumn="1" w:firstRow="1" w:lastColumn="0" w:lastRow="0" w:noHBand="0" w:noVBand="1" w:val="04A0"/>
      </w:tblPr>
      <w:tblGrid>
        <w:gridCol w:w="9936"/>
      </w:tblGrid>
      <w:tr>
        <w:trPr>
          <w:cantSplit/>
        </w:trPr>
        <w:tc>
          <w:tcPr>
            <w:tcW w:type="dxa" w:w="9792"/>
            <w:shd w:fill="EAF2F8"/>
            <w:tcMar>
              <w:top w:w="120" w:type="dxa"/>
              <w:start w:w="140" w:type="dxa"/>
              <w:bottom w:w="120" w:type="dxa"/>
              <w:end w:w="140" w:type="dxa"/>
            </w:tcMar>
          </w:tcPr>
          <w:p>
            <w:pPr>
              <w:spacing w:after="60"/>
            </w:pPr>
            <w:r>
              <w:rPr>
                <w:b/>
                <w:color w:val="17365D"/>
              </w:rPr>
              <w:t>Environment rule</w:t>
            </w:r>
          </w:p>
          <w:p>
            <w:pPr>
              <w:spacing w:after="0"/>
            </w:pPr>
            <w:r>
              <w:t>Business Date / time simulation belongs in non-production testing environments. Production must always operate on the real production business-time contract.</w:t>
            </w:r>
          </w:p>
        </w:tc>
      </w:tr>
    </w:tbl>
    <w:p>
      <w:pPr>
        <w:pStyle w:val="Heading2"/>
      </w:pPr>
      <w:r>
        <w:t>6.4 Build Production in Vertical Slices</w:t>
      </w:r>
    </w:p>
    <w:p>
      <w:r>
        <w:t>Do not spend months building an entire backend before reconnecting the frontend. Build one complete user journey at a time against the approved prototype.</w:t>
      </w:r>
    </w:p>
    <w:p>
      <w:pPr>
        <w:pStyle w:val="ListNumber"/>
        <w:spacing w:after="60"/>
      </w:pPr>
      <w:r>
        <w:t>Member Registration → real database → API → approved screen → validation → authorization → audit → tests.</w:t>
      </w:r>
    </w:p>
    <w:p>
      <w:pPr>
        <w:pStyle w:val="ListNumber"/>
        <w:spacing w:after="60"/>
      </w:pPr>
      <w:r>
        <w:t>Member Verification.</w:t>
      </w:r>
    </w:p>
    <w:p>
      <w:pPr>
        <w:pStyle w:val="ListNumber"/>
        <w:spacing w:after="60"/>
      </w:pPr>
      <w:r>
        <w:t>Organization Application and approval.</w:t>
      </w:r>
    </w:p>
    <w:p>
      <w:pPr>
        <w:pStyle w:val="ListNumber"/>
        <w:spacing w:after="60"/>
      </w:pPr>
      <w:r>
        <w:t>Group Setup.</w:t>
      </w:r>
    </w:p>
    <w:p>
      <w:pPr>
        <w:pStyle w:val="ListNumber"/>
        <w:spacing w:after="60"/>
      </w:pPr>
      <w:r>
        <w:t>Recruitment, commitments and positions.</w:t>
      </w:r>
    </w:p>
    <w:p>
      <w:pPr>
        <w:pStyle w:val="ListNumber"/>
        <w:spacing w:after="60"/>
      </w:pPr>
      <w:r>
        <w:t>Cycle/Round/Obligation processing.</w:t>
      </w:r>
    </w:p>
    <w:p>
      <w:pPr>
        <w:pStyle w:val="ListNumber"/>
        <w:spacing w:after="60"/>
      </w:pPr>
      <w:r>
        <w:t>Contribution payments and reconciliation.</w:t>
      </w:r>
    </w:p>
    <w:p>
      <w:pPr>
        <w:pStyle w:val="ListNumber"/>
        <w:spacing w:after="60"/>
      </w:pPr>
      <w:r>
        <w:t>Payout and recipient confirmation.</w:t>
      </w:r>
    </w:p>
    <w:p>
      <w:pPr>
        <w:pStyle w:val="ListNumber"/>
        <w:spacing w:after="60"/>
      </w:pPr>
      <w:r>
        <w:t>Operations exceptions and intervention.</w:t>
      </w:r>
    </w:p>
    <w:p>
      <w:pPr>
        <w:pStyle w:val="Heading1"/>
      </w:pPr>
      <w:r>
        <w:t>7. The Version 1 Product Journey</w:t>
      </w:r>
    </w:p>
    <w:tbl>
      <w:tblPr>
        <w:tblW w:type="auto" w:w="0"/>
        <w:jc w:val="center"/>
        <w:tblLayout w:type="fixed"/>
        <w:tblLook w:firstColumn="1" w:firstRow="1" w:lastColumn="0" w:lastRow="0" w:noHBand="0" w:noVBand="1" w:val="04A0"/>
      </w:tblPr>
      <w:tblGrid>
        <w:gridCol w:w="9936"/>
      </w:tblGrid>
      <w:tr>
        <w:trPr>
          <w:cantSplit/>
        </w:trPr>
        <w:tc>
          <w:tcPr>
            <w:tcW w:type="dxa" w:w="9792"/>
            <w:shd w:fill="EAF2F8"/>
            <w:tcMar>
              <w:top w:w="120" w:type="dxa"/>
              <w:start w:w="140" w:type="dxa"/>
              <w:bottom w:w="120" w:type="dxa"/>
              <w:end w:w="140" w:type="dxa"/>
            </w:tcMar>
          </w:tcPr>
          <w:p>
            <w:pPr>
              <w:spacing w:after="60"/>
            </w:pPr>
            <w:r>
              <w:rPr>
                <w:b/>
                <w:color w:val="17365D"/>
              </w:rPr>
              <w:t>Core launch journey</w:t>
            </w:r>
          </w:p>
          <w:p>
            <w:pPr>
              <w:spacing w:after="0"/>
            </w:pPr>
            <w:r>
              <w:t>Member registers → gets verified → Organization gets approved → creates Group → recruits Members → positions are agreed → Cycle activates → obligations arise → Members contribute → Organization pays recipient → Cycle progresses → Operations handles exceptions.</w:t>
            </w:r>
          </w:p>
        </w:tc>
      </w:tr>
    </w:tbl>
    <w:p>
      <w:r>
        <w:t>Version 1 should optimize for this journey rather than for completeness across every possible future capability.</w:t>
      </w:r>
    </w:p>
    <w:p>
      <w:pPr>
        <w:pStyle w:val="Heading1"/>
      </w:pPr>
      <w:r>
        <w:t>8. V1 Communication &amp; Notification Strategy</w:t>
      </w:r>
    </w:p>
    <w:p>
      <w:r>
        <w:t>Communication is part of the Version 1 product, not an afterthought. TCS should support multiple notification channels so important thrift events can reach Members and Organization Owners through the channels they already use. The goal is not to build every channel first; the goal is to design one provider-neutral Notification Service and progressively activate the channels required for V1.</w:t>
      </w:r>
    </w:p>
    <w:tbl>
      <w:tblPr>
        <w:tblW w:type="auto" w:w="0"/>
        <w:jc w:val="center"/>
        <w:tblLook w:firstColumn="1" w:firstRow="1" w:lastColumn="0" w:lastRow="0" w:noHBand="0" w:noVBand="1" w:val="04A0"/>
      </w:tblPr>
      <w:tblGrid>
        <w:gridCol w:w="9936"/>
      </w:tblGrid>
      <w:tr>
        <w:trPr>
          <w:cantSplit/>
        </w:trPr>
        <w:tc>
          <w:tcPr>
            <w:tcW w:type="dxa" w:w="9936"/>
            <w:shd w:fill="EAF2F8"/>
            <w:tcMar>
              <w:top w:w="120" w:type="dxa"/>
              <w:start w:w="140" w:type="dxa"/>
              <w:bottom w:w="120" w:type="dxa"/>
              <w:end w:w="140" w:type="dxa"/>
            </w:tcMar>
          </w:tcPr>
          <w:p>
            <w:r>
              <w:rPr>
                <w:b/>
                <w:color w:val="17365D"/>
              </w:rPr>
              <w:t>V1 communication principle</w:t>
            </w:r>
          </w:p>
          <w:p>
            <w:pPr>
              <w:spacing w:after="0"/>
            </w:pPr>
            <w:r>
              <w:t>One business event should be able to trigger the appropriate mix of In-app, Email, SMS and WhatsApp notifications without embedding provider-specific logic inside the thrift, payment or Operations modules.</w:t>
            </w:r>
          </w:p>
        </w:tc>
      </w:tr>
    </w:tbl>
    <w:p>
      <w:pPr>
        <w:pStyle w:val="Heading2"/>
      </w:pPr>
      <w:r>
        <w:t>Target notification architecture</w:t>
      </w:r>
    </w:p>
    <w:p>
      <w:r>
        <w:rPr>
          <w:rFonts w:ascii="Consolas" w:hAnsi="Consolas"/>
          <w:sz w:val="19"/>
        </w:rPr>
        <w:t>NotificationService</w:t>
        <w:br/>
        <w:t xml:space="preserve">  ├─ EmailProvider</w:t>
        <w:br/>
        <w:t xml:space="preserve">  │   ├─ Mailtrap Sandbox (development/UAT)</w:t>
        <w:br/>
        <w:t xml:space="preserve">  │   └─ Production transactional email provider</w:t>
        <w:br/>
        <w:t xml:space="preserve">  ├─ SmsProvider</w:t>
        <w:br/>
        <w:t xml:space="preserve">  │   ├─ Africa's Talking Sandbox (development/UAT)</w:t>
        <w:br/>
        <w:t xml:space="preserve">  │   └─ Africa's Talking / Termii or selected provider (production)</w:t>
        <w:br/>
        <w:t xml:space="preserve">  └─ WhatsAppProvider</w:t>
        <w:br/>
        <w:t xml:space="preserve">      ├─ Meta WhatsApp Business Platform test setup (development/UAT)</w:t>
        <w:br/>
        <w:t xml:space="preserve">      └─ Meta WhatsApp Business Platform (production)</w:t>
      </w:r>
    </w:p>
    <w:p>
      <w:pPr>
        <w:pStyle w:val="Heading2"/>
      </w:pPr>
      <w:r>
        <w:t>V1 channel intent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17365D"/>
            <w:tcMar>
              <w:top w:w="90" w:type="dxa"/>
              <w:start w:w="100" w:type="dxa"/>
              <w:bottom w:w="90" w:type="dxa"/>
              <w:end w:w="100" w:type="dxa"/>
            </w:tcMar>
          </w:tcPr>
          <w:p>
            <w:r>
              <w:rPr>
                <w:b/>
                <w:color w:val="FFFFFF"/>
              </w:rPr>
              <w:t>Channel</w:t>
            </w:r>
          </w:p>
        </w:tc>
        <w:tc>
          <w:tcPr>
            <w:tcW w:type="dxa" w:w="2484"/>
            <w:shd w:fill="17365D"/>
            <w:tcMar>
              <w:top w:w="90" w:type="dxa"/>
              <w:start w:w="100" w:type="dxa"/>
              <w:bottom w:w="90" w:type="dxa"/>
              <w:end w:w="100" w:type="dxa"/>
            </w:tcMar>
          </w:tcPr>
          <w:p>
            <w:r>
              <w:rPr>
                <w:b/>
                <w:color w:val="FFFFFF"/>
              </w:rPr>
              <w:t>Development / UAT</w:t>
            </w:r>
          </w:p>
        </w:tc>
        <w:tc>
          <w:tcPr>
            <w:tcW w:type="dxa" w:w="2484"/>
            <w:shd w:fill="17365D"/>
            <w:tcMar>
              <w:top w:w="90" w:type="dxa"/>
              <w:start w:w="100" w:type="dxa"/>
              <w:bottom w:w="90" w:type="dxa"/>
              <w:end w:w="100" w:type="dxa"/>
            </w:tcMar>
          </w:tcPr>
          <w:p>
            <w:r>
              <w:rPr>
                <w:b/>
                <w:color w:val="FFFFFF"/>
              </w:rPr>
              <w:t>Production direction</w:t>
            </w:r>
          </w:p>
        </w:tc>
        <w:tc>
          <w:tcPr>
            <w:tcW w:type="dxa" w:w="2484"/>
            <w:shd w:fill="17365D"/>
            <w:tcMar>
              <w:top w:w="90" w:type="dxa"/>
              <w:start w:w="100" w:type="dxa"/>
              <w:bottom w:w="90" w:type="dxa"/>
              <w:end w:w="100" w:type="dxa"/>
            </w:tcMar>
          </w:tcPr>
          <w:p>
            <w:r>
              <w:rPr>
                <w:b/>
                <w:color w:val="FFFFFF"/>
              </w:rPr>
              <w:t>V1 purpose</w:t>
            </w:r>
          </w:p>
        </w:tc>
      </w:tr>
      <w:tr>
        <w:trPr>
          <w:cantSplit/>
        </w:trPr>
        <w:tc>
          <w:tcPr>
            <w:tcW w:type="dxa" w:w="2484"/>
            <w:tcMar>
              <w:top w:w="70" w:type="dxa"/>
              <w:start w:w="80" w:type="dxa"/>
              <w:bottom w:w="70" w:type="dxa"/>
              <w:end w:w="80" w:type="dxa"/>
            </w:tcMar>
            <w:vAlign w:val="top"/>
          </w:tcPr>
          <w:p>
            <w:r>
              <w:t>In-app</w:t>
            </w:r>
          </w:p>
        </w:tc>
        <w:tc>
          <w:tcPr>
            <w:tcW w:type="dxa" w:w="2484"/>
            <w:tcMar>
              <w:top w:w="70" w:type="dxa"/>
              <w:start w:w="80" w:type="dxa"/>
              <w:bottom w:w="70" w:type="dxa"/>
              <w:end w:w="80" w:type="dxa"/>
            </w:tcMar>
            <w:vAlign w:val="top"/>
          </w:tcPr>
          <w:p>
            <w:r>
              <w:t>Prototype/UAT notification records</w:t>
            </w:r>
          </w:p>
        </w:tc>
        <w:tc>
          <w:tcPr>
            <w:tcW w:type="dxa" w:w="2484"/>
            <w:tcMar>
              <w:top w:w="70" w:type="dxa"/>
              <w:start w:w="80" w:type="dxa"/>
              <w:bottom w:w="70" w:type="dxa"/>
              <w:end w:w="80" w:type="dxa"/>
            </w:tcMar>
            <w:vAlign w:val="top"/>
          </w:tcPr>
          <w:p>
            <w:r>
              <w:t>Native TCS notification centre</w:t>
            </w:r>
          </w:p>
        </w:tc>
        <w:tc>
          <w:tcPr>
            <w:tcW w:type="dxa" w:w="2484"/>
            <w:tcMar>
              <w:top w:w="70" w:type="dxa"/>
              <w:start w:w="80" w:type="dxa"/>
              <w:bottom w:w="70" w:type="dxa"/>
              <w:end w:w="80" w:type="dxa"/>
            </w:tcMar>
            <w:vAlign w:val="top"/>
          </w:tcPr>
          <w:p>
            <w:r>
              <w:t>Persistent product history and status</w:t>
            </w:r>
          </w:p>
        </w:tc>
      </w:tr>
      <w:tr>
        <w:trPr>
          <w:cantSplit/>
        </w:trPr>
        <w:tc>
          <w:tcPr>
            <w:tcW w:type="dxa" w:w="2484"/>
            <w:tcMar>
              <w:top w:w="70" w:type="dxa"/>
              <w:start w:w="80" w:type="dxa"/>
              <w:bottom w:w="70" w:type="dxa"/>
              <w:end w:w="80" w:type="dxa"/>
            </w:tcMar>
            <w:vAlign w:val="top"/>
          </w:tcPr>
          <w:p>
            <w:r>
              <w:t>Email</w:t>
            </w:r>
          </w:p>
        </w:tc>
        <w:tc>
          <w:tcPr>
            <w:tcW w:type="dxa" w:w="2484"/>
            <w:tcMar>
              <w:top w:w="70" w:type="dxa"/>
              <w:start w:w="80" w:type="dxa"/>
              <w:bottom w:w="70" w:type="dxa"/>
              <w:end w:w="80" w:type="dxa"/>
            </w:tcMar>
            <w:vAlign w:val="top"/>
          </w:tcPr>
          <w:p>
            <w:r>
              <w:t>Mailtrap Email Sandbox</w:t>
            </w:r>
          </w:p>
        </w:tc>
        <w:tc>
          <w:tcPr>
            <w:tcW w:type="dxa" w:w="2484"/>
            <w:tcMar>
              <w:top w:w="70" w:type="dxa"/>
              <w:start w:w="80" w:type="dxa"/>
              <w:bottom w:w="70" w:type="dxa"/>
              <w:end w:w="80" w:type="dxa"/>
            </w:tcMar>
            <w:vAlign w:val="top"/>
          </w:tcPr>
          <w:p>
            <w:r>
              <w:t>Transactional email provider</w:t>
            </w:r>
          </w:p>
        </w:tc>
        <w:tc>
          <w:tcPr>
            <w:tcW w:type="dxa" w:w="2484"/>
            <w:tcMar>
              <w:top w:w="70" w:type="dxa"/>
              <w:start w:w="80" w:type="dxa"/>
              <w:bottom w:w="70" w:type="dxa"/>
              <w:end w:w="80" w:type="dxa"/>
            </w:tcMar>
            <w:vAlign w:val="top"/>
          </w:tcPr>
          <w:p>
            <w:r>
              <w:t>Verification, approvals, statements and important notices</w:t>
            </w:r>
          </w:p>
        </w:tc>
      </w:tr>
      <w:tr>
        <w:trPr>
          <w:cantSplit/>
        </w:trPr>
        <w:tc>
          <w:tcPr>
            <w:tcW w:type="dxa" w:w="2484"/>
            <w:tcMar>
              <w:top w:w="70" w:type="dxa"/>
              <w:start w:w="80" w:type="dxa"/>
              <w:bottom w:w="70" w:type="dxa"/>
              <w:end w:w="80" w:type="dxa"/>
            </w:tcMar>
            <w:vAlign w:val="top"/>
          </w:tcPr>
          <w:p>
            <w:r>
              <w:t>SMS</w:t>
            </w:r>
          </w:p>
        </w:tc>
        <w:tc>
          <w:tcPr>
            <w:tcW w:type="dxa" w:w="2484"/>
            <w:tcMar>
              <w:top w:w="70" w:type="dxa"/>
              <w:start w:w="80" w:type="dxa"/>
              <w:bottom w:w="70" w:type="dxa"/>
              <w:end w:w="80" w:type="dxa"/>
            </w:tcMar>
            <w:vAlign w:val="top"/>
          </w:tcPr>
          <w:p>
            <w:r>
              <w:t>Africa's Talking Sandbox</w:t>
            </w:r>
          </w:p>
        </w:tc>
        <w:tc>
          <w:tcPr>
            <w:tcW w:type="dxa" w:w="2484"/>
            <w:tcMar>
              <w:top w:w="70" w:type="dxa"/>
              <w:start w:w="80" w:type="dxa"/>
              <w:bottom w:w="70" w:type="dxa"/>
              <w:end w:w="80" w:type="dxa"/>
            </w:tcMar>
            <w:vAlign w:val="top"/>
          </w:tcPr>
          <w:p>
            <w:r>
              <w:t>Africa's Talking / Termii or selected provider</w:t>
            </w:r>
          </w:p>
        </w:tc>
        <w:tc>
          <w:tcPr>
            <w:tcW w:type="dxa" w:w="2484"/>
            <w:tcMar>
              <w:top w:w="70" w:type="dxa"/>
              <w:start w:w="80" w:type="dxa"/>
              <w:bottom w:w="70" w:type="dxa"/>
              <w:end w:w="80" w:type="dxa"/>
            </w:tcMar>
            <w:vAlign w:val="top"/>
          </w:tcPr>
          <w:p>
            <w:r>
              <w:t>OTP, critical reminders and fallback delivery</w:t>
            </w:r>
          </w:p>
        </w:tc>
      </w:tr>
      <w:tr>
        <w:trPr>
          <w:cantSplit/>
        </w:trPr>
        <w:tc>
          <w:tcPr>
            <w:tcW w:type="dxa" w:w="2484"/>
            <w:tcMar>
              <w:top w:w="70" w:type="dxa"/>
              <w:start w:w="80" w:type="dxa"/>
              <w:bottom w:w="70" w:type="dxa"/>
              <w:end w:w="80" w:type="dxa"/>
            </w:tcMar>
            <w:vAlign w:val="top"/>
          </w:tcPr>
          <w:p>
            <w:r>
              <w:t>WhatsApp</w:t>
            </w:r>
          </w:p>
        </w:tc>
        <w:tc>
          <w:tcPr>
            <w:tcW w:type="dxa" w:w="2484"/>
            <w:tcMar>
              <w:top w:w="70" w:type="dxa"/>
              <w:start w:w="80" w:type="dxa"/>
              <w:bottom w:w="70" w:type="dxa"/>
              <w:end w:w="80" w:type="dxa"/>
            </w:tcMar>
            <w:vAlign w:val="top"/>
          </w:tcPr>
          <w:p>
            <w:r>
              <w:t>Meta developer/test setup</w:t>
            </w:r>
          </w:p>
        </w:tc>
        <w:tc>
          <w:tcPr>
            <w:tcW w:type="dxa" w:w="2484"/>
            <w:tcMar>
              <w:top w:w="70" w:type="dxa"/>
              <w:start w:w="80" w:type="dxa"/>
              <w:bottom w:w="70" w:type="dxa"/>
              <w:end w:w="80" w:type="dxa"/>
            </w:tcMar>
            <w:vAlign w:val="top"/>
          </w:tcPr>
          <w:p>
            <w:r>
              <w:t>Meta WhatsApp Business Platform</w:t>
            </w:r>
          </w:p>
        </w:tc>
        <w:tc>
          <w:tcPr>
            <w:tcW w:type="dxa" w:w="2484"/>
            <w:tcMar>
              <w:top w:w="70" w:type="dxa"/>
              <w:start w:w="80" w:type="dxa"/>
              <w:bottom w:w="70" w:type="dxa"/>
              <w:end w:w="80" w:type="dxa"/>
            </w:tcMar>
            <w:vAlign w:val="top"/>
          </w:tcPr>
          <w:p>
            <w:r>
              <w:t>High-engagement reminders, payment/payout updates and service notifications</w:t>
            </w:r>
          </w:p>
        </w:tc>
      </w:tr>
    </w:tbl>
    <w:p/>
    <w:p>
      <w:pPr>
        <w:pStyle w:val="Heading2"/>
      </w:pPr>
      <w:r>
        <w:t>WhatsApp in Version 1</w:t>
      </w:r>
    </w:p>
    <w:p>
      <w:r>
        <w:t>WhatsApp is included in the Version 1 building strategy because it can materially improve reach and engagement for a Nigeria-first thrift product. It does not have to be the first integration built. The provider-neutral Notification Service should be implemented first, followed by Email/SMS and then WhatsApp before Version 1 is considered ready to go live. WhatsApp should use the official Meta WhatsApp Business Platform, approved templates where required, and explicit user opt-in/consent.</w:t>
      </w:r>
    </w:p>
    <w:p>
      <w:r>
        <w:t>Representative V1 WhatsApp events may include verification reminders, contribution-due reminders, payment confirmations, payout notifications, payout-confirmation reminders, information-required notices, dispute/status updates and selected security alerts. OTP over WhatsApp may be evaluated where provider rules and the consent model support it.</w:t>
      </w:r>
    </w:p>
    <w:p>
      <w:pPr>
        <w:pStyle w:val="Heading2"/>
      </w:pPr>
      <w:r>
        <w:t>Build sequence inside V1</w:t>
      </w:r>
    </w:p>
    <w:p>
      <w:pPr>
        <w:spacing w:after="60"/>
      </w:pPr>
      <w:r>
        <w:t>1. Build the provider-neutral Notification Service and notification records.</w:t>
      </w:r>
    </w:p>
    <w:p>
      <w:pPr>
        <w:spacing w:after="60"/>
      </w:pPr>
      <w:r>
        <w:t>2. Connect Mailtrap for Email in development/UAT.</w:t>
      </w:r>
    </w:p>
    <w:p>
      <w:pPr>
        <w:spacing w:after="60"/>
      </w:pPr>
      <w:r>
        <w:t>3. Connect Africa's Talking for SMS simulation and later production delivery where selected.</w:t>
      </w:r>
    </w:p>
    <w:p>
      <w:pPr>
        <w:spacing w:after="60"/>
      </w:pPr>
      <w:r>
        <w:t>4. Integrate Meta WhatsApp Business Platform and approved message templates.</w:t>
      </w:r>
    </w:p>
    <w:p>
      <w:pPr>
        <w:spacing w:after="60"/>
      </w:pPr>
      <w:r>
        <w:t>5. Implement channel preferences/consent and sensible fallback rules.</w:t>
      </w:r>
    </w:p>
    <w:p>
      <w:pPr>
        <w:spacing w:after="60"/>
      </w:pPr>
      <w:r>
        <w:t>6. Validate notification delivery and status handling in UAT before production activation.</w:t>
      </w:r>
    </w:p>
    <w:p>
      <w:r>
        <w:t>The list below is intentionally about capabilities we do not need for the first production version. Multi-channel notifications — including WhatsApp — are part of the V1 building strategy and are not deferred.</w:t>
      </w:r>
    </w:p>
    <w:p>
      <w:pPr>
        <w:pStyle w:val="Heading1"/>
      </w:pPr>
      <w:r>
        <w:t>9. What We Deliberately Defer Beyond V1</w:t>
      </w:r>
    </w:p>
    <w:p>
      <w:pPr>
        <w:pStyle w:val="ListBullet"/>
        <w:spacing w:after="60"/>
      </w:pPr>
      <w:r>
        <w:t>AI agents or copilots.</w:t>
      </w:r>
    </w:p>
    <w:p>
      <w:pPr>
        <w:pStyle w:val="ListBullet"/>
        <w:spacing w:after="60"/>
      </w:pPr>
      <w:r>
        <w:t>Automatic payouts.</w:t>
      </w:r>
    </w:p>
    <w:p>
      <w:pPr>
        <w:pStyle w:val="ListBullet"/>
        <w:spacing w:after="60"/>
      </w:pPr>
      <w:r>
        <w:t>Organization employees / multiple delegated staff.</w:t>
      </w:r>
    </w:p>
    <w:p>
      <w:pPr>
        <w:pStyle w:val="ListBullet"/>
        <w:spacing w:after="60"/>
      </w:pPr>
      <w:r>
        <w:t>Sophisticated white-labeling.</w:t>
      </w:r>
    </w:p>
    <w:p>
      <w:pPr>
        <w:pStyle w:val="ListBullet"/>
        <w:spacing w:after="60"/>
      </w:pPr>
      <w:r>
        <w:t>Heavy maker-checker across ordinary workflows.</w:t>
      </w:r>
    </w:p>
    <w:p>
      <w:pPr>
        <w:pStyle w:val="ListBullet"/>
        <w:spacing w:after="60"/>
      </w:pPr>
      <w:r>
        <w:t>Enterprise SSO.</w:t>
      </w:r>
    </w:p>
    <w:p>
      <w:pPr>
        <w:pStyle w:val="ListBullet"/>
        <w:spacing w:after="60"/>
      </w:pPr>
      <w:r>
        <w:t>A large security operations centre.</w:t>
      </w:r>
    </w:p>
    <w:p>
      <w:pPr>
        <w:pStyle w:val="ListBullet"/>
        <w:spacing w:after="60"/>
      </w:pPr>
      <w:r>
        <w:t>Temporary / just-in-time permissions.</w:t>
      </w:r>
    </w:p>
    <w:p>
      <w:pPr>
        <w:pStyle w:val="ListBullet"/>
        <w:spacing w:after="60"/>
      </w:pPr>
      <w:r>
        <w:t>A generic workflow designer.</w:t>
      </w:r>
    </w:p>
    <w:p>
      <w:pPr>
        <w:pStyle w:val="ListBullet"/>
        <w:spacing w:after="60"/>
      </w:pPr>
      <w:r>
        <w:t>Automated legal debt recovery.</w:t>
      </w:r>
    </w:p>
    <w:p>
      <w:pPr>
        <w:pStyle w:val="ListBullet"/>
        <w:spacing w:after="60"/>
      </w:pPr>
      <w:r>
        <w:t>Every imaginable report.</w:t>
      </w:r>
    </w:p>
    <w:p>
      <w:pPr>
        <w:pStyle w:val="ListBullet"/>
        <w:spacing w:after="60"/>
      </w:pPr>
      <w:r>
        <w:t>Native mobile applications.</w:t>
      </w:r>
    </w:p>
    <w:p>
      <w:r>
        <w:t>A web application, manual payout, one Organization Owner and a small Corestack Operations team are acceptable foundations for the first controlled release.</w:t>
      </w:r>
    </w:p>
    <w:p>
      <w:pPr>
        <w:pStyle w:val="Heading1"/>
      </w:pPr>
      <w:r>
        <w:t>10. Bring V1 Live Through a Controlled Pilot</w:t>
      </w:r>
    </w:p>
    <w:p>
      <w:r>
        <w:t>The first objective should not be to launch to everyone in Nigeria. The better first milestone is for one trusted Organization — such as Olahbee's World — to successfully run a real thrift Cycle end-to-end on TCS.</w:t>
      </w:r>
    </w:p>
    <w:p>
      <w:r>
        <w:t>The pilot can deliberately start small: a limited number of Members and one or a few Groups, with Corestack Operations closely monitoring the process.</w:t>
      </w:r>
    </w:p>
    <w:p>
      <w:r>
        <w:t>The first real Cycle should be used to learn from:</w:t>
      </w:r>
    </w:p>
    <w:p>
      <w:pPr>
        <w:pStyle w:val="ListBullet"/>
        <w:spacing w:after="60"/>
      </w:pPr>
      <w:r>
        <w:t>onboarding friction;</w:t>
      </w:r>
    </w:p>
    <w:p>
      <w:pPr>
        <w:pStyle w:val="ListBullet"/>
        <w:spacing w:after="60"/>
      </w:pPr>
      <w:r>
        <w:t>contribution/payment issues;</w:t>
      </w:r>
    </w:p>
    <w:p>
      <w:pPr>
        <w:pStyle w:val="ListBullet"/>
        <w:spacing w:after="60"/>
      </w:pPr>
      <w:r>
        <w:t>confusing UX;</w:t>
      </w:r>
    </w:p>
    <w:p>
      <w:pPr>
        <w:pStyle w:val="ListBullet"/>
        <w:spacing w:after="60"/>
      </w:pPr>
      <w:r>
        <w:t>reconciliation exceptions;</w:t>
      </w:r>
    </w:p>
    <w:p>
      <w:pPr>
        <w:pStyle w:val="ListBullet"/>
        <w:spacing w:after="60"/>
      </w:pPr>
      <w:r>
        <w:t>payout behaviour;</w:t>
      </w:r>
    </w:p>
    <w:p>
      <w:pPr>
        <w:pStyle w:val="ListBullet"/>
        <w:spacing w:after="60"/>
      </w:pPr>
      <w:r>
        <w:t>Organizer complaints;</w:t>
      </w:r>
    </w:p>
    <w:p>
      <w:pPr>
        <w:pStyle w:val="ListBullet"/>
        <w:spacing w:after="60"/>
      </w:pPr>
      <w:r>
        <w:t>Member complaints;</w:t>
      </w:r>
    </w:p>
    <w:p>
      <w:pPr>
        <w:pStyle w:val="ListBullet"/>
        <w:spacing w:after="60"/>
      </w:pPr>
      <w:r>
        <w:t>real report requirements.</w:t>
      </w:r>
    </w:p>
    <w:tbl>
      <w:tblPr>
        <w:tblW w:type="auto" w:w="0"/>
        <w:jc w:val="center"/>
        <w:tblLayout w:type="fixed"/>
        <w:tblLook w:firstColumn="1" w:firstRow="1" w:lastColumn="0" w:lastRow="0" w:noHBand="0" w:noVBand="1" w:val="04A0"/>
      </w:tblPr>
      <w:tblGrid>
        <w:gridCol w:w="9936"/>
      </w:tblGrid>
      <w:tr>
        <w:trPr>
          <w:cantSplit/>
        </w:trPr>
        <w:tc>
          <w:tcPr>
            <w:tcW w:type="dxa" w:w="9792"/>
            <w:shd w:fill="EAF2F8"/>
            <w:tcMar>
              <w:top w:w="120" w:type="dxa"/>
              <w:start w:w="140" w:type="dxa"/>
              <w:bottom w:w="120" w:type="dxa"/>
              <w:end w:w="140" w:type="dxa"/>
            </w:tcMar>
          </w:tcPr>
          <w:p>
            <w:pPr>
              <w:spacing w:after="60"/>
            </w:pPr>
            <w:r>
              <w:rPr>
                <w:b/>
                <w:color w:val="17365D"/>
              </w:rPr>
              <w:t>Pilot principle</w:t>
            </w:r>
          </w:p>
          <w:p>
            <w:pPr>
              <w:spacing w:after="0"/>
            </w:pPr>
            <w:r>
              <w:t>One real, well-observed Cycle will teach TCS more than another long period of hypothetical product expansion.</w:t>
            </w:r>
          </w:p>
        </w:tc>
      </w:tr>
    </w:tbl>
    <w:p>
      <w:pPr>
        <w:pStyle w:val="Heading1"/>
      </w:pPr>
      <w:r>
        <w:t>11. Stop Condition for the Prototype</w:t>
      </w:r>
    </w:p>
    <w:p>
      <w:r>
        <w:t>The prototype should be considered complete when Modules 6–8 are finished, the final hardening pass is done, the handoff extraction package is generated, and Constitution v1.0 / Prototype v1 are locked.</w:t>
      </w:r>
    </w:p>
    <w:tbl>
      <w:tblPr>
        <w:tblW w:type="auto" w:w="0"/>
        <w:jc w:val="center"/>
        <w:tblLayout w:type="fixed"/>
        <w:tblLook w:firstColumn="1" w:firstRow="1" w:lastColumn="0" w:lastRow="0" w:noHBand="0" w:noVBand="1" w:val="04A0"/>
      </w:tblPr>
      <w:tblGrid>
        <w:gridCol w:w="9936"/>
      </w:tblGrid>
      <w:tr>
        <w:trPr>
          <w:cantSplit/>
        </w:trPr>
        <w:tc>
          <w:tcPr>
            <w:tcW w:type="dxa" w:w="9792"/>
            <w:shd w:fill="F3F5F7"/>
            <w:tcMar>
              <w:top w:w="120" w:type="dxa"/>
              <w:start w:w="140" w:type="dxa"/>
              <w:bottom w:w="120" w:type="dxa"/>
              <w:end w:w="140" w:type="dxa"/>
            </w:tcMar>
          </w:tcPr>
          <w:p>
            <w:pPr>
              <w:spacing w:after="60"/>
            </w:pPr>
            <w:r>
              <w:rPr>
                <w:b/>
                <w:color w:val="17365D"/>
              </w:rPr>
              <w:t>The roadmap from here</w:t>
            </w:r>
          </w:p>
          <w:p>
            <w:pPr>
              <w:spacing w:after="0"/>
            </w:pPr>
            <w:r>
              <w:t>Finish Modules 6–8 → Handoff Extraction → Constitution v1.0 → Prototype v1 Freeze → Production Build in vertical slices → UAT integrations (Paystack, Email, SMS, WhatsApp) → Controlled Pilot → Learn and Expand.</w:t>
            </w:r>
          </w:p>
        </w:tc>
      </w:tr>
    </w:tbl>
    <w:p>
      <w:pPr>
        <w:pStyle w:val="Heading1"/>
      </w:pPr>
      <w:r>
        <w:t>12. Final Position</w:t>
      </w:r>
    </w:p>
    <w:p>
      <w:r>
        <w:t>The prototype would have been wasteful if it were only an endless sequence of decorative screens. That is not what TCS has become. It is now resolving the product rules that would otherwise be discovered during production coding.</w:t>
      </w:r>
    </w:p>
    <w:p>
      <w:r>
        <w:t>The value of the work will be realised only if the team now stops at the right point and uses the prototype as a precise build contract. During production implementation, Codex should increasingly be told exactly what to build rather than being asked to invent the product.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TCS — V1 Building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