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LEGAL ANALYSIS AND STRATEGY MEMORANDUM</w:t>
      </w:r>
    </w:p>
    <w:p>
      <w:pPr>
        <w:jc w:val="center"/>
      </w:pPr>
      <w:r>
        <w:rPr>
          <w:b/>
          <w:sz w:val="28"/>
        </w:rPr>
        <w:t>Commercial Lease Dispute - Mental Health Practice Privacy Concerns</w:t>
      </w:r>
    </w:p>
    <w:p>
      <w:pPr>
        <w:jc w:val="center"/>
      </w:pPr>
      <w:r>
        <w:rPr>
          <w:i/>
        </w:rPr>
        <w:t>Prepared: February 16, 2026</w:t>
        <w:br/>
      </w:r>
      <w:r>
        <w:rPr>
          <w:i/>
        </w:rPr>
        <w:t>RE: Marian S. Sanborn, LCSW, CASAC2, PLLC</w:t>
        <w:br/>
      </w:r>
      <w:r>
        <w:rPr>
          <w:i/>
        </w:rPr>
        <w:t>136 Jersey Ave, Port Jervis, NY</w:t>
      </w:r>
    </w:p>
    <w:p/>
    <w:p>
      <w:pPr>
        <w:jc w:val="center"/>
      </w:pPr>
      <w:r>
        <w:rPr>
          <w:b/>
          <w:sz w:val="20"/>
        </w:rPr>
        <w:t>IMPORTANT DISCLAIMER</w:t>
      </w:r>
      <w:r>
        <w:br/>
      </w:r>
      <w:r>
        <w:rPr>
          <w:i/>
          <w:sz w:val="20"/>
        </w:rPr>
        <w:t xml:space="preserve">This document is for informational purposes only and does NOT constitute legal advice. </w:t>
      </w:r>
      <w:r>
        <w:rPr>
          <w:i/>
          <w:sz w:val="20"/>
        </w:rPr>
        <w:t>Ms. Sanborn should consult with a New York-licensed attorney before taking any action.</w:t>
      </w:r>
    </w:p>
    <w:p>
      <w:r>
        <w:br w:type="page"/>
      </w:r>
    </w:p>
    <w:p>
      <w:pPr>
        <w:pStyle w:val="Heading1"/>
      </w:pPr>
      <w:r>
        <w:t>TABLE OF CONTENTS</w:t>
      </w:r>
    </w:p>
    <w:p>
      <w:r>
        <w:t>1. Executive Summary</w:t>
      </w:r>
    </w:p>
    <w:p>
      <w:r>
        <w:t>2. Background and Current Situation</w:t>
      </w:r>
    </w:p>
    <w:p>
      <w:r>
        <w:t>3. Option A: Lease Termination Grounds</w:t>
      </w:r>
    </w:p>
    <w:p>
      <w:r>
        <w:t>4. Option B: Preventing the Barbershop</w:t>
      </w:r>
    </w:p>
    <w:p>
      <w:r>
        <w:t>5. HIPAA Compliance Requirements</w:t>
      </w:r>
    </w:p>
    <w:p>
      <w:r>
        <w:t>6. Professional Licensing and Ethics</w:t>
      </w:r>
    </w:p>
    <w:p>
      <w:r>
        <w:t>7. ADA Accessibility Concerns</w:t>
      </w:r>
    </w:p>
    <w:p>
      <w:r>
        <w:t>8. Recommended Strategy</w:t>
      </w:r>
    </w:p>
    <w:p>
      <w:r>
        <w:t>9. Draft Letter to Landlord</w:t>
      </w:r>
    </w:p>
    <w:p>
      <w:r>
        <w:t>10. Next Steps and Action Items</w:t>
      </w:r>
    </w:p>
    <w:p>
      <w:r>
        <w:t>11. Sources and Citations</w:t>
      </w:r>
    </w:p>
    <w:p>
      <w:r>
        <w:br w:type="page"/>
      </w:r>
    </w:p>
    <w:p>
      <w:pPr>
        <w:pStyle w:val="Heading1"/>
      </w:pPr>
      <w:r>
        <w:t>1. EXECUTIVE SUMMARY</w:t>
      </w:r>
    </w:p>
    <w:p>
      <w:r>
        <w:t>Ms. Sanborn has moderate to strong grounds for either negotiating lease modifications or, potentially, seeking early termination. However, constructive eviction claims in New York are high-risk because they typically require actual vacation of the premises.</w:t>
      </w:r>
    </w:p>
    <w:p>
      <w:pPr>
        <w:pStyle w:val="Heading2"/>
      </w:pPr>
      <w:r>
        <w:t>Strength Assessment of Arguments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Legal Theory</w:t>
            </w:r>
          </w:p>
        </w:tc>
        <w:tc>
          <w:tcPr>
            <w:tcW w:type="dxa" w:w="2880"/>
          </w:tcPr>
          <w:p>
            <w:r>
              <w:rPr>
                <w:b/>
              </w:rPr>
              <w:t>Strength</w:t>
            </w:r>
          </w:p>
        </w:tc>
        <w:tc>
          <w:tcPr>
            <w:tcW w:type="dxa" w:w="2880"/>
          </w:tcPr>
          <w:p>
            <w:r>
              <w:rPr>
                <w:b/>
              </w:rPr>
              <w:t>Risk Level</w:t>
            </w:r>
          </w:p>
        </w:tc>
      </w:tr>
      <w:tr>
        <w:tc>
          <w:tcPr>
            <w:tcW w:type="dxa" w:w="2880"/>
          </w:tcPr>
          <w:p>
            <w:r>
              <w:t>HIPAA Compliance Requirements</w:t>
            </w:r>
          </w:p>
        </w:tc>
        <w:tc>
          <w:tcPr>
            <w:tcW w:type="dxa" w:w="2880"/>
          </w:tcPr>
          <w:p>
            <w:r>
              <w:t>STRONG</w:t>
            </w:r>
          </w:p>
        </w:tc>
        <w:tc>
          <w:tcPr>
            <w:tcW w:type="dxa" w:w="2880"/>
          </w:tcPr>
          <w:p>
            <w:r>
              <w:t>LOW</w:t>
            </w:r>
          </w:p>
        </w:tc>
      </w:tr>
      <w:tr>
        <w:tc>
          <w:tcPr>
            <w:tcW w:type="dxa" w:w="2880"/>
          </w:tcPr>
          <w:p>
            <w:r>
              <w:t>Professional Licensing/Ethics</w:t>
            </w:r>
          </w:p>
        </w:tc>
        <w:tc>
          <w:tcPr>
            <w:tcW w:type="dxa" w:w="2880"/>
          </w:tcPr>
          <w:p>
            <w:r>
              <w:t>MEDIUM-STRONG</w:t>
            </w:r>
          </w:p>
        </w:tc>
        <w:tc>
          <w:tcPr>
            <w:tcW w:type="dxa" w:w="2880"/>
          </w:tcPr>
          <w:p>
            <w:r>
              <w:t>LOW</w:t>
            </w:r>
          </w:p>
        </w:tc>
      </w:tr>
      <w:tr>
        <w:tc>
          <w:tcPr>
            <w:tcW w:type="dxa" w:w="2880"/>
          </w:tcPr>
          <w:p>
            <w:r>
              <w:t>Landlord Duty Not to Interfere</w:t>
            </w:r>
          </w:p>
        </w:tc>
        <w:tc>
          <w:tcPr>
            <w:tcW w:type="dxa" w:w="2880"/>
          </w:tcPr>
          <w:p>
            <w:r>
              <w:t>MEDIUM-STRONG</w:t>
            </w:r>
          </w:p>
        </w:tc>
        <w:tc>
          <w:tcPr>
            <w:tcW w:type="dxa" w:w="2880"/>
          </w:tcPr>
          <w:p>
            <w:r>
              <w:t>MEDIUM</w:t>
            </w:r>
          </w:p>
        </w:tc>
      </w:tr>
      <w:tr>
        <w:tc>
          <w:tcPr>
            <w:tcW w:type="dxa" w:w="2880"/>
          </w:tcPr>
          <w:p>
            <w:r>
              <w:t>ADA Accessibility</w:t>
            </w:r>
          </w:p>
        </w:tc>
        <w:tc>
          <w:tcPr>
            <w:tcW w:type="dxa" w:w="2880"/>
          </w:tcPr>
          <w:p>
            <w:r>
              <w:t>MEDIUM</w:t>
            </w:r>
          </w:p>
        </w:tc>
        <w:tc>
          <w:tcPr>
            <w:tcW w:type="dxa" w:w="2880"/>
          </w:tcPr>
          <w:p>
            <w:r>
              <w:t>LOW</w:t>
            </w:r>
          </w:p>
        </w:tc>
      </w:tr>
      <w:tr>
        <w:tc>
          <w:tcPr>
            <w:tcW w:type="dxa" w:w="2880"/>
          </w:tcPr>
          <w:p>
            <w:r>
              <w:t>Quiet Enjoyment Breach</w:t>
            </w:r>
          </w:p>
        </w:tc>
        <w:tc>
          <w:tcPr>
            <w:tcW w:type="dxa" w:w="2880"/>
          </w:tcPr>
          <w:p>
            <w:r>
              <w:t>MEDIUM</w:t>
            </w:r>
          </w:p>
        </w:tc>
        <w:tc>
          <w:tcPr>
            <w:tcW w:type="dxa" w:w="2880"/>
          </w:tcPr>
          <w:p>
            <w:r>
              <w:t>MEDIUM</w:t>
            </w:r>
          </w:p>
        </w:tc>
      </w:tr>
      <w:tr>
        <w:tc>
          <w:tcPr>
            <w:tcW w:type="dxa" w:w="2880"/>
          </w:tcPr>
          <w:p>
            <w:r>
              <w:t>Constructive Eviction</w:t>
            </w:r>
          </w:p>
        </w:tc>
        <w:tc>
          <w:tcPr>
            <w:tcW w:type="dxa" w:w="2880"/>
          </w:tcPr>
          <w:p>
            <w:r>
              <w:t>WEAK</w:t>
            </w:r>
          </w:p>
        </w:tc>
        <w:tc>
          <w:tcPr>
            <w:tcW w:type="dxa" w:w="2880"/>
          </w:tcPr>
          <w:p>
            <w:r>
              <w:t>HIGH</w:t>
            </w:r>
          </w:p>
        </w:tc>
      </w:tr>
      <w:tr>
        <w:tc>
          <w:tcPr>
            <w:tcW w:type="dxa" w:w="2880"/>
          </w:tcPr>
          <w:p>
            <w:r>
              <w:t>Use Clause Exclusivity</w:t>
            </w:r>
          </w:p>
        </w:tc>
        <w:tc>
          <w:tcPr>
            <w:tcW w:type="dxa" w:w="2880"/>
          </w:tcPr>
          <w:p>
            <w:r>
              <w:t>WEAK</w:t>
            </w:r>
          </w:p>
        </w:tc>
        <w:tc>
          <w:tcPr>
            <w:tcW w:type="dxa" w:w="2880"/>
          </w:tcPr>
          <w:p>
            <w:r>
              <w:t>LOW</w:t>
            </w:r>
          </w:p>
        </w:tc>
      </w:tr>
    </w:tbl>
    <w:p/>
    <w:p>
      <w:r>
        <w:t>RECOMMENDED STRATEGY: Pursue Option B (preventing the barbershop or negotiating accommodations) first, using HIPAA and professional licensing requirements as primary leverage. Keep Option A (lease termination) as a backup if negotiations fail.</w:t>
      </w:r>
    </w:p>
    <w:p>
      <w:r>
        <w:br w:type="page"/>
      </w:r>
    </w:p>
    <w:p>
      <w:pPr>
        <w:pStyle w:val="Heading1"/>
      </w:pPr>
      <w:r>
        <w:t>2. BACKGROUND AND CURRENT SITUATION</w:t>
      </w:r>
    </w:p>
    <w:p>
      <w:pPr>
        <w:pStyle w:val="Heading2"/>
      </w:pPr>
      <w:r>
        <w:t>The Parties</w:t>
      </w:r>
    </w:p>
    <w:p>
      <w:r>
        <w:t>LESSOR: Seeing Double, LLC (Roy Brachfeld)</w:t>
      </w:r>
    </w:p>
    <w:p>
      <w:r>
        <w:t>13 Bedford Ave, Middletown, NY 10940</w:t>
      </w:r>
    </w:p>
    <w:p/>
    <w:p>
      <w:r>
        <w:t>LESSEE: Marian S. Sanborn, LCSW, CASAC2, PLLC</w:t>
      </w:r>
    </w:p>
    <w:p>
      <w:r>
        <w:t>Licensed Clinical Social Worker providing mental health therapy services</w:t>
      </w:r>
    </w:p>
    <w:p>
      <w:pPr>
        <w:pStyle w:val="Heading2"/>
      </w:pPr>
      <w:r>
        <w:t>The Property</w:t>
      </w:r>
    </w:p>
    <w:p>
      <w:r>
        <w:t>136 Jersey Ave, Port Jervis, NY</w:t>
      </w:r>
    </w:p>
    <w:p>
      <w:r>
        <w:t>First Floor Back of Building Office Space</w:t>
      </w:r>
    </w:p>
    <w:p>
      <w:r>
        <w:t>Orange County, New York</w:t>
      </w:r>
    </w:p>
    <w:p>
      <w:pPr>
        <w:pStyle w:val="Heading2"/>
      </w:pPr>
      <w:r>
        <w:t>Lease Terms</w:t>
      </w:r>
    </w:p>
    <w:tbl>
      <w:tblPr>
        <w:tblStyle w:val="TableGrid"/>
        <w:tblW w:type="auto" w:w="0"/>
        <w:tblLook w:firstColumn="1" w:firstRow="1" w:lastColumn="0" w:lastRow="0" w:noHBand="0" w:noVBand="1" w:val="04A0"/>
      </w:tblPr>
      <w:tblGrid>
        <w:gridCol w:w="4320"/>
        <w:gridCol w:w="4320"/>
      </w:tblGrid>
      <w:tr>
        <w:tc>
          <w:tcPr>
            <w:tcW w:type="dxa" w:w="4320"/>
          </w:tcPr>
          <w:p>
            <w:r>
              <w:rPr>
                <w:b/>
              </w:rPr>
              <w:t>Term</w:t>
            </w:r>
          </w:p>
        </w:tc>
        <w:tc>
          <w:tcPr>
            <w:tcW w:type="dxa" w:w="4320"/>
          </w:tcPr>
          <w:p>
            <w:r>
              <w:t>March 15, 2026 - March 14, 2027 (1 year)</w:t>
            </w:r>
          </w:p>
        </w:tc>
      </w:tr>
      <w:tr>
        <w:tc>
          <w:tcPr>
            <w:tcW w:type="dxa" w:w="4320"/>
          </w:tcPr>
          <w:p>
            <w:r>
              <w:rPr>
                <w:b/>
              </w:rPr>
              <w:t>Monthly Rent</w:t>
            </w:r>
          </w:p>
        </w:tc>
        <w:tc>
          <w:tcPr>
            <w:tcW w:type="dxa" w:w="4320"/>
          </w:tcPr>
          <w:p>
            <w:r>
              <w:t>$525.00</w:t>
            </w:r>
          </w:p>
        </w:tc>
      </w:tr>
      <w:tr>
        <w:tc>
          <w:tcPr>
            <w:tcW w:type="dxa" w:w="4320"/>
          </w:tcPr>
          <w:p>
            <w:r>
              <w:rPr>
                <w:b/>
              </w:rPr>
              <w:t>Annual Rent</w:t>
            </w:r>
          </w:p>
        </w:tc>
        <w:tc>
          <w:tcPr>
            <w:tcW w:type="dxa" w:w="4320"/>
          </w:tcPr>
          <w:p>
            <w:r>
              <w:t>$6,300.00</w:t>
            </w:r>
          </w:p>
        </w:tc>
      </w:tr>
      <w:tr>
        <w:tc>
          <w:tcPr>
            <w:tcW w:type="dxa" w:w="4320"/>
          </w:tcPr>
          <w:p>
            <w:r>
              <w:rPr>
                <w:b/>
              </w:rPr>
              <w:t>Security Deposit</w:t>
            </w:r>
          </w:p>
        </w:tc>
        <w:tc>
          <w:tcPr>
            <w:tcW w:type="dxa" w:w="4320"/>
          </w:tcPr>
          <w:p>
            <w:r>
              <w:t>$450.00 (previously paid)</w:t>
            </w:r>
          </w:p>
        </w:tc>
      </w:tr>
      <w:tr>
        <w:tc>
          <w:tcPr>
            <w:tcW w:type="dxa" w:w="4320"/>
          </w:tcPr>
          <w:p>
            <w:r>
              <w:rPr>
                <w:b/>
              </w:rPr>
              <w:t>Permitted Use</w:t>
            </w:r>
          </w:p>
        </w:tc>
        <w:tc>
          <w:tcPr>
            <w:tcW w:type="dxa" w:w="4320"/>
          </w:tcPr>
          <w:p>
            <w:r>
              <w:t>Counseling Services</w:t>
            </w:r>
          </w:p>
        </w:tc>
      </w:tr>
      <w:tr>
        <w:tc>
          <w:tcPr>
            <w:tcW w:type="dxa" w:w="4320"/>
          </w:tcPr>
          <w:p>
            <w:r>
              <w:rPr>
                <w:b/>
              </w:rPr>
              <w:t>Signed</w:t>
            </w:r>
          </w:p>
        </w:tc>
        <w:tc>
          <w:tcPr>
            <w:tcW w:type="dxa" w:w="4320"/>
          </w:tcPr>
          <w:p>
            <w:r>
              <w:t>February 10, 2026</w:t>
            </w:r>
          </w:p>
        </w:tc>
      </w:tr>
    </w:tbl>
    <w:p>
      <w:pPr>
        <w:pStyle w:val="Heading2"/>
      </w:pPr>
      <w:r>
        <w:t>The Problem</w:t>
      </w:r>
    </w:p>
    <w:p>
      <w:r>
        <w:t>Ms. Sanborn has learned that the landlord may be allowing a walk-in barbershop to operate in the same building, potentially sharing the waiting room area. This creates serious concerns:</w:t>
      </w:r>
    </w:p>
    <w:p>
      <w:pPr>
        <w:pStyle w:val="ListBullet"/>
      </w:pPr>
      <w:r>
        <w:t>HIPAA Compliance: Non-clients observing therapy clients in waiting area discloses their status as mental health treatment recipients</w:t>
      </w:r>
    </w:p>
    <w:p>
      <w:pPr>
        <w:pStyle w:val="ListBullet"/>
      </w:pPr>
      <w:r>
        <w:t>Noise Disruption: Walk-in retail traffic would disrupt the quiet therapeutic environment</w:t>
      </w:r>
    </w:p>
    <w:p>
      <w:pPr>
        <w:pStyle w:val="ListBullet"/>
      </w:pPr>
      <w:r>
        <w:t>Client Confidentiality: Strangers present during client check-in compromises privacy</w:t>
      </w:r>
    </w:p>
    <w:p>
      <w:pPr>
        <w:pStyle w:val="ListBullet"/>
      </w:pPr>
      <w:r>
        <w:t>Disabled Client Access: Increased traffic may block barrier-free parking and ramp access</w:t>
      </w:r>
    </w:p>
    <w:p>
      <w:pPr>
        <w:pStyle w:val="ListBullet"/>
      </w:pPr>
      <w:r>
        <w:t>Professional Ethics: NASW Code of Ethics requires maintaining confidential settings</w:t>
      </w:r>
    </w:p>
    <w:p>
      <w:pPr>
        <w:pStyle w:val="ListBullet"/>
      </w:pPr>
      <w:r>
        <w:t>Business Impact: Clients may leave due to loss of private, peaceful environment</w:t>
      </w:r>
    </w:p>
    <w:p>
      <w:r>
        <w:br w:type="page"/>
      </w:r>
    </w:p>
    <w:p>
      <w:pPr>
        <w:pStyle w:val="Heading1"/>
      </w:pPr>
      <w:r>
        <w:t>3. OPTION A: LEASE TERMINATION GROUNDS</w:t>
      </w:r>
    </w:p>
    <w:p>
      <w:pPr>
        <w:pStyle w:val="Heading2"/>
      </w:pPr>
      <w:r>
        <w:t>Constructive Eviction Under New York Law</w:t>
      </w:r>
    </w:p>
    <w:p>
      <w:r>
        <w:t>STRENGTH: WEAK to MEDIUM | RISK: HIGH</w:t>
      </w:r>
    </w:p>
    <w:p>
      <w:r>
        <w:t>To establish constructive eviction in New York, a tenant must prove:</w:t>
      </w:r>
    </w:p>
    <w:p>
      <w:pPr>
        <w:pStyle w:val="ListNumber"/>
      </w:pPr>
      <w:r>
        <w:t>Wrongful acts by the landlord</w:t>
      </w:r>
    </w:p>
    <w:p>
      <w:pPr>
        <w:pStyle w:val="ListNumber"/>
      </w:pPr>
      <w:r>
        <w:t>That substantially and materially deprive the tenant of beneficial use</w:t>
      </w:r>
    </w:p>
    <w:p>
      <w:pPr>
        <w:pStyle w:val="ListNumber"/>
      </w:pPr>
      <w:r>
        <w:t>Tenant must ACTUALLY VACATE the premises within reasonable time</w:t>
      </w:r>
    </w:p>
    <w:p>
      <w:pPr>
        <w:pStyle w:val="ListNumber"/>
      </w:pPr>
      <w:r>
        <w:t>Causation between landlord's acts and vacation</w:t>
      </w:r>
    </w:p>
    <w:p/>
    <w:p>
      <w:r>
        <w:rPr>
          <w:b/>
        </w:rPr>
        <w:t xml:space="preserve">CRITICAL WARNING: </w:t>
      </w:r>
      <w:r>
        <w:t>Under New York law, if the tenant remains in possession, no constructive eviction claim exists. Ms. Sanborn would need to actually move out to claim constructive eviction - a significant risk if her claim ultimately fails in court.</w:t>
      </w:r>
    </w:p>
    <w:p/>
    <w:p>
      <w:r>
        <w:t>The mere introduction of a barbershop, before actual interference occurs, likely does NOT rise to constructive eviction. This would require documented, substantial interference with therapy sessions over a period of time.</w:t>
      </w:r>
    </w:p>
    <w:p>
      <w:pPr>
        <w:pStyle w:val="Heading2"/>
      </w:pPr>
      <w:r>
        <w:t>Material Change in Building Use</w:t>
      </w:r>
    </w:p>
    <w:p>
      <w:r>
        <w:t>STRENGTH: MEDIUM</w:t>
      </w:r>
    </w:p>
    <w:p>
      <w:r>
        <w:t>ARGUMENT: The introduction of a high-traffic retail business fundamentally changes the character of what was leased as professional office space, making Ms. Sanborn's specific use (confidential counseling) impractical.</w:t>
      </w:r>
    </w:p>
    <w:p>
      <w:r>
        <w:t>CHALLENGES:</w:t>
      </w:r>
    </w:p>
    <w:p>
      <w:pPr>
        <w:pStyle w:val="ListBullet"/>
      </w:pPr>
      <w:r>
        <w:t>No explicit clause in lease prohibiting other tenants</w:t>
      </w:r>
    </w:p>
    <w:p>
      <w:pPr>
        <w:pStyle w:val="ListBullet"/>
      </w:pPr>
      <w:r>
        <w:t>No exclusivity provision</w:t>
      </w:r>
    </w:p>
    <w:p>
      <w:pPr>
        <w:pStyle w:val="ListBullet"/>
      </w:pPr>
      <w:r>
        <w:t>Use clause specifies HER permitted use, not restrictions on OTHER tenants</w:t>
      </w:r>
    </w:p>
    <w:p>
      <w:pPr>
        <w:pStyle w:val="Heading2"/>
      </w:pPr>
      <w:r>
        <w:t>Use Clause (Section 2) Analysis</w:t>
      </w:r>
    </w:p>
    <w:p>
      <w:r>
        <w:t>STRENGTH: WEAK</w:t>
      </w:r>
    </w:p>
    <w:p>
      <w:r>
        <w:t>The lease states: "Lessee shall use and occupy the premises for Counseling Services. The premise shall be used for no other purpose."</w:t>
      </w:r>
    </w:p>
    <w:p>
      <w:r>
        <w:t>This clause restricts the TENANT's use, not the landlord's leasing decisions. An "exclusive use clause" would be required to prevent competing or incompatible uses - and this lease lacks one.</w:t>
      </w:r>
    </w:p>
    <w:p>
      <w:r>
        <w:br w:type="page"/>
      </w:r>
    </w:p>
    <w:p>
      <w:pPr>
        <w:pStyle w:val="Heading1"/>
      </w:pPr>
      <w:r>
        <w:t>4. OPTION B: PREVENTING THE BARBERSHOP</w:t>
      </w:r>
    </w:p>
    <w:p>
      <w:r>
        <w:t>This is the RECOMMENDED primary strategy. The following legal and regulatory frameworks provide leverage to either prevent the barbershop or require substantial accommodations.</w:t>
      </w:r>
    </w:p>
    <w:p>
      <w:pPr>
        <w:pStyle w:val="Heading2"/>
      </w:pPr>
      <w:r>
        <w:t>Landlord's Duties Under NY Law</w:t>
      </w:r>
    </w:p>
    <w:p>
      <w:r>
        <w:t>IMPLIED COVENANT OF QUIET ENJOYMENT:</w:t>
      </w:r>
    </w:p>
    <w:p>
      <w:r>
        <w:t>Exists in ALL New York leases (residential and commercial). The landlord must provide "quiet and peaceable" possession. While breach typically requires actual eviction AND tenant vacation, the threat of this claim provides negotiating leverage.</w:t>
      </w:r>
    </w:p>
    <w:p/>
    <w:p>
      <w:r>
        <w:t>DUTY NOT TO INTERFERE WITH PERMITTED USE:</w:t>
      </w:r>
    </w:p>
    <w:p>
      <w:r>
        <w:t>Courts have recognized that landlord actions enabling or permitting activities that interfere with a tenant's specified use can constitute breach. The lease specifies "Counseling Services" - a use requiring privacy and quiet. Introducing high-traffic retail in a shared space may interfere with that specific use.</w:t>
      </w:r>
    </w:p>
    <w:p>
      <w:pPr>
        <w:pStyle w:val="Heading2"/>
      </w:pPr>
      <w:r>
        <w:t>Key Argument Framework</w:t>
      </w:r>
    </w:p>
    <w:p>
      <w:r>
        <w:t>1. Lease permits "Counseling Services" - a specific, sensitive use requiring privacy</w:t>
      </w:r>
    </w:p>
    <w:p>
      <w:r>
        <w:t>2. Landlord knew or should have known the nature of mental health therapy practice</w:t>
      </w:r>
    </w:p>
    <w:p>
      <w:r>
        <w:t>3. Introducing high-traffic retail in shared space interferes with that specific use</w:t>
      </w:r>
    </w:p>
    <w:p>
      <w:r>
        <w:t>4. Landlord has implied duty not to render tenant's permitted use impractical</w:t>
      </w:r>
    </w:p>
    <w:p>
      <w:r>
        <w:t>5. HIPAA and professional licensing requirements make privacy a REGULATORY necessity, not just preference</w:t>
      </w:r>
    </w:p>
    <w:p>
      <w:r>
        <w:br w:type="page"/>
      </w:r>
    </w:p>
    <w:p>
      <w:pPr>
        <w:pStyle w:val="Heading1"/>
      </w:pPr>
      <w:r>
        <w:t>5. HIPAA COMPLIANCE REQUIREMENTS</w:t>
      </w:r>
    </w:p>
    <w:p>
      <w:r>
        <w:t>STRENGTH: STRONG | This is Ms. Sanborn's primary leverage point.</w:t>
      </w:r>
    </w:p>
    <w:p>
      <w:pPr>
        <w:pStyle w:val="Heading2"/>
      </w:pPr>
      <w:r>
        <w:t>Applicable Regulations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Citation</w:t>
            </w:r>
          </w:p>
        </w:tc>
        <w:tc>
          <w:tcPr>
            <w:tcW w:type="dxa" w:w="2880"/>
          </w:tcPr>
          <w:p>
            <w:r>
              <w:rPr>
                <w:b/>
              </w:rPr>
              <w:t>Requirement</w:t>
            </w:r>
          </w:p>
        </w:tc>
        <w:tc>
          <w:tcPr>
            <w:tcW w:type="dxa" w:w="2880"/>
          </w:tcPr>
          <w:p>
            <w:r>
              <w:rPr>
                <w:b/>
              </w:rPr>
              <w:t>Application</w:t>
            </w:r>
          </w:p>
        </w:tc>
      </w:tr>
      <w:tr>
        <w:tc>
          <w:tcPr>
            <w:tcW w:type="dxa" w:w="2880"/>
          </w:tcPr>
          <w:p>
            <w:r>
              <w:t>45 CFR 164.530(c)</w:t>
            </w:r>
          </w:p>
        </w:tc>
        <w:tc>
          <w:tcPr>
            <w:tcW w:type="dxa" w:w="2880"/>
          </w:tcPr>
          <w:p>
            <w:r>
              <w:t>Administrative safeguards to protect PHI privacy</w:t>
            </w:r>
          </w:p>
        </w:tc>
        <w:tc>
          <w:tcPr>
            <w:tcW w:type="dxa" w:w="2880"/>
          </w:tcPr>
          <w:p>
            <w:r>
              <w:t>Requires "appropriate" safeguards</w:t>
            </w:r>
          </w:p>
        </w:tc>
      </w:tr>
      <w:tr>
        <w:tc>
          <w:tcPr>
            <w:tcW w:type="dxa" w:w="2880"/>
          </w:tcPr>
          <w:p>
            <w:r>
              <w:t>45 CFR 164.502(b)</w:t>
            </w:r>
          </w:p>
        </w:tc>
        <w:tc>
          <w:tcPr>
            <w:tcW w:type="dxa" w:w="2880"/>
          </w:tcPr>
          <w:p>
            <w:r>
              <w:t>Minimum necessary standard</w:t>
            </w:r>
          </w:p>
        </w:tc>
        <w:tc>
          <w:tcPr>
            <w:tcW w:type="dxa" w:w="2880"/>
          </w:tcPr>
          <w:p>
            <w:r>
              <w:t>Limit PHI disclosure to minimum needed</w:t>
            </w:r>
          </w:p>
        </w:tc>
      </w:tr>
      <w:tr>
        <w:tc>
          <w:tcPr>
            <w:tcW w:type="dxa" w:w="2880"/>
          </w:tcPr>
          <w:p>
            <w:r>
              <w:t>45 CFR 164.501</w:t>
            </w:r>
          </w:p>
        </w:tc>
        <w:tc>
          <w:tcPr>
            <w:tcW w:type="dxa" w:w="2880"/>
          </w:tcPr>
          <w:p>
            <w:r>
              <w:t>Psychotherapy notes definition</w:t>
            </w:r>
          </w:p>
        </w:tc>
        <w:tc>
          <w:tcPr>
            <w:tcW w:type="dxa" w:w="2880"/>
          </w:tcPr>
          <w:p>
            <w:r>
              <w:t>Special protections for therapy content</w:t>
            </w:r>
          </w:p>
        </w:tc>
      </w:tr>
    </w:tbl>
    <w:p>
      <w:pPr>
        <w:pStyle w:val="Heading2"/>
      </w:pPr>
      <w:r>
        <w:t>Why a Shared Waiting Room is Problematic</w:t>
      </w:r>
    </w:p>
    <w:p>
      <w:r>
        <w:t>The mere presence of a client in a mental health waiting room DISCLOSES that they are receiving mental health treatment - which IS protected health information under HIPAA.</w:t>
      </w:r>
    </w:p>
    <w:p>
      <w:pPr>
        <w:pStyle w:val="ListBullet"/>
      </w:pPr>
      <w:r>
        <w:t>Non-clients (barbershop customers) would observe who is waiting for therapy</w:t>
      </w:r>
    </w:p>
    <w:p>
      <w:pPr>
        <w:pStyle w:val="ListBullet"/>
      </w:pPr>
      <w:r>
        <w:t>Conversations at check-in could be overheard</w:t>
      </w:r>
    </w:p>
    <w:p>
      <w:pPr>
        <w:pStyle w:val="ListBullet"/>
      </w:pPr>
      <w:r>
        <w:t>Client identity as mental health treatment recipient would be revealed to strangers</w:t>
      </w:r>
    </w:p>
    <w:p>
      <w:pPr>
        <w:pStyle w:val="ListBullet"/>
      </w:pPr>
      <w:r>
        <w:t>This disclosure occurs without patient authorization</w:t>
      </w:r>
    </w:p>
    <w:p>
      <w:pPr>
        <w:pStyle w:val="Heading2"/>
      </w:pPr>
      <w:r>
        <w:t>HHS Position</w:t>
      </w:r>
    </w:p>
    <w:p>
      <w:r>
        <w:t>Per HHS guidance: "What is 'reasonable' will depend upon a practice's size, patient population, and type of practice." Mental health practices require heightened privacy given stigma concerns.</w:t>
      </w:r>
    </w:p>
    <w:p>
      <w:pPr>
        <w:pStyle w:val="Heading2"/>
      </w:pPr>
      <w:r>
        <w:t>New York Mental Hygiene Law - Enhanced Protection</w:t>
      </w:r>
    </w:p>
    <w:p>
      <w:r>
        <w:t>NY Mental Hygiene Law Section 33.13 provides STRONGER protections than federal HIPAA:</w:t>
      </w:r>
    </w:p>
    <w:p>
      <w:r>
        <w:t>"All records of identity, diagnosis, prognosis, treatment, care coordination or any other information contained in a patient or client's record shall be confidential unless disclosure is permitted."</w:t>
      </w:r>
    </w:p>
    <w:p>
      <w:r>
        <w:t>Under NYS law, even the IDENTITY of a mental health patient is protected. A shared waiting room with non-clients necessarily discloses patient identity.</w:t>
      </w:r>
    </w:p>
    <w:p>
      <w:r>
        <w:br w:type="page"/>
      </w:r>
    </w:p>
    <w:p>
      <w:pPr>
        <w:pStyle w:val="Heading1"/>
      </w:pPr>
      <w:r>
        <w:t>6. PROFESSIONAL LICENSING AND ETHICS</w:t>
      </w:r>
    </w:p>
    <w:p>
      <w:r>
        <w:t>STRENGTH: MEDIUM-STRONG</w:t>
      </w:r>
    </w:p>
    <w:p>
      <w:pPr>
        <w:pStyle w:val="Heading2"/>
      </w:pPr>
      <w:r>
        <w:t>NASW Code of Ethics - Standard 1.07</w:t>
      </w:r>
    </w:p>
    <w:p>
      <w:r>
        <w:t>The National Association of Social Workers Code of Ethics requires:</w:t>
      </w:r>
    </w:p>
    <w:p>
      <w:pPr>
        <w:pStyle w:val="ListBullet"/>
      </w:pPr>
      <w:r>
        <w:t>Social workers should respect clients' right to privacy</w:t>
      </w:r>
    </w:p>
    <w:p>
      <w:pPr>
        <w:pStyle w:val="ListBullet"/>
      </w:pPr>
      <w:r>
        <w:t>Should not solicit private information unless essential to providing services</w:t>
      </w:r>
    </w:p>
    <w:p>
      <w:pPr>
        <w:pStyle w:val="ListBullet"/>
      </w:pPr>
      <w:r>
        <w:t>Confidential information may be disclosed only with valid consent</w:t>
      </w:r>
    </w:p>
    <w:p>
      <w:pPr>
        <w:pStyle w:val="ListBullet"/>
      </w:pPr>
      <w:r>
        <w:t>Must take reasonable steps to protect confidentiality in all communications</w:t>
      </w:r>
    </w:p>
    <w:p>
      <w:pPr>
        <w:pStyle w:val="ListBullet"/>
      </w:pPr>
      <w:r>
        <w:t>Must not allow organizational demands to interfere with ethical practice</w:t>
      </w:r>
    </w:p>
    <w:p>
      <w:pPr>
        <w:pStyle w:val="Heading2"/>
      </w:pPr>
      <w:r>
        <w:t>NYS LCSW Licensing Requirements</w:t>
      </w:r>
    </w:p>
    <w:p>
      <w:r>
        <w:t>The NYS Office of Professions requires LCSWs to practice in "acceptable settings." Operating in an environment where client identity as therapy recipients cannot be protected may violate professional ethics codes and potentially licensing requirements.</w:t>
      </w:r>
    </w:p>
    <w:p/>
    <w:p>
      <w:r>
        <w:rPr>
          <w:b/>
        </w:rPr>
        <w:t xml:space="preserve">LEVERAGE POINT: </w:t>
      </w:r>
      <w:r>
        <w:t>Ms. Sanborn can argue that the barbershop makes it impossible for her to maintain her professional and ethical obligations. She has a regulatory DUTY to protect client privacy - this is not merely a preference.</w:t>
      </w:r>
    </w:p>
    <w:p>
      <w:r>
        <w:br w:type="page"/>
      </w:r>
    </w:p>
    <w:p>
      <w:pPr>
        <w:pStyle w:val="Heading1"/>
      </w:pPr>
      <w:r>
        <w:t>7. ADA ACCESSIBILITY CONCERNS</w:t>
      </w:r>
    </w:p>
    <w:p>
      <w:r>
        <w:t>STRENGTH: MEDIUM</w:t>
      </w:r>
    </w:p>
    <w:p>
      <w:r>
        <w:t>Ms. Sanborn's concern about disabled client access is legally significant.</w:t>
      </w:r>
    </w:p>
    <w:p>
      <w:pPr>
        <w:pStyle w:val="Heading2"/>
      </w:pPr>
      <w:r>
        <w:t>ADA Requirements</w:t>
      </w:r>
    </w:p>
    <w:p>
      <w:pPr>
        <w:pStyle w:val="ListBullet"/>
      </w:pPr>
      <w:r>
        <w:t>Accessible parking spaces must be on shortest accessible route to entrance</w:t>
      </w:r>
    </w:p>
    <w:p>
      <w:pPr>
        <w:pStyle w:val="ListBullet"/>
      </w:pPr>
      <w:r>
        <w:t>Access aisles must be kept clear at all times</w:t>
      </w:r>
    </w:p>
    <w:p>
      <w:pPr>
        <w:pStyle w:val="ListBullet"/>
      </w:pPr>
      <w:r>
        <w:t>Barrier-free access (ramp) must be maintained and accessible</w:t>
      </w:r>
    </w:p>
    <w:p>
      <w:pPr>
        <w:pStyle w:val="ListBullet"/>
      </w:pPr>
      <w:r>
        <w:t>Landlords cannot contract out of ADA compliance responsibility</w:t>
      </w:r>
    </w:p>
    <w:p>
      <w:pPr>
        <w:pStyle w:val="Heading2"/>
      </w:pPr>
      <w:r>
        <w:t>Potential Issues</w:t>
      </w:r>
    </w:p>
    <w:p>
      <w:r>
        <w:t>If barbershop customers park in or near accessible spaces, or block the barrier-free ramp, this could:</w:t>
      </w:r>
    </w:p>
    <w:p>
      <w:pPr>
        <w:pStyle w:val="ListBullet"/>
      </w:pPr>
      <w:r>
        <w:t>Violate ADA requirements</w:t>
      </w:r>
    </w:p>
    <w:p>
      <w:pPr>
        <w:pStyle w:val="ListBullet"/>
      </w:pPr>
      <w:r>
        <w:t>Create liability for the landlord</w:t>
      </w:r>
    </w:p>
    <w:p>
      <w:pPr>
        <w:pStyle w:val="ListBullet"/>
      </w:pPr>
      <w:r>
        <w:t>Interfere with Ms. Sanborn's disabled clients' access to her services</w:t>
      </w:r>
    </w:p>
    <w:p>
      <w:pPr>
        <w:pStyle w:val="ListBullet"/>
      </w:pPr>
      <w:r>
        <w:t>Potentially violate her clients' civil rights</w:t>
      </w:r>
    </w:p>
    <w:p/>
    <w:p>
      <w:r>
        <w:t>RECOMMENDATION: Document this concern in writing and request that the landlord explain how ADA compliance will be maintained with increased traffic.</w:t>
      </w:r>
    </w:p>
    <w:p>
      <w:r>
        <w:br w:type="page"/>
      </w:r>
    </w:p>
    <w:p>
      <w:pPr>
        <w:pStyle w:val="Heading1"/>
      </w:pPr>
      <w:r>
        <w:t>8. RECOMMENDED STRATEGY</w:t>
      </w:r>
    </w:p>
    <w:p>
      <w:pPr>
        <w:pStyle w:val="Heading2"/>
      </w:pPr>
      <w:r>
        <w:t>Phase 1: Immediate Documentation (This Week)</w:t>
      </w:r>
    </w:p>
    <w:p>
      <w:r>
        <w:t>1. Take photographs of current waiting area, parking, entrance, barrier-free ramp</w:t>
      </w:r>
    </w:p>
    <w:p>
      <w:r>
        <w:t>2. Request written confirmation from landlord about barbershop plans</w:t>
      </w:r>
    </w:p>
    <w:p>
      <w:r>
        <w:t>3. Contact Port Jervis Building Department (845-858-4000) about zoning</w:t>
      </w:r>
    </w:p>
    <w:p>
      <w:r>
        <w:t>4. Gather client testimonials about importance of private environment (if willing)</w:t>
      </w:r>
    </w:p>
    <w:p>
      <w:r>
        <w:t>5. Consult with a New York-licensed commercial/landlord-tenant attorney</w:t>
      </w:r>
    </w:p>
    <w:p>
      <w:pPr>
        <w:pStyle w:val="Heading2"/>
      </w:pPr>
      <w:r>
        <w:t>Phase 2: Formal Demand Letter (Within 7 Days)</w:t>
      </w:r>
    </w:p>
    <w:p>
      <w:r>
        <w:t>Send certified letter (see Section 9) to Seeing Double, LLC outlining:</w:t>
      </w:r>
    </w:p>
    <w:p>
      <w:pPr>
        <w:pStyle w:val="ListBullet"/>
      </w:pPr>
      <w:r>
        <w:t>HIPAA compliance requirements for mental health practices</w:t>
      </w:r>
    </w:p>
    <w:p>
      <w:pPr>
        <w:pStyle w:val="ListBullet"/>
      </w:pPr>
      <w:r>
        <w:t>Professional licensing and ethics obligations</w:t>
      </w:r>
    </w:p>
    <w:p>
      <w:pPr>
        <w:pStyle w:val="ListBullet"/>
      </w:pPr>
      <w:r>
        <w:t>Specific concerns about shared waiting area</w:t>
      </w:r>
    </w:p>
    <w:p>
      <w:pPr>
        <w:pStyle w:val="ListBullet"/>
      </w:pPr>
      <w:r>
        <w:t>Request for meeting to discuss accommodations OR lease modification</w:t>
      </w:r>
    </w:p>
    <w:p>
      <w:pPr>
        <w:pStyle w:val="ListBullet"/>
      </w:pPr>
      <w:r>
        <w:t>Notice that introduction of barbershop may constitute interference with permitted use</w:t>
      </w:r>
    </w:p>
    <w:p>
      <w:pPr>
        <w:pStyle w:val="Heading2"/>
      </w:pPr>
      <w:r>
        <w:t>Phase 3: Negotiate Accommodations</w:t>
      </w:r>
    </w:p>
    <w:p>
      <w:r>
        <w:t>If barbershop proceeds, demand:</w:t>
      </w:r>
    </w:p>
    <w:p>
      <w:pPr>
        <w:pStyle w:val="ListBullet"/>
      </w:pPr>
      <w:r>
        <w:t>Separate waiting areas (physical barrier/wall between spaces)</w:t>
      </w:r>
    </w:p>
    <w:p>
      <w:pPr>
        <w:pStyle w:val="ListBullet"/>
      </w:pPr>
      <w:r>
        <w:t>Separate entrance for therapy clients</w:t>
      </w:r>
    </w:p>
    <w:p>
      <w:pPr>
        <w:pStyle w:val="ListBullet"/>
      </w:pPr>
      <w:r>
        <w:t>Sound insulation/soundproofing improvements</w:t>
      </w:r>
    </w:p>
    <w:p>
      <w:pPr>
        <w:pStyle w:val="ListBullet"/>
      </w:pPr>
      <w:r>
        <w:t>Designated accessible parking spaces for therapy clients only</w:t>
      </w:r>
    </w:p>
    <w:p>
      <w:pPr>
        <w:pStyle w:val="ListBullet"/>
      </w:pPr>
      <w:r>
        <w:t>Scheduled quiet hours during therapy sessions</w:t>
      </w:r>
    </w:p>
    <w:p>
      <w:pPr>
        <w:pStyle w:val="ListBullet"/>
      </w:pPr>
      <w:r>
        <w:t>Written agreement documenting these accommodations</w:t>
      </w:r>
    </w:p>
    <w:p>
      <w:pPr>
        <w:pStyle w:val="Heading2"/>
      </w:pPr>
      <w:r>
        <w:t>Phase 4: Escalation Options (If Negotiations Fail)</w:t>
      </w:r>
    </w:p>
    <w:p>
      <w:pPr>
        <w:pStyle w:val="ListBullet"/>
      </w:pPr>
      <w:r>
        <w:t>Formal written notice of landlord breach</w:t>
      </w:r>
    </w:p>
    <w:p>
      <w:pPr>
        <w:pStyle w:val="ListBullet"/>
      </w:pPr>
      <w:r>
        <w:t>Demand lease termination with full return of $450 security deposit</w:t>
      </w:r>
    </w:p>
    <w:p>
      <w:pPr>
        <w:pStyle w:val="ListBullet"/>
      </w:pPr>
      <w:r>
        <w:t>Seek rent abatement for period of interference</w:t>
      </w:r>
    </w:p>
    <w:p>
      <w:pPr>
        <w:pStyle w:val="ListBullet"/>
      </w:pPr>
      <w:r>
        <w:t>File complaint with HHS Office for Civil Rights (HIPAA)</w:t>
      </w:r>
    </w:p>
    <w:p>
      <w:pPr>
        <w:pStyle w:val="ListBullet"/>
      </w:pPr>
      <w:r>
        <w:t>Contact NYS Office of Professions for guidance</w:t>
      </w:r>
    </w:p>
    <w:p>
      <w:pPr>
        <w:pStyle w:val="ListBullet"/>
      </w:pPr>
      <w:r>
        <w:t>LAST RESORT: Constructive eviction claim (requires vacation - high risk)</w:t>
      </w:r>
    </w:p>
    <w:p>
      <w:r>
        <w:br w:type="page"/>
      </w:r>
    </w:p>
    <w:p>
      <w:pPr>
        <w:pStyle w:val="Heading1"/>
      </w:pPr>
      <w:r>
        <w:t>9. DRAFT LETTER TO LANDLORD</w:t>
      </w:r>
    </w:p>
    <w:p>
      <w:r>
        <w:t>[NOTE: This is a draft for attorney review. Do not send without legal counsel review.]</w:t>
      </w:r>
    </w:p>
    <w:p/>
    <w:p>
      <w:pPr>
        <w:spacing w:after="0" w:before="0"/>
      </w:pPr>
      <w:r>
        <w:t>[Ms. Sanborn's Letterhead]</w:t>
      </w:r>
    </w:p>
    <w:p>
      <w:pPr>
        <w:spacing w:after="0" w:before="0"/>
      </w:pPr>
      <w:r>
        <w:t>[Date]</w:t>
      </w:r>
    </w:p>
    <w:p>
      <w:pPr>
        <w:spacing w:after="0" w:before="0"/>
      </w:pPr>
    </w:p>
    <w:p>
      <w:pPr>
        <w:spacing w:after="0" w:before="0"/>
      </w:pPr>
      <w:r>
        <w:t>VIA CERTIFIED MAIL, RETURN RECEIPT REQUESTED</w:t>
      </w:r>
    </w:p>
    <w:p>
      <w:pPr>
        <w:spacing w:after="0" w:before="0"/>
      </w:pPr>
    </w:p>
    <w:p>
      <w:pPr>
        <w:spacing w:after="0" w:before="0"/>
      </w:pPr>
      <w:r>
        <w:t>Seeing Double, LLC</w:t>
      </w:r>
    </w:p>
    <w:p>
      <w:pPr>
        <w:spacing w:after="0" w:before="0"/>
      </w:pPr>
      <w:r>
        <w:t>13 Bedford Ave</w:t>
      </w:r>
    </w:p>
    <w:p>
      <w:pPr>
        <w:spacing w:after="0" w:before="0"/>
      </w:pPr>
      <w:r>
        <w:t>Middletown, NY 10940</w:t>
      </w:r>
    </w:p>
    <w:p>
      <w:pPr>
        <w:spacing w:after="0" w:before="0"/>
      </w:pPr>
    </w:p>
    <w:p>
      <w:pPr>
        <w:spacing w:after="0" w:before="0"/>
      </w:pPr>
      <w:r>
        <w:t>RE: Commercial Lease - 136 Jersey Ave, Port Jervis, NY</w:t>
      </w:r>
    </w:p>
    <w:p>
      <w:pPr>
        <w:spacing w:after="0" w:before="0"/>
      </w:pPr>
      <w:r>
        <w:t xml:space="preserve">    First Floor Back of Building Office Space</w:t>
      </w:r>
    </w:p>
    <w:p>
      <w:pPr>
        <w:spacing w:after="0" w:before="0"/>
      </w:pPr>
      <w:r>
        <w:t xml:space="preserve">    Lease Term: March 15, 2026 - March 14, 2027</w:t>
      </w:r>
    </w:p>
    <w:p>
      <w:pPr>
        <w:spacing w:after="0" w:before="0"/>
      </w:pPr>
    </w:p>
    <w:p>
      <w:pPr>
        <w:spacing w:after="0" w:before="0"/>
      </w:pPr>
      <w:r>
        <w:t>Dear Sir or Madam:</w:t>
      </w:r>
    </w:p>
    <w:p>
      <w:pPr>
        <w:spacing w:after="0" w:before="0"/>
      </w:pPr>
    </w:p>
    <w:p>
      <w:pPr>
        <w:spacing w:after="0" w:before="0"/>
      </w:pPr>
      <w:r>
        <w:t>I am writing regarding concerning information I have received about prospective changes to 136 Jersey Ave, specifically the potential introduction of a walk-in barbershop business in the building.</w:t>
      </w:r>
    </w:p>
    <w:p>
      <w:pPr>
        <w:spacing w:after="0" w:before="0"/>
      </w:pPr>
    </w:p>
    <w:p>
      <w:pPr>
        <w:spacing w:after="0" w:before="0"/>
      </w:pPr>
      <w:r>
        <w:t>As you are aware, I operate a mental health counseling practice from the leased premises pursuant to our lease agreement dated February 10, 2026. My practice is subject to strict federal and state privacy requirements that mandate specific safeguards for client confidentiality.</w:t>
      </w:r>
    </w:p>
    <w:p>
      <w:pPr>
        <w:spacing w:after="0" w:before="0"/>
      </w:pPr>
    </w:p>
    <w:p>
      <w:pPr>
        <w:spacing w:after="0" w:before="0"/>
      </w:pPr>
      <w:r>
        <w:t>REGULATORY REQUIREMENTS</w:t>
      </w:r>
    </w:p>
    <w:p>
      <w:pPr>
        <w:spacing w:after="0" w:before="0"/>
      </w:pPr>
    </w:p>
    <w:p>
      <w:pPr>
        <w:spacing w:after="0" w:before="0"/>
      </w:pPr>
      <w:r>
        <w:t>As a Licensed Clinical Social Worker (LCSW) practicing psychotherapy, I am subject to:</w:t>
      </w:r>
    </w:p>
    <w:p>
      <w:pPr>
        <w:spacing w:after="0" w:before="0"/>
      </w:pPr>
    </w:p>
    <w:p>
      <w:pPr>
        <w:spacing w:after="0" w:before="0"/>
      </w:pPr>
      <w:r>
        <w:t>1. HEALTH INSURANCE PORTABILITY AND ACCOUNTABILITY ACT (HIPAA)</w:t>
      </w:r>
    </w:p>
    <w:p>
      <w:pPr>
        <w:spacing w:after="0" w:before="0"/>
      </w:pPr>
      <w:r>
        <w:t xml:space="preserve">   • 45 CFR 164.530(c) requires appropriate administrative, technical, and physical safeguards to protect the privacy of protected health information</w:t>
      </w:r>
    </w:p>
    <w:p>
      <w:pPr>
        <w:spacing w:after="0" w:before="0"/>
      </w:pPr>
      <w:r>
        <w:t xml:space="preserve">   • 45 CFR 164.502(b) mandates the "minimum necessary" standard to limit disclosures</w:t>
      </w:r>
    </w:p>
    <w:p>
      <w:pPr>
        <w:spacing w:after="0" w:before="0"/>
      </w:pPr>
      <w:r>
        <w:t xml:space="preserve">   • The mere presence of individuals in a mental health waiting room discloses that they are receiving mental health treatment - which is itself protected health information</w:t>
      </w:r>
    </w:p>
    <w:p>
      <w:pPr>
        <w:spacing w:after="0" w:before="0"/>
      </w:pPr>
    </w:p>
    <w:p>
      <w:pPr>
        <w:spacing w:after="0" w:before="0"/>
      </w:pPr>
      <w:r>
        <w:t>2. NEW YORK MENTAL HYGIENE LAW ARTICLE 33</w:t>
      </w:r>
    </w:p>
    <w:p>
      <w:pPr>
        <w:spacing w:after="0" w:before="0"/>
      </w:pPr>
      <w:r>
        <w:t xml:space="preserve">   • Section 33.13 requires confidentiality of patient identity and clinical records</w:t>
      </w:r>
    </w:p>
    <w:p>
      <w:pPr>
        <w:spacing w:after="0" w:before="0"/>
      </w:pPr>
      <w:r>
        <w:t xml:space="preserve">   • This protection is MORE STRINGENT than federal HIPAA requirements</w:t>
      </w:r>
    </w:p>
    <w:p>
      <w:pPr>
        <w:spacing w:after="0" w:before="0"/>
      </w:pPr>
    </w:p>
    <w:p>
      <w:pPr>
        <w:spacing w:after="0" w:before="0"/>
      </w:pPr>
      <w:r>
        <w:t>3. NASW CODE OF ETHICS SECTION 1.07</w:t>
      </w:r>
    </w:p>
    <w:p>
      <w:pPr>
        <w:spacing w:after="0" w:before="0"/>
      </w:pPr>
      <w:r>
        <w:t xml:space="preserve">   • Requires that social workers "not discuss confidential information... unless confidentiality can be ensured"</w:t>
      </w:r>
    </w:p>
    <w:p>
      <w:pPr>
        <w:spacing w:after="0" w:before="0"/>
      </w:pPr>
      <w:r>
        <w:t xml:space="preserve">   • Mandates reasonable steps to protect client privacy</w:t>
      </w:r>
    </w:p>
    <w:p>
      <w:pPr>
        <w:spacing w:after="0" w:before="0"/>
      </w:pPr>
    </w:p>
    <w:p>
      <w:pPr>
        <w:spacing w:after="0" w:before="0"/>
      </w:pPr>
      <w:r>
        <w:t>4. NEW YORK EDUCATION LAW</w:t>
      </w:r>
    </w:p>
    <w:p>
      <w:pPr>
        <w:spacing w:after="0" w:before="0"/>
      </w:pPr>
      <w:r>
        <w:t xml:space="preserve">   • LCSW licensing requirements mandate ethical practice conditions</w:t>
      </w:r>
    </w:p>
    <w:p>
      <w:pPr>
        <w:spacing w:after="0" w:before="0"/>
      </w:pPr>
    </w:p>
    <w:p>
      <w:pPr>
        <w:spacing w:after="0" w:before="0"/>
      </w:pPr>
      <w:r>
        <w:t>SPECIFIC CONCERNS</w:t>
      </w:r>
    </w:p>
    <w:p>
      <w:pPr>
        <w:spacing w:after="0" w:before="0"/>
      </w:pPr>
    </w:p>
    <w:p>
      <w:pPr>
        <w:spacing w:after="0" w:before="0"/>
      </w:pPr>
      <w:r>
        <w:t>The introduction of a high-traffic walk-in barbershop would create the following issues:</w:t>
      </w:r>
    </w:p>
    <w:p>
      <w:pPr>
        <w:spacing w:after="0" w:before="0"/>
      </w:pPr>
    </w:p>
    <w:p>
      <w:pPr>
        <w:spacing w:after="0" w:before="0"/>
      </w:pPr>
      <w:r>
        <w:t>1. CONFIDENTIALITY BREACH: Non-clients would observe my therapy clients in shared waiting areas, disclosing their status as mental health treatment recipients - a violation of their privacy rights</w:t>
      </w:r>
    </w:p>
    <w:p>
      <w:pPr>
        <w:spacing w:after="0" w:before="0"/>
      </w:pPr>
    </w:p>
    <w:p>
      <w:pPr>
        <w:spacing w:after="0" w:before="0"/>
      </w:pPr>
      <w:r>
        <w:t>2. NOISE INTERFERENCE: Walk-in retail traffic would disrupt the quiet, therapeutic environment essential for effective counseling</w:t>
      </w:r>
    </w:p>
    <w:p>
      <w:pPr>
        <w:spacing w:after="0" w:before="0"/>
      </w:pPr>
    </w:p>
    <w:p>
      <w:pPr>
        <w:spacing w:after="0" w:before="0"/>
      </w:pPr>
      <w:r>
        <w:t>3. ACCESSIBILITY: Increased traffic may impede barrier-free access for disabled clients, potentially creating ADA compliance issues</w:t>
      </w:r>
    </w:p>
    <w:p>
      <w:pPr>
        <w:spacing w:after="0" w:before="0"/>
      </w:pPr>
    </w:p>
    <w:p>
      <w:pPr>
        <w:spacing w:after="0" w:before="0"/>
      </w:pPr>
      <w:r>
        <w:t>4. PROFESSIONAL VIOLATIONS: I cannot maintain my professional and ethical obligations in an environment that compromises client privacy</w:t>
      </w:r>
    </w:p>
    <w:p>
      <w:pPr>
        <w:spacing w:after="0" w:before="0"/>
      </w:pPr>
    </w:p>
    <w:p>
      <w:pPr>
        <w:spacing w:after="0" w:before="0"/>
      </w:pPr>
      <w:r>
        <w:t>LEASE IMPLICATIONS</w:t>
      </w:r>
    </w:p>
    <w:p>
      <w:pPr>
        <w:spacing w:after="0" w:before="0"/>
      </w:pPr>
    </w:p>
    <w:p>
      <w:pPr>
        <w:spacing w:after="0" w:before="0"/>
      </w:pPr>
      <w:r>
        <w:t>Section 2 of our lease specifies that the premises shall be used for "Counseling Services" and "no other purpose." While this clause governs my permitted use, you represented the premises as suitable for such services at the time of lease execution.</w:t>
      </w:r>
    </w:p>
    <w:p>
      <w:pPr>
        <w:spacing w:after="0" w:before="0"/>
      </w:pPr>
    </w:p>
    <w:p>
      <w:pPr>
        <w:spacing w:after="0" w:before="0"/>
      </w:pPr>
      <w:r>
        <w:t>The introduction of an incompatible high-traffic retail use would:</w:t>
      </w:r>
    </w:p>
    <w:p>
      <w:pPr>
        <w:spacing w:after="0" w:before="0"/>
      </w:pPr>
    </w:p>
    <w:p>
      <w:pPr>
        <w:spacing w:after="0" w:before="0"/>
      </w:pPr>
      <w:r>
        <w:t>• Substantially interfere with my ability to conduct the business for which the premises were leased</w:t>
      </w:r>
    </w:p>
    <w:p>
      <w:pPr>
        <w:spacing w:after="0" w:before="0"/>
      </w:pPr>
      <w:r>
        <w:t>• Potentially breach the implied covenant of quiet enjoyment under New York law</w:t>
      </w:r>
    </w:p>
    <w:p>
      <w:pPr>
        <w:spacing w:after="0" w:before="0"/>
      </w:pPr>
      <w:r>
        <w:t>• Render my regulatory compliance impossible without substantial physical modifications</w:t>
      </w:r>
    </w:p>
    <w:p>
      <w:pPr>
        <w:spacing w:after="0" w:before="0"/>
      </w:pPr>
    </w:p>
    <w:p>
      <w:pPr>
        <w:spacing w:after="0" w:before="0"/>
      </w:pPr>
      <w:r>
        <w:t>REQUEST</w:t>
      </w:r>
    </w:p>
    <w:p>
      <w:pPr>
        <w:spacing w:after="0" w:before="0"/>
      </w:pPr>
    </w:p>
    <w:p>
      <w:pPr>
        <w:spacing w:after="0" w:before="0"/>
      </w:pPr>
      <w:r>
        <w:t>I hereby request that within TEN (10) DAYS of this letter:</w:t>
      </w:r>
    </w:p>
    <w:p>
      <w:pPr>
        <w:spacing w:after="0" w:before="0"/>
      </w:pPr>
    </w:p>
    <w:p>
      <w:pPr>
        <w:spacing w:after="0" w:before="0"/>
      </w:pPr>
      <w:r>
        <w:t>1. You provide written confirmation of any plans to lease space in this building to a barbershop or similar retail establishment</w:t>
      </w:r>
    </w:p>
    <w:p>
      <w:pPr>
        <w:spacing w:after="0" w:before="0"/>
      </w:pPr>
    </w:p>
    <w:p>
      <w:pPr>
        <w:spacing w:after="0" w:before="0"/>
      </w:pPr>
      <w:r>
        <w:t>2. If such plans exist, that we meet to discuss one of the following:</w:t>
      </w:r>
    </w:p>
    <w:p>
      <w:pPr>
        <w:spacing w:after="0" w:before="0"/>
      </w:pPr>
      <w:r>
        <w:t xml:space="preserve">   a) Cancellation of those plans, OR</w:t>
      </w:r>
    </w:p>
    <w:p>
      <w:pPr>
        <w:spacing w:after="0" w:before="0"/>
      </w:pPr>
      <w:r>
        <w:t xml:space="preserve">   b) Physical modifications to ensure separate waiting areas, entrances, and sound barriers for my practice, OR</w:t>
      </w:r>
    </w:p>
    <w:p>
      <w:pPr>
        <w:spacing w:after="0" w:before="0"/>
      </w:pPr>
      <w:r>
        <w:t xml:space="preserve">   c) Early termination of my lease with full return of my $450 security deposit and prorated refund of any prepaid rent</w:t>
      </w:r>
    </w:p>
    <w:p>
      <w:pPr>
        <w:spacing w:after="0" w:before="0"/>
      </w:pPr>
    </w:p>
    <w:p>
      <w:pPr>
        <w:spacing w:after="0" w:before="0"/>
      </w:pPr>
      <w:r>
        <w:t>RESERVATION OF RIGHTS</w:t>
      </w:r>
    </w:p>
    <w:p>
      <w:pPr>
        <w:spacing w:after="0" w:before="0"/>
      </w:pPr>
    </w:p>
    <w:p>
      <w:pPr>
        <w:spacing w:after="0" w:before="0"/>
      </w:pPr>
      <w:r>
        <w:t>I reserve all rights under the lease agreement and applicable law, including but not limited to claims for:</w:t>
      </w:r>
    </w:p>
    <w:p>
      <w:pPr>
        <w:spacing w:after="0" w:before="0"/>
      </w:pPr>
    </w:p>
    <w:p>
      <w:pPr>
        <w:spacing w:after="0" w:before="0"/>
      </w:pPr>
      <w:r>
        <w:t>• Breach of the implied covenant of quiet enjoyment</w:t>
      </w:r>
    </w:p>
    <w:p>
      <w:pPr>
        <w:spacing w:after="0" w:before="0"/>
      </w:pPr>
      <w:r>
        <w:t>• Interference with permitted use</w:t>
      </w:r>
    </w:p>
    <w:p>
      <w:pPr>
        <w:spacing w:after="0" w:before="0"/>
      </w:pPr>
      <w:r>
        <w:t>• Constructive eviction (should conditions warrant)</w:t>
      </w:r>
    </w:p>
    <w:p>
      <w:pPr>
        <w:spacing w:after="0" w:before="0"/>
      </w:pPr>
      <w:r>
        <w:t>• Recovery of damages, including lost business and relocation costs</w:t>
      </w:r>
    </w:p>
    <w:p>
      <w:pPr>
        <w:spacing w:after="0" w:before="0"/>
      </w:pPr>
    </w:p>
    <w:p>
      <w:pPr>
        <w:spacing w:after="0" w:before="0"/>
      </w:pPr>
      <w:r>
        <w:t>I hope we can resolve this matter amicably. Please contact me at [phone/email] to arrange a meeting.</w:t>
      </w:r>
    </w:p>
    <w:p>
      <w:pPr>
        <w:spacing w:after="0" w:before="0"/>
      </w:pPr>
    </w:p>
    <w:p>
      <w:pPr>
        <w:spacing w:after="0" w:before="0"/>
      </w:pPr>
      <w:r>
        <w:t>Sincerely,</w:t>
      </w:r>
    </w:p>
    <w:p>
      <w:pPr>
        <w:spacing w:after="0" w:before="0"/>
      </w:pPr>
    </w:p>
    <w:p>
      <w:pPr>
        <w:spacing w:after="0" w:before="0"/>
      </w:pPr>
    </w:p>
    <w:p>
      <w:pPr>
        <w:spacing w:after="0" w:before="0"/>
      </w:pPr>
      <w:r>
        <w:t>____________________________</w:t>
      </w:r>
    </w:p>
    <w:p>
      <w:pPr>
        <w:spacing w:after="0" w:before="0"/>
      </w:pPr>
      <w:r>
        <w:t>Marian S. Sanborn, LCSW, CASAC2, PLLC</w:t>
      </w:r>
    </w:p>
    <w:p>
      <w:pPr>
        <w:spacing w:after="0" w:before="0"/>
      </w:pPr>
    </w:p>
    <w:p>
      <w:pPr>
        <w:spacing w:after="0" w:before="0"/>
      </w:pPr>
      <w:r>
        <w:t>cc: [Attorney name if retained]</w:t>
      </w:r>
    </w:p>
    <w:p>
      <w:r>
        <w:br w:type="page"/>
      </w:r>
    </w:p>
    <w:p>
      <w:pPr>
        <w:pStyle w:val="Heading1"/>
      </w:pPr>
      <w:r>
        <w:t>10. NEXT STEPS AND ACTION ITEMS</w:t>
      </w:r>
    </w:p>
    <w:p>
      <w:pPr>
        <w:pStyle w:val="Heading2"/>
      </w:pPr>
      <w:r>
        <w:t>Immediate Actions (Next 48 Hours)</w:t>
      </w:r>
    </w:p>
    <w:p>
      <w:r>
        <w:rPr>
          <w:b/>
        </w:rPr>
        <w:t xml:space="preserve">☐ Document Current Conditions: </w:t>
      </w:r>
      <w:r>
        <w:t>Take photos/video of waiting area, parking, entrance, ramp</w:t>
      </w:r>
    </w:p>
    <w:p>
      <w:r>
        <w:rPr>
          <w:b/>
        </w:rPr>
        <w:t xml:space="preserve">☐ Request Written Confirmation: </w:t>
      </w:r>
      <w:r>
        <w:t>Email/write landlord asking for details about barbershop plans</w:t>
      </w:r>
    </w:p>
    <w:p>
      <w:r>
        <w:rPr>
          <w:b/>
        </w:rPr>
        <w:t xml:space="preserve">☐ Check Zoning: </w:t>
      </w:r>
      <w:r>
        <w:t>Call Port Jervis Building Dept (845-858-4000) about zoning for retail vs. professional</w:t>
      </w:r>
    </w:p>
    <w:p>
      <w:r>
        <w:rPr>
          <w:b/>
        </w:rPr>
        <w:t xml:space="preserve">☐ Consult Attorney: </w:t>
      </w:r>
      <w:r>
        <w:t>Find NY-licensed commercial real estate attorney for review</w:t>
      </w:r>
    </w:p>
    <w:p>
      <w:pPr>
        <w:pStyle w:val="Heading2"/>
      </w:pPr>
      <w:r>
        <w:t>Questions for Attorney Consultation</w:t>
      </w:r>
    </w:p>
    <w:p>
      <w:r>
        <w:t>1. Does our lease contain any provisions limiting landlord's ability to lease to incompatible businesses?</w:t>
      </w:r>
    </w:p>
    <w:p>
      <w:r>
        <w:t>2. What specific notice and cure provisions exist for landlord breach?</w:t>
      </w:r>
    </w:p>
    <w:p>
      <w:r>
        <w:t>3. Has NY case law addressed situations where a landlord introduces an incompatible use after lease execution?</w:t>
      </w:r>
    </w:p>
    <w:p>
      <w:r>
        <w:t>4. What are the practical risks of a constructive eviction claim if we remain and document interference?</w:t>
      </w:r>
    </w:p>
    <w:p>
      <w:r>
        <w:t>5. Can we seek declaratory judgment without vacating the premises?</w:t>
      </w:r>
    </w:p>
    <w:p>
      <w:r>
        <w:t>6. What damages would be recoverable if we must relocate?</w:t>
      </w:r>
    </w:p>
    <w:p>
      <w:r>
        <w:t>7. Should we proactively contact the NY Office of Professions or HHS OCR for guidance?</w:t>
      </w:r>
    </w:p>
    <w:p>
      <w:pPr>
        <w:pStyle w:val="Heading2"/>
      </w:pPr>
      <w:r>
        <w:t>Contact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Port Jervis Building Department</w:t>
            </w:r>
          </w:p>
        </w:tc>
        <w:tc>
          <w:tcPr>
            <w:tcW w:type="dxa" w:w="4320"/>
          </w:tcPr>
          <w:p>
            <w:r>
              <w:t>845-858-4000 | 20 Hammond St, Port Jervis, NY 12771</w:t>
            </w:r>
          </w:p>
        </w:tc>
      </w:tr>
      <w:tr>
        <w:tc>
          <w:tcPr>
            <w:tcW w:type="dxa" w:w="4320"/>
          </w:tcPr>
          <w:p>
            <w:r>
              <w:rPr>
                <w:b/>
              </w:rPr>
              <w:t>HHS Office for Civil Rights (HIPAA)</w:t>
            </w:r>
          </w:p>
        </w:tc>
        <w:tc>
          <w:tcPr>
            <w:tcW w:type="dxa" w:w="4320"/>
          </w:tcPr>
          <w:p>
            <w:r>
              <w:t>800-368-1019 | hhs.gov/ocr</w:t>
            </w:r>
          </w:p>
        </w:tc>
      </w:tr>
      <w:tr>
        <w:tc>
          <w:tcPr>
            <w:tcW w:type="dxa" w:w="4320"/>
          </w:tcPr>
          <w:p>
            <w:r>
              <w:rPr>
                <w:b/>
              </w:rPr>
              <w:t>NYS Office of Professions</w:t>
            </w:r>
          </w:p>
        </w:tc>
        <w:tc>
          <w:tcPr>
            <w:tcW w:type="dxa" w:w="4320"/>
          </w:tcPr>
          <w:p>
            <w:r>
              <w:t>518-474-3817 | op.nysed.gov</w:t>
            </w:r>
          </w:p>
        </w:tc>
      </w:tr>
      <w:tr>
        <w:tc>
          <w:tcPr>
            <w:tcW w:type="dxa" w:w="4320"/>
          </w:tcPr>
          <w:p>
            <w:r>
              <w:rPr>
                <w:b/>
              </w:rPr>
              <w:t>NASW-NYS Chapter</w:t>
            </w:r>
          </w:p>
        </w:tc>
        <w:tc>
          <w:tcPr>
            <w:tcW w:type="dxa" w:w="4320"/>
          </w:tcPr>
          <w:p>
            <w:r>
              <w:t>518-463-4741 | naswnys.org</w:t>
            </w:r>
          </w:p>
        </w:tc>
      </w:tr>
    </w:tbl>
    <w:p>
      <w:r>
        <w:br w:type="page"/>
      </w:r>
    </w:p>
    <w:p>
      <w:pPr>
        <w:pStyle w:val="Heading1"/>
      </w:pPr>
      <w:r>
        <w:t>11. SOURCES AND CITATIONS</w:t>
      </w:r>
    </w:p>
    <w:p>
      <w:pPr>
        <w:pStyle w:val="Heading2"/>
      </w:pPr>
      <w:r>
        <w:t>Federal Regulations</w:t>
      </w:r>
    </w:p>
    <w:p>
      <w:pPr>
        <w:pStyle w:val="ListBullet"/>
      </w:pPr>
      <w:r>
        <w:t>45 CFR 164.530(c) - Administrative safeguards requirement</w:t>
      </w:r>
    </w:p>
    <w:p>
      <w:pPr>
        <w:pStyle w:val="ListBullet"/>
      </w:pPr>
      <w:r>
        <w:t>45 CFR 164.502(b) - Minimum necessary standard</w:t>
      </w:r>
    </w:p>
    <w:p>
      <w:pPr>
        <w:pStyle w:val="ListBullet"/>
      </w:pPr>
      <w:r>
        <w:t>45 CFR 164.508(a)(2) - Psychotherapy notes authorization</w:t>
      </w:r>
    </w:p>
    <w:p>
      <w:pPr>
        <w:pStyle w:val="ListBullet"/>
      </w:pPr>
      <w:r>
        <w:t>HHS HIPAA Privacy Rule Summary: hhs.gov/hipaa/for-professionals/privacy/laws-regulations/</w:t>
      </w:r>
    </w:p>
    <w:p>
      <w:pPr>
        <w:pStyle w:val="Heading2"/>
      </w:pPr>
      <w:r>
        <w:t>New York State Law</w:t>
      </w:r>
    </w:p>
    <w:p>
      <w:pPr>
        <w:pStyle w:val="ListBullet"/>
      </w:pPr>
      <w:r>
        <w:t>NY Education Law Article 154, Sections 7700-7710 (Social Work Practice)</w:t>
      </w:r>
    </w:p>
    <w:p>
      <w:pPr>
        <w:pStyle w:val="ListBullet"/>
      </w:pPr>
      <w:r>
        <w:t>8 NYCRR Part 74 (LCSW Implementing Regulations)</w:t>
      </w:r>
    </w:p>
    <w:p>
      <w:pPr>
        <w:pStyle w:val="ListBullet"/>
      </w:pPr>
      <w:r>
        <w:t>NY Mental Hygiene Law Section 33.13 (Mental Health Records Confidentiality)</w:t>
      </w:r>
    </w:p>
    <w:p>
      <w:pPr>
        <w:pStyle w:val="ListBullet"/>
      </w:pPr>
      <w:r>
        <w:t>NY Real Property Law Section 227 (Tenant Surrender Rights)</w:t>
      </w:r>
    </w:p>
    <w:p>
      <w:pPr>
        <w:pStyle w:val="ListBullet"/>
      </w:pPr>
      <w:r>
        <w:t>NY Real Property Law Section 235-e(d) (Rent Default Notice)</w:t>
      </w:r>
    </w:p>
    <w:p>
      <w:pPr>
        <w:pStyle w:val="Heading2"/>
      </w:pPr>
      <w:r>
        <w:t>Professional Standards</w:t>
      </w:r>
    </w:p>
    <w:p>
      <w:pPr>
        <w:pStyle w:val="ListBullet"/>
      </w:pPr>
      <w:r>
        <w:t>NASW Code of Ethics, Standard 1.07 - Privacy and Confidentiality</w:t>
      </w:r>
    </w:p>
    <w:p>
      <w:pPr>
        <w:pStyle w:val="ListBullet"/>
      </w:pPr>
      <w:r>
        <w:t>NASW Code of Ethics - Practice Settings Responsibilities</w:t>
      </w:r>
    </w:p>
    <w:p>
      <w:pPr>
        <w:pStyle w:val="ListBullet"/>
      </w:pPr>
      <w:r>
        <w:t>NYS Office of Professions LCSW License Requirements</w:t>
      </w:r>
    </w:p>
    <w:p>
      <w:pPr>
        <w:pStyle w:val="Heading2"/>
      </w:pPr>
      <w:r>
        <w:t>Case Law and Legal Analysis</w:t>
      </w:r>
    </w:p>
    <w:p>
      <w:pPr>
        <w:pStyle w:val="ListBullet"/>
      </w:pPr>
      <w:r>
        <w:t>Dave Herstein Co. v. Columbia Pictures Corp., 4 N.Y.2d 117 (1958)</w:t>
      </w:r>
    </w:p>
    <w:p>
      <w:pPr>
        <w:pStyle w:val="ListBullet"/>
      </w:pPr>
      <w:r>
        <w:t>NYC Commercial Leases: Covenant of Quiet Enjoyment (Wright Law Firm NYC)</w:t>
      </w:r>
    </w:p>
    <w:p>
      <w:pPr>
        <w:pStyle w:val="ListBullet"/>
      </w:pPr>
      <w:r>
        <w:t>Constructive Eviction Analysis (Seyfarth Shaw LLP)</w:t>
      </w:r>
    </w:p>
    <w:p>
      <w:pPr>
        <w:pStyle w:val="ListBullet"/>
      </w:pPr>
      <w:r>
        <w:t>Commercial Tenant Harassment (NYC Admin Code 22-902)</w:t>
      </w:r>
    </w:p>
    <w:p/>
    <w:p/>
    <w:p>
      <w:pPr>
        <w:jc w:val="center"/>
      </w:pPr>
      <w:r>
        <w:rPr>
          <w:i/>
        </w:rPr>
        <w:t>END OF MEMORANDUM</w:t>
        <w:br/>
        <w:br/>
        <w:t>This document is for informational purposes only.</w:t>
        <w:br/>
        <w:t>Consult with a licensed New York attorney before taking any action.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