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MARKETING SPECIFICATION &amp; CAMPAIGN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Document Control &amp; Metadata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Document Control Header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DOCUMENT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SPECFLOW AI CORE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INTERACTIVE BRIEF CREATOR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v2.1 • MAY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Prepared by:</w:t>
            </w:r>
            <w:r w:rsidDel="00000000" w:rsidR="00000000" w:rsidRPr="00000000">
              <w:rPr>
                <w:rFonts w:ascii="Google Sans" w:cs="Google Sans" w:eastAsia="Google Sans" w:hAnsi="Google Sans"/>
                <w:color w:val="1f1f1f"/>
                <w:shd w:fill="auto" w:val="clear"/>
                <w:rtl w:val="0"/>
              </w:rPr>
              <w:t xml:space="preserve"> Growth Ops Team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r w:rsidDel="00000000" w:rsidR="00000000" w:rsidRPr="00000000">
              <w:rPr>
                <w:rFonts w:ascii="Google Sans" w:cs="Google Sans" w:eastAsia="Google Sans" w:hAnsi="Google Sans"/>
                <w:color w:val="1f1f1f"/>
                <w:shd w:fill="auto" w:val="clear"/>
                <w:rtl w:val="0"/>
              </w:rPr>
              <w:t xml:space="preserve"> Under Final Review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r w:rsidDel="00000000" w:rsidR="00000000" w:rsidRPr="00000000">
              <w:rPr>
                <w:rFonts w:ascii="Google Sans" w:cs="Google Sans" w:eastAsia="Google Sans" w:hAnsi="Google Sans"/>
                <w:color w:val="1f1f1f"/>
                <w:shd w:fill="auto" w:val="clear"/>
                <w:rtl w:val="0"/>
              </w:rPr>
              <w:t xml:space="preserve"> CONFIDENTIAL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Launch:</w:t>
            </w:r>
            <w:r w:rsidDel="00000000" w:rsidR="00000000" w:rsidRPr="00000000">
              <w:rPr>
                <w:rFonts w:ascii="Google Sans" w:cs="Google Sans" w:eastAsia="Google Sans" w:hAnsi="Google Sans"/>
                <w:color w:val="1f1f1f"/>
                <w:shd w:fill="auto" w:val="clear"/>
                <w:rtl w:val="0"/>
              </w:rPr>
              <w:t xml:space="preserve"> Q3 2026</w:t>
            </w:r>
          </w:p>
        </w:tc>
      </w:tr>
    </w:tbl>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1.2 Metadata Block</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Metadata 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 Integration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 Marketing Subcategory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Conversion Rate Optimization (CRO), Interactive Lead Generation, Viral Loop Marketing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Campaign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SpecFlow Interactive Brief Creator &amp; Multi-Stakeholder Share Funnel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Name /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SF-SPEC-INTERACTIVE-BRIEF-09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 Final Draft for Sign-off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23,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 / Contact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Principal Growth Ops Architect / growth-ops@specflow.ai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Reviewers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Chief Marketing Officer, Principal Engineer, Lead Growth Designer, Legal Counsel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CONFIDENTIAL — Internal Marketing Operations Use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Approved by Engineering, Awaiting Final Executive Sign-off</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Table of Contents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w:anchor="36n166etqgf2">
        <w:r w:rsidDel="00000000" w:rsidR="00000000" w:rsidRPr="00000000">
          <w:rPr>
            <w:rFonts w:ascii="Google Sans" w:cs="Google Sans" w:eastAsia="Google Sans" w:hAnsi="Google Sans"/>
            <w:color w:val="0b57d0"/>
            <w:u w:val="single"/>
            <w:rtl w:val="0"/>
          </w:rPr>
          <w:t xml:space="preserve">Section 1: Campaign, Feature, or Tool Overview &amp; Strategic Purpose</w:t>
        </w:r>
      </w:hyperlink>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57i48oze27k9">
        <w:r w:rsidDel="00000000" w:rsidR="00000000" w:rsidRPr="00000000">
          <w:rPr>
            <w:rFonts w:ascii="Google Sans" w:cs="Google Sans" w:eastAsia="Google Sans" w:hAnsi="Google Sans"/>
            <w:color w:val="0b57d0"/>
            <w:u w:val="single"/>
            <w:rtl w:val="0"/>
          </w:rPr>
          <w:t xml:space="preserve">Section 2: User Experience, Funnel States, &amp; User Journeys</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w4k9m2hddt3c">
        <w:r w:rsidDel="00000000" w:rsidR="00000000" w:rsidRPr="00000000">
          <w:rPr>
            <w:rFonts w:ascii="Google Sans" w:cs="Google Sans" w:eastAsia="Google Sans" w:hAnsi="Google Sans"/>
            <w:color w:val="0b57d0"/>
            <w:u w:val="single"/>
            <w:rtl w:val="0"/>
          </w:rPr>
          <w:t xml:space="preserve">Section 3: Data Schemas, Lead Taxonomy, &amp; Event Tracking Matrices</w:t>
        </w:r>
      </w:hyperlink>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4e7m32ozrhfw">
        <w:r w:rsidDel="00000000" w:rsidR="00000000" w:rsidRPr="00000000">
          <w:rPr>
            <w:rFonts w:ascii="Google Sans" w:cs="Google Sans" w:eastAsia="Google Sans" w:hAnsi="Google Sans"/>
            <w:color w:val="0b57d0"/>
            <w:u w:val="single"/>
            <w:rtl w:val="0"/>
          </w:rPr>
          <w:t xml:space="preserve">Section 4: Growth Engines, Computations, &amp; Business Logic</w:t>
        </w:r>
      </w:hyperlink>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x5w0odt5r0bg">
        <w:r w:rsidDel="00000000" w:rsidR="00000000" w:rsidRPr="00000000">
          <w:rPr>
            <w:rFonts w:ascii="Google Sans" w:cs="Google Sans" w:eastAsia="Google Sans" w:hAnsi="Google Sans"/>
            <w:color w:val="0b57d0"/>
            <w:u w:val="single"/>
            <w:rtl w:val="0"/>
          </w:rPr>
          <w:t xml:space="preserve">Section 5: MarTech Architecture &amp; External Integrations</w:t>
        </w:r>
      </w:hyperlink>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dfbqfc27qfuz">
        <w:r w:rsidDel="00000000" w:rsidR="00000000" w:rsidRPr="00000000">
          <w:rPr>
            <w:rFonts w:ascii="Google Sans" w:cs="Google Sans" w:eastAsia="Google Sans" w:hAnsi="Google Sans"/>
            <w:color w:val="0b57d0"/>
            <w:u w:val="single"/>
            <w:rtl w:val="0"/>
          </w:rPr>
          <w:t xml:space="preserve">Section 6: Workflow Orchestration &amp; Data Lifecycles</w:t>
        </w:r>
      </w:hyperlink>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p7xzhiphp95w">
        <w:r w:rsidDel="00000000" w:rsidR="00000000" w:rsidRPr="00000000">
          <w:rPr>
            <w:rFonts w:ascii="Google Sans" w:cs="Google Sans" w:eastAsia="Google Sans" w:hAnsi="Google Sans"/>
            <w:color w:val="0b57d0"/>
            <w:u w:val="single"/>
            <w:rtl w:val="0"/>
          </w:rPr>
          <w:t xml:space="preserve">Section 7: Notification Lifecycles &amp; Lifecycle Communication Protocols</w:t>
        </w:r>
      </w:hyperlink>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rrvbjn1h5c62">
        <w:r w:rsidDel="00000000" w:rsidR="00000000" w:rsidRPr="00000000">
          <w:rPr>
            <w:rFonts w:ascii="Google Sans" w:cs="Google Sans" w:eastAsia="Google Sans" w:hAnsi="Google Sans"/>
            <w:color w:val="0b57d0"/>
            <w:u w:val="single"/>
            <w:rtl w:val="0"/>
          </w:rPr>
          <w:t xml:space="preserve">Section 8: Complete Edge Case &amp; Analytics Exception Handling Matrix</w:t>
        </w:r>
      </w:hyperlink>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me05r0j4b1oq">
        <w:r w:rsidDel="00000000" w:rsidR="00000000" w:rsidRPr="00000000">
          <w:rPr>
            <w:rFonts w:ascii="Google Sans" w:cs="Google Sans" w:eastAsia="Google Sans" w:hAnsi="Google Sans"/>
            <w:color w:val="0b57d0"/>
            <w:u w:val="single"/>
            <w:rtl w:val="0"/>
          </w:rPr>
          <w:t xml:space="preserve">Section 9: Marketing Telemetry, Conversion Dashboards, &amp; Operational Monitoring</w:t>
        </w:r>
      </w:hyperlink>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w:anchor="3aosoc866bwb">
        <w:r w:rsidDel="00000000" w:rsidR="00000000" w:rsidRPr="00000000">
          <w:rPr>
            <w:rFonts w:ascii="Google Sans" w:cs="Google Sans" w:eastAsia="Google Sans" w:hAnsi="Google Sans"/>
            <w:color w:val="0b57d0"/>
            <w:u w:val="single"/>
            <w:rtl w:val="0"/>
          </w:rPr>
          <w:t xml:space="preserve">Section 10: Non-Goals &amp; Growth Scope Exclusions</w:t>
        </w:r>
      </w:hyperlink>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1: Campaign, Feature, or Tool Overview &amp; Strategic Purpose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Executive Summary &amp; Growth Hypothesis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SpecFlow AI helps founders, product managers, and growth teams convert loose ideas into executive-ready specifications. While our primary product is a paid, backend-heavy platform, we face a user acquisition bottleneck: prospective buyers struggle to conceptualize the output quality before registering an account.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Interactive Campaign Brief Creator</w:t>
      </w:r>
      <w:r w:rsidDel="00000000" w:rsidR="00000000" w:rsidRPr="00000000">
        <w:rPr>
          <w:rFonts w:ascii="Google Sans" w:cs="Google Sans" w:eastAsia="Google Sans" w:hAnsi="Google Sans"/>
          <w:color w:val="1f1f1f"/>
          <w:rtl w:val="0"/>
        </w:rPr>
        <w:t xml:space="preserve"> is a high-utility, un-gated web tool allowing visitors to instantly scaffold a mini-marketing brief by filling out five strategic parameters.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Growth Hypothesis:</w:t>
      </w:r>
      <w:r w:rsidDel="00000000" w:rsidR="00000000" w:rsidRPr="00000000">
        <w:rPr>
          <w:rFonts w:ascii="Google Sans" w:cs="Google Sans" w:eastAsia="Google Sans" w:hAnsi="Google Sans"/>
          <w:color w:val="1f1f1f"/>
          <w:rtl w:val="0"/>
        </w:rPr>
        <w:t xml:space="preserve"> By providing immediate value without an initial signup wall, and offering a frictionless "Share with Stakeholders" link, we can lower our Customer Acquisition Cost (CAC) by </w:t>
      </w:r>
      <w:r w:rsidDel="00000000" w:rsidR="00000000" w:rsidRPr="00000000">
        <w:rPr>
          <w:rFonts w:ascii="Google Sans" w:cs="Google Sans" w:eastAsia="Google Sans" w:hAnsi="Google Sans"/>
          <w:color w:val="1f1f1f"/>
        </w:rPr>
        <w:drawing>
          <wp:inline distB="19050" distT="19050" distL="19050" distR="19050">
            <wp:extent cx="359090" cy="232352"/>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59090" cy="23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lead-to-MQL conversion rates, and build an organic, viral acquisition loop powered by collaborative peer reviews.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1.2 Strategic Rationale &amp; Brand Alignment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initiative leverages the core value proposition of SpecFlow AI: reducing technical and functional misalignment among team members. By targeting downstream stakeholders (such as design agency leads, developers, and copywriters) during the review stage of a brief, we introduce our brand directly to secondary user groups. This expansion directly aligns with the brand strategy outlines in our master positioning document (product-marketing.md), moving the product from a single-user utility to a cross-functional work ecosystem.</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1.3 Scope Boundaries &amp; Performance Controls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In-Scope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Out-of-Scope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Exclusion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Un-gated execution of a 3-step brief generation wizard.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Exporting complete, complex 50-page Technical Architecture Documents.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Restricting advanced formatting and long-form document outputs preserves premium tier paywall upgrade incentives.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In-app collaborative commenting for invited guest reviewers.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Multi-user live document co-authoring or simultaneous cursor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Overly complex to build for an acquisition-funnel feature; deferred to product-proper roadmap.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One-click export to native Microsoft Word (.docx) file layouts.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sync to internal Jira or Linear engineering boards.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integration complexity; leads must sign up for a fully managed team account to unlock enterprise sync.</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2: User Experience, Funnel States, &amp; User Journeys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The Visitor's Mental Model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visitor wants a quick, professional asset they can show their boss, team, or clients to look highly organized and structured. They do not want to fill out a long signup form just to test a tool. By framing the initial interaction as a clean "Input → Instant Output" engine, we build confidence first, deferring user authentication until the user attempts to download, save, or share the generated asset with outside stakeholders.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2.2 Privacy, Consent, &amp; Cookie State Handling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strict GDPR and CCPA compliance, our client-side tracking scripts are dynamically governed by the visitor's cookie consent preference:</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Opt-In State:</w:t>
      </w:r>
      <w:r w:rsidDel="00000000" w:rsidR="00000000" w:rsidRPr="00000000">
        <w:rPr>
          <w:rFonts w:ascii="Google Sans" w:cs="Google Sans" w:eastAsia="Google Sans" w:hAnsi="Google Sans"/>
          <w:color w:val="1f1f1f"/>
          <w:rtl w:val="0"/>
        </w:rPr>
        <w:t xml:space="preserve"> Standard attribution parameters (e.g., UTM values, Google Click ID) and behavioral heatmaps are logged.</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Opt-Out / Reject State:</w:t>
      </w:r>
      <w:r w:rsidDel="00000000" w:rsidR="00000000" w:rsidRPr="00000000">
        <w:rPr>
          <w:rFonts w:ascii="Google Sans" w:cs="Google Sans" w:eastAsia="Google Sans" w:hAnsi="Google Sans"/>
          <w:color w:val="1f1f1f"/>
          <w:rtl w:val="0"/>
        </w:rPr>
        <w:t xml:space="preserve"> Tracking parameters are stripped immediately. Dynamic form processing continues entirely in-memory, and analytical logging is restricted to anonymous server-side processing metrics, bypassing local storage identifiers.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2.3 End-to-End User Journeys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 Point: UTM Campaign] ──&gt; [Interactive Step-Wizard] ──&gt; [Instant Preview Render]</w:t>
        <w:br w:type="textWrapping"/>
        <w:t xml:space="preserve">                                                                        │</w:t>
        <w:br w:type="textWrapping"/>
        <w:t xml:space="preserve">[Viral Registration] &lt;── [Reviewer Access] &lt;── [Share Brief Link] &lt;─── [Auth Gate: Word Export]</w:t>
        <w:br w:type="textWrapping"/>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Journey 1: Anonymous Prospect Creates and Exports a Brief</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Trigger &amp; Entry Point:</w:t>
      </w:r>
      <w:r w:rsidDel="00000000" w:rsidR="00000000" w:rsidRPr="00000000">
        <w:rPr>
          <w:rFonts w:ascii="Google Sans" w:cs="Google Sans" w:eastAsia="Google Sans" w:hAnsi="Google Sans"/>
          <w:color w:val="1f1f1f"/>
          <w:rtl w:val="0"/>
        </w:rPr>
        <w:t xml:space="preserve"> Prospect clicks an ad link targeting specflow.ai/free-tools/brief-creator?utm_source=linkedin.</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Step-by-Step Action:</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Visitor enters their project name, primary objectives, target audience demographics, budget limits, and baseline tech dependencies into a three-step progressive wizard.</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On completing step three, the system dynamically displays an inline, beautifully formatted, preview-only Markdown draft of the brief.</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Authentication Gate:</w:t>
      </w:r>
      <w:r w:rsidDel="00000000" w:rsidR="00000000" w:rsidRPr="00000000">
        <w:rPr>
          <w:rFonts w:ascii="Google Sans" w:cs="Google Sans" w:eastAsia="Google Sans" w:hAnsi="Google Sans"/>
          <w:color w:val="1f1f1f"/>
          <w:rtl w:val="0"/>
        </w:rPr>
        <w:t xml:space="preserve"> The visitor clicks the "Export to Microsoft Word (.docx)" button.</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Frictionless Sign-Up Overlay:</w:t>
      </w:r>
      <w:r w:rsidDel="00000000" w:rsidR="00000000" w:rsidRPr="00000000">
        <w:rPr>
          <w:rFonts w:ascii="Google Sans" w:cs="Google Sans" w:eastAsia="Google Sans" w:hAnsi="Google Sans"/>
          <w:color w:val="1f1f1f"/>
          <w:rtl w:val="0"/>
        </w:rPr>
        <w:t xml:space="preserve"> A modal displays, requesting an email and password to securely save their work. Upon successful email validation, the file immediately downloads to their device.</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Success State:</w:t>
      </w:r>
      <w:r w:rsidDel="00000000" w:rsidR="00000000" w:rsidRPr="00000000">
        <w:rPr>
          <w:rFonts w:ascii="Google Sans" w:cs="Google Sans" w:eastAsia="Google Sans" w:hAnsi="Google Sans"/>
          <w:color w:val="1f1f1f"/>
          <w:rtl w:val="0"/>
        </w:rPr>
        <w:t xml:space="preserve"> User receives their clean Word document, and their user profile is captured in HubSpot as an "Engaged Lead."</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Journey 2: Shared Reviewer Engagement (The Viral Loop)</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Trigger &amp; Entry Point:</w:t>
      </w:r>
      <w:r w:rsidDel="00000000" w:rsidR="00000000" w:rsidRPr="00000000">
        <w:rPr>
          <w:rFonts w:ascii="Google Sans" w:cs="Google Sans" w:eastAsia="Google Sans" w:hAnsi="Google Sans"/>
          <w:color w:val="1f1f1f"/>
          <w:rtl w:val="0"/>
        </w:rPr>
        <w:t xml:space="preserve"> An authorized customer shares their custom brief URL (specflow.ai/share/brief-883921) with their external agency partner or client.</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Step-by-Step Action:</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recipient (Reviewer) loads the shared URL without possessing an account.</w:t>
      </w:r>
    </w:p>
    <w:p w:rsidR="00000000" w:rsidDel="00000000" w:rsidP="00000000" w:rsidRDefault="00000000" w:rsidRPr="00000000" w14:paraId="0000005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page renders a clean layout presenting the interactive document along with a sidebar that prompts: </w:t>
      </w:r>
      <w:r w:rsidDel="00000000" w:rsidR="00000000" w:rsidRPr="00000000">
        <w:rPr>
          <w:rFonts w:ascii="Google Sans" w:cs="Google Sans" w:eastAsia="Google Sans" w:hAnsi="Google Sans"/>
          <w:i w:val="1"/>
          <w:iCs w:val="1"/>
          <w:color w:val="1f1f1f"/>
          <w:rtl w:val="0"/>
        </w:rPr>
        <w:t xml:space="preserve">"Leave a comment or approve this document."</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Authentication Gate:</w:t>
      </w:r>
      <w:r w:rsidDel="00000000" w:rsidR="00000000" w:rsidRPr="00000000">
        <w:rPr>
          <w:rFonts w:ascii="Google Sans" w:cs="Google Sans" w:eastAsia="Google Sans" w:hAnsi="Google Sans"/>
          <w:color w:val="1f1f1f"/>
          <w:rtl w:val="0"/>
        </w:rPr>
        <w:t xml:space="preserve"> The Reviewer clicks to post a feedback comment.</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Guest Profile Capture:</w:t>
      </w:r>
      <w:r w:rsidDel="00000000" w:rsidR="00000000" w:rsidRPr="00000000">
        <w:rPr>
          <w:rFonts w:ascii="Google Sans" w:cs="Google Sans" w:eastAsia="Google Sans" w:hAnsi="Google Sans"/>
          <w:color w:val="1f1f1f"/>
          <w:rtl w:val="0"/>
        </w:rPr>
        <w:t xml:space="preserve"> The sidebar prompts: </w:t>
      </w:r>
      <w:r w:rsidDel="00000000" w:rsidR="00000000" w:rsidRPr="00000000">
        <w:rPr>
          <w:rFonts w:ascii="Google Sans" w:cs="Google Sans" w:eastAsia="Google Sans" w:hAnsi="Google Sans"/>
          <w:i w:val="1"/>
          <w:iCs w:val="1"/>
          <w:color w:val="1f1f1f"/>
          <w:rtl w:val="0"/>
        </w:rPr>
        <w:t xml:space="preserve">"Enter your name and work email to post this comment and stay updated."</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Success State:</w:t>
      </w:r>
      <w:r w:rsidDel="00000000" w:rsidR="00000000" w:rsidRPr="00000000">
        <w:rPr>
          <w:rFonts w:ascii="Google Sans" w:cs="Google Sans" w:eastAsia="Google Sans" w:hAnsi="Google Sans"/>
          <w:color w:val="1f1f1f"/>
          <w:rtl w:val="0"/>
        </w:rPr>
        <w:t xml:space="preserve"> The comment is posted, the original creator receives an email alert, and the Reviewer is captured as a warm referral lead.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3: Data Schemas, Lead Taxonomy, &amp; Event Tracking Matrices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3.1 Lead Property/Entity Typology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granular segment targeting and personalization inside our sales pipelines, we capture the following lead entities: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"lead_properties": {</w:t>
        <w:br w:type="textWrapping"/>
        <w:t xml:space="preserve">    "lead_id": "string (UUID)",</w:t>
        <w:br w:type="textWrapping"/>
        <w:t xml:space="preserve">    "lifecycle_stage": "string (VISITOR | LEAD | MQL | SQL | CUSTOMER)",</w:t>
        <w:br w:type="textWrapping"/>
        <w:t xml:space="preserve">    "lead_score": "integer",</w:t>
        <w:br w:type="textWrapping"/>
        <w:t xml:space="preserve">    "primary_industry": "string (e.g., SaaS, Agency, Fintech, E-commerce)",</w:t>
        <w:br w:type="textWrapping"/>
        <w:t xml:space="preserve">    "specs_generated_count": "integer",</w:t>
        <w:br w:type="textWrapping"/>
        <w:t xml:space="preserve">    "collaboration_network_size": "integer",</w:t>
        <w:br w:type="textWrapping"/>
        <w:t xml:space="preserve">    "cookie_consent_status": "boolean"</w:t>
        <w:br w:type="textWrapping"/>
        <w:t xml:space="preserve">  }</w:t>
        <w:br w:type="textWrapping"/>
        <w:t xml:space="preserve">}</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3.2 Required Analytics Data Schema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track specific analytics events across Segment, Mixpanel, and HubSpot to monitor the performance of this viral campaign: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Condition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Properties Captured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brief_generation_started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Visitor enters text into step 1 of the generation wizard.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utm_source, utm_medium, input_method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Mixpanel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brief_preview_rendered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markdown output renders on screen after step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character_count, generation_duration_ms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Mixpanel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brief_export_clicked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clicks the export button, triggering the sign-up modal.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export_format (default: docx), is_authenticated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HubSpot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brief_shared_link_created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copies a public collaboration link to their clipboard.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share_platform (e.g., clipboard, email, slack)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Mixpanel, HubSpot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reviewer_comment_submitted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guest reviewer successfully leaves feedback on a shared brief.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reviewer_relationship, comment_length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HubSpot, ActiveCampaign</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3.3 Lifecycle Funnel States &amp; Transition Rules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[VISITOR] ──(wizard_started)──&gt; [ENGAGED LEAD] ──(email_auth)──&gt; [MQL] ──(multi_share)──&gt; [SQL]</w:t>
        <w:br w:type="textWrapping"/>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Transition 1 (Visitor → Engaged Lead):</w:t>
      </w:r>
      <w:r w:rsidDel="00000000" w:rsidR="00000000" w:rsidRPr="00000000">
        <w:rPr>
          <w:rFonts w:ascii="Google Sans" w:cs="Google Sans" w:eastAsia="Google Sans" w:hAnsi="Google Sans"/>
          <w:color w:val="1f1f1f"/>
          <w:rtl w:val="0"/>
        </w:rPr>
        <w:t xml:space="preserve"> Occurs when brief_generation_started is logged with a completed first-step form payload.</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Transition 2 (Engaged Lead → MQL):</w:t>
      </w:r>
      <w:r w:rsidDel="00000000" w:rsidR="00000000" w:rsidRPr="00000000">
        <w:rPr>
          <w:rFonts w:ascii="Google Sans" w:cs="Google Sans" w:eastAsia="Google Sans" w:hAnsi="Google Sans"/>
          <w:color w:val="1f1f1f"/>
          <w:rtl w:val="0"/>
        </w:rPr>
        <w:t xml:space="preserve"> Occurs when the user completes the registration authentication gate to download their Microsoft Word asset.</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Transition 3 (MQL → SQL):</w:t>
      </w:r>
      <w:r w:rsidDel="00000000" w:rsidR="00000000" w:rsidRPr="00000000">
        <w:rPr>
          <w:rFonts w:ascii="Google Sans" w:cs="Google Sans" w:eastAsia="Google Sans" w:hAnsi="Google Sans"/>
          <w:color w:val="1f1f1f"/>
          <w:rtl w:val="0"/>
        </w:rPr>
        <w:t xml:space="preserve"> Automated state transition triggered when a user's generated brief invites </w:t>
      </w:r>
      <w:r w:rsidDel="00000000" w:rsidR="00000000" w:rsidRPr="00000000">
        <w:rPr>
          <w:rFonts w:ascii="Google Sans" w:cs="Google Sans" w:eastAsia="Google Sans" w:hAnsi="Google Sans"/>
          <w:color w:val="1f1f1f"/>
        </w:rPr>
        <w:drawing>
          <wp:inline distB="19050" distT="19050" distL="19050" distR="19050">
            <wp:extent cx="304850" cy="235322"/>
            <wp:effectExtent b="0" l="0" r="0" t="0"/>
            <wp:docPr id="1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04850" cy="23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unique external reviewers who perform interactive comments.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4: Growth Engines, Computations, &amp; Business Logic</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4.1 Validation Pipelines &amp; Form Routing Rules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database bloating and pipeline pollution from low-quality automated lead generation, the system runs an automated validation sequence upon lead capture: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Input] ──&gt; [Regex &amp; Length Check] ──&gt; [Disposable Email API] ──&gt; [HubSpot Lead Ingestion]</w:t>
        <w:br w:type="textWrapping"/>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Email Domain Verification:</w:t>
      </w:r>
      <w:r w:rsidDel="00000000" w:rsidR="00000000" w:rsidRPr="00000000">
        <w:rPr>
          <w:rFonts w:ascii="Google Sans" w:cs="Google Sans" w:eastAsia="Google Sans" w:hAnsi="Google Sans"/>
          <w:color w:val="1f1f1f"/>
          <w:rtl w:val="0"/>
        </w:rPr>
        <w:t xml:space="preserve"> Every input email is parsed against an active list of disposable email hosts (e.g., Mailinator, TempMail). Disposable inputs are blocked.</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Minimum Content Thresholds:</w:t>
      </w:r>
      <w:r w:rsidDel="00000000" w:rsidR="00000000" w:rsidRPr="00000000">
        <w:rPr>
          <w:rFonts w:ascii="Google Sans" w:cs="Google Sans" w:eastAsia="Google Sans" w:hAnsi="Google Sans"/>
          <w:color w:val="1f1f1f"/>
          <w:rtl w:val="0"/>
        </w:rPr>
        <w:t xml:space="preserve"> Text boxes must meet structural criteria to prevent gibberish submissions. For example, the objectives field must contain at least 15 characters and at least three distinct words.</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Lead Routing:</w:t>
      </w:r>
      <w:r w:rsidDel="00000000" w:rsidR="00000000" w:rsidRPr="00000000">
        <w:rPr>
          <w:rFonts w:ascii="Google Sans" w:cs="Google Sans" w:eastAsia="Google Sans" w:hAnsi="Google Sans"/>
          <w:color w:val="1f1f1f"/>
          <w:rtl w:val="0"/>
        </w:rPr>
        <w:t xml:space="preserve"> If the email domain matches a registered corporate domain (checked via Clearbit API), the lead is routed to our Inside Sales Team for custom outreach. Free/personal domains (e.g., Gmail, Yahoo) are routed to an automated nurturing sequence.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4.2 Mathematical Formulas &amp; Conversion Logic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prioritize sales follow-up, our platform calculates a dynamic Lead Score (</w:t>
      </w:r>
      <w:r w:rsidDel="00000000" w:rsidR="00000000" w:rsidRPr="00000000">
        <w:rPr>
          <w:rFonts w:ascii="Google Sans" w:cs="Google Sans" w:eastAsia="Google Sans" w:hAnsi="Google Sans"/>
          <w:color w:val="1f1f1f"/>
        </w:rPr>
        <w:drawing>
          <wp:inline distB="19050" distT="19050" distL="19050" distR="19050">
            <wp:extent cx="223325" cy="25056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3325" cy="250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real-time. This algorithm weights user behavior, industry profile, and collaborative viral sharing actions: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049"/>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5500" cy="461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63802" cy="246101"/>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3802" cy="2461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Estimated Company Size Score (</w:t>
      </w:r>
      <w:r w:rsidDel="00000000" w:rsidR="00000000" w:rsidRPr="00000000">
        <w:rPr>
          <w:rFonts w:ascii="Google Sans" w:cs="Google Sans" w:eastAsia="Google Sans" w:hAnsi="Google Sans"/>
          <w:color w:val="1f1f1f"/>
        </w:rPr>
        <w:drawing>
          <wp:inline distB="19050" distT="19050" distL="19050" distR="19050">
            <wp:extent cx="97979" cy="253592"/>
            <wp:effectExtent b="0" l="0" r="0" t="0"/>
            <wp:docPr id="17"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97979" cy="253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95957" cy="233030"/>
            <wp:effectExtent b="0" l="0" r="0" t="0"/>
            <wp:docPr id="16"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95957" cy="233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derived via domain enrichment API).</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73191" cy="244570"/>
            <wp:effectExtent b="0" l="0" r="0" t="0"/>
            <wp:docPr id="2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3191" cy="2445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count of specifications generated by the lead inside our platform.</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93237" cy="247793"/>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3237" cy="247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external reviewer engagement rate, calculated as:</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559361"/>
            <wp:effectExtent b="0" l="0" r="0" t="0"/>
            <wp:docPr id="2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05500" cy="559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weight constants are strictly defined as: </w:t>
      </w:r>
      <w:r w:rsidDel="00000000" w:rsidR="00000000" w:rsidRPr="00000000">
        <w:rPr>
          <w:rFonts w:ascii="Google Sans" w:cs="Google Sans" w:eastAsia="Google Sans" w:hAnsi="Google Sans"/>
          <w:color w:val="1f1f1f"/>
        </w:rPr>
        <w:drawing>
          <wp:inline distB="19050" distT="19050" distL="19050" distR="19050">
            <wp:extent cx="828311" cy="244246"/>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828311" cy="244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8311" cy="244246"/>
            <wp:effectExtent b="0" l="0" r="0" t="0"/>
            <wp:docPr id="2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828311" cy="244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28311" cy="244246"/>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828311" cy="244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Leads with an </w:t>
      </w:r>
      <w:r w:rsidDel="00000000" w:rsidR="00000000" w:rsidRPr="00000000">
        <w:rPr>
          <w:rFonts w:ascii="Google Sans" w:cs="Google Sans" w:eastAsia="Google Sans" w:hAnsi="Google Sans"/>
          <w:color w:val="1f1f1f"/>
        </w:rPr>
        <w:drawing>
          <wp:inline distB="19050" distT="19050" distL="19050" distR="19050">
            <wp:extent cx="734963" cy="244988"/>
            <wp:effectExtent b="0" l="0" r="0" t="0"/>
            <wp:docPr id="2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734963" cy="244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instantly tagged as "High Priority SQL" and synced to our Active Salesforce Queue.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4.3 Personalization &amp; Dynamic Client Rendering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registered lead logs back into the platform, their past activity influences what they see:</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their past briefs focused heavily on </w:t>
      </w:r>
      <w:r w:rsidDel="00000000" w:rsidR="00000000" w:rsidRPr="00000000">
        <w:rPr>
          <w:rFonts w:ascii="Google Sans" w:cs="Google Sans" w:eastAsia="Google Sans" w:hAnsi="Google Sans"/>
          <w:b w:val="1"/>
          <w:bCs w:val="1"/>
          <w:color w:val="1f1f1f"/>
          <w:rtl w:val="0"/>
        </w:rPr>
        <w:t xml:space="preserve">Fintech</w:t>
      </w:r>
      <w:r w:rsidDel="00000000" w:rsidR="00000000" w:rsidRPr="00000000">
        <w:rPr>
          <w:rFonts w:ascii="Google Sans" w:cs="Google Sans" w:eastAsia="Google Sans" w:hAnsi="Google Sans"/>
          <w:color w:val="1f1f1f"/>
          <w:rtl w:val="0"/>
        </w:rPr>
        <w:t xml:space="preserve">, the templates, tone examples, and sample metadata boxes rendered inside the wizard adapt automatically to reflect financial regulatory compliance layouts.</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their referral link came from an agency, we dynamically display a banner offering specialized </w:t>
      </w:r>
      <w:r w:rsidDel="00000000" w:rsidR="00000000" w:rsidRPr="00000000">
        <w:rPr>
          <w:rFonts w:ascii="Google Sans" w:cs="Google Sans" w:eastAsia="Google Sans" w:hAnsi="Google Sans"/>
          <w:b w:val="1"/>
          <w:bCs w:val="1"/>
          <w:color w:val="1f1f1f"/>
          <w:rtl w:val="0"/>
        </w:rPr>
        <w:t xml:space="preserve">White-Label Specification Branding</w:t>
      </w:r>
      <w:r w:rsidDel="00000000" w:rsidR="00000000" w:rsidRPr="00000000">
        <w:rPr>
          <w:rFonts w:ascii="Google Sans" w:cs="Google Sans" w:eastAsia="Google Sans" w:hAnsi="Google Sans"/>
          <w:color w:val="1f1f1f"/>
          <w:rtl w:val="0"/>
        </w:rPr>
        <w:t xml:space="preserve"> options to increase their workspace conversion potential.</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5: MarTech Architecture &amp; External Integrations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5.1 Architecture &amp; Component Mapping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diagram outlines the flow of user action data from our client application down through our core data ingestion layers and out to secondary tracking platforms: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Client Application                        |</w:t>
        <w:br w:type="textWrapping"/>
        <w:t xml:space="preserve">|   (GTM Scripts / Form Listener / Consent Manager / UI Engine)   |</w:t>
        <w:br w:type="textWrapping"/>
        <w:t xml:space="preserve">+-------------------------------+---------------------------------+</w:t>
        <w:br w:type="textWrapping"/>
        <w:t xml:space="preserve">                                |</w:t>
        <w:br w:type="textWrapping"/>
        <w:t xml:space="preserve">                                v</w:t>
        <w:br w:type="textWrapping"/>
        <w:t xml:space="preserve">+-----------------------------------------------------------------+</w:t>
        <w:br w:type="textWrapping"/>
        <w:t xml:space="preserve">|                         Segment CDP                             |</w:t>
        <w:br w:type="textWrapping"/>
        <w:t xml:space="preserve">|        (Core Client-Side &amp; Server-Side Data Ingestion)          |</w:t>
        <w:br w:type="textWrapping"/>
        <w:t xml:space="preserve">+-------+-----------------------+-------------------------+-------+</w:t>
        <w:br w:type="textWrapping"/>
        <w:t xml:space="preserve">        |                       |                         |</w:t>
        <w:br w:type="textWrapping"/>
        <w:t xml:space="preserve">        v                       v                         v</w:t>
        <w:br w:type="textWrapping"/>
        <w:t xml:space="preserve">+---------------+       +---------------+       +-----------------+</w:t>
        <w:br w:type="textWrapping"/>
        <w:t xml:space="preserve">|   Mixpanel    |       |  HubSpot CRM  |       | Meta Conversions|</w:t>
        <w:br w:type="textWrapping"/>
        <w:t xml:space="preserve">|  (Product/UI  |       | (Sales Pipeline |     |   (Paid Ad Ad   |</w:t>
        <w:br w:type="textWrapping"/>
        <w:t xml:space="preserve">|  Performance) |       |  &amp; Nurturing) |       |  Attribution)   |</w:t>
        <w:br w:type="textWrapping"/>
        <w:t xml:space="preserve">+---------------+       +---------------+       +-----------------+</w:t>
        <w:br w:type="textWrapping"/>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5.2 System Liability Boundaries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boundary between SpecFlow AI's application and external platforms is strictly defined at the API handoff point. Once lead payloads are validated and successfully received by HubSpot (indicated by an HTTP 201 Created response), the delivery and tracking of promotional emails, drip sequences, and sales representative alerts fall entirely on HubSpot's platform infrastructure. SpecFlow's internal database only stores the delivery success flag, preventing continuous synchronization requests from degrading core app performance.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5.3 Integration Contracts &amp; API Webhooks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utilize outbound webhooks to keep marketing tools updated when collaborative interactions occur on shared assets: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Webhook Event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Destination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Structure (JSON Sample)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spec.comment_added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api.hubspot.com/v3/events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{"event_id": "evt_991823", "spec_id": "sf_9901", "reviewer_email": "partner@agency.com", "comment_count":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HMAC-SHA256 Signature Header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spec.export_completed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track.customer.io/events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 "user@company.com", "export_type": "docx", "spec_title": "Q3 Marketing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Bearer Token in HTTP Header</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5.4 SLA &amp; Data Synchronization Sync Windows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application resources, we balance tracking priority with dynamic update frequencies: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Connection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Sync Target Window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SLA Boundary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Retry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UI to Segment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Streaming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97095" cy="207532"/>
                  <wp:effectExtent b="0" l="0" r="0" t="0"/>
                  <wp:docPr id="2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697095" cy="20753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Cache local events in browser memory if offline; retry upon connection.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to HubSpot CRM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Near 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80483" cy="208114"/>
                  <wp:effectExtent b="0" l="0" r="0" t="0"/>
                  <wp:docPr id="2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880483" cy="2081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 backoff retry triggered by Segment destination controller.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Customer.io Email Triggering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Near 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66883" cy="206057"/>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966883" cy="20605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Queue event; retry up to 5 times over an hour before throwing admin alert.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to Mixpanel Reports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Hourly Micro-batch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58564" cy="207129"/>
                  <wp:effectExtent b="0" l="0" r="0" t="0"/>
                  <wp:docPr id="2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58564" cy="2071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Fail-safe pipeline logs error; re-attempts batch execution at next interval.</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6: Workflow Orchestration &amp; Data Lifecycles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6.1 Execution Pipelines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clicks "Export to Microsoft Word," the backend executes a highly orchestrated file creation process: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Clicks Export] ──&gt; [Check Auth] ──&gt; [Load Content Schema] ──&gt; [Parse as .docx XML] ──&gt; [Send to Client]</w:t>
        <w:br w:type="textWrapping"/>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 &amp; Identity Verification:</w:t>
      </w:r>
      <w:r w:rsidDel="00000000" w:rsidR="00000000" w:rsidRPr="00000000">
        <w:rPr>
          <w:rFonts w:ascii="Google Sans" w:cs="Google Sans" w:eastAsia="Google Sans" w:hAnsi="Google Sans"/>
          <w:color w:val="1f1f1f"/>
          <w:rtl w:val="0"/>
        </w:rPr>
        <w:t xml:space="preserve"> The backend confirms session token validity. If missing, it saves the draft workspace ID in-memory and launches the front-end login modal.</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Template Merging:</w:t>
      </w:r>
      <w:r w:rsidDel="00000000" w:rsidR="00000000" w:rsidRPr="00000000">
        <w:rPr>
          <w:rFonts w:ascii="Google Sans" w:cs="Google Sans" w:eastAsia="Google Sans" w:hAnsi="Google Sans"/>
          <w:color w:val="1f1f1f"/>
          <w:rtl w:val="0"/>
        </w:rPr>
        <w:t xml:space="preserve"> The structured markdown content, metadata table, and control headers are parsed. An internal template processor maps these variables to predefined, brand-approved Microsoft Word style blocks (Word Heading 1, Heading 2, Table styles).</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Compilation &amp; S3 Delivery:</w:t>
      </w:r>
      <w:r w:rsidDel="00000000" w:rsidR="00000000" w:rsidRPr="00000000">
        <w:rPr>
          <w:rFonts w:ascii="Google Sans" w:cs="Google Sans" w:eastAsia="Google Sans" w:hAnsi="Google Sans"/>
          <w:color w:val="1f1f1f"/>
          <w:rtl w:val="0"/>
        </w:rPr>
        <w:t xml:space="preserve"> The processor generates a clean, compliant open-XML format document (.docx) and hosts it on an encrypted Amazon S3 bucket.</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 Download &amp; Retention Tracking:</w:t>
      </w:r>
      <w:r w:rsidDel="00000000" w:rsidR="00000000" w:rsidRPr="00000000">
        <w:rPr>
          <w:rFonts w:ascii="Google Sans" w:cs="Google Sans" w:eastAsia="Google Sans" w:hAnsi="Google Sans"/>
          <w:color w:val="1f1f1f"/>
          <w:rtl w:val="0"/>
        </w:rPr>
        <w:t xml:space="preserve"> The download link is served to the client browser, prompting an automated browser-level download sequence, and the platform updates specs_generated_count on the user's lead profile.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6.2 Event Queueing &amp; Retries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peak traffic conditions (e.g., when a viral campaign is picked up by a major tech newsletter), the platform handles outbound tracking queues using an asynchronous Redis message broker:</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Webhook requests targeting external networks are assigned to background queues.</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an external API (like HubSpot) returns a 429 Too Many Requests status, the worker task enters a retry queue with exponential backoff delay intervals of </w:t>
      </w:r>
      <w:r w:rsidDel="00000000" w:rsidR="00000000" w:rsidRPr="00000000">
        <w:rPr>
          <w:rFonts w:ascii="Google Sans" w:cs="Google Sans" w:eastAsia="Google Sans" w:hAnsi="Google Sans"/>
          <w:color w:val="1f1f1f"/>
        </w:rPr>
        <w:drawing>
          <wp:inline distB="19050" distT="19050" distL="19050" distR="19050">
            <wp:extent cx="175204" cy="240905"/>
            <wp:effectExtent b="0" l="0" r="0" t="0"/>
            <wp:docPr id="3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175204" cy="240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5204" cy="240905"/>
            <wp:effectExtent b="0" l="0" r="0" t="0"/>
            <wp:docPr id="31"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75204" cy="240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5204" cy="240905"/>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75204" cy="240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3183" cy="231155"/>
            <wp:effectExtent b="0" l="0" r="0" t="0"/>
            <wp:docPr id="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73183" cy="231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73183" cy="231155"/>
            <wp:effectExtent b="0" l="0" r="0" t="0"/>
            <wp:docPr id="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73183" cy="2311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logging a system failure.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7: Notification Lifecycles &amp; Lifecycle Communication Protocols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7.1 State Event Notification Matrix</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Keeping users and sales teams informed at critical conversion milestones is key to driving pipeline movement:</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Recipient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 Template Reference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Delivery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Brief Generated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 (Transactional)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tpl_brief_first_export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 immediately upon registration completion. Include download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Reviewer Leaves Comment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 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Email + In-app 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tpl_reviewer_feedback_alert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Throttle: Max 1 email notification per 30 minutes to prevent user spam.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 Lead Score Met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Inside Account Exec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Slack 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msg_sql_assignment_alert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 instantly to the designated regional sales channel for routing.</w:t>
            </w:r>
          </w:p>
        </w:tc>
      </w:tr>
    </w:tbl>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7.2 Graceful System Outage Messaging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our background template generator or cloud storage servers experience an outage, the platform ensures the frontend experience degrades gracefully:</w:t>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Instead of throwing a raw system failure or technical trace error, the user is presented with a polite UI dialog: </w:t>
      </w:r>
      <w:r w:rsidDel="00000000" w:rsidR="00000000" w:rsidRPr="00000000">
        <w:rPr>
          <w:rFonts w:ascii="Google Sans" w:cs="Google Sans" w:eastAsia="Google Sans" w:hAnsi="Google Sans"/>
          <w:i w:val="1"/>
          <w:iCs w:val="1"/>
          <w:color w:val="1f1f1f"/>
          <w:rtl w:val="0"/>
        </w:rPr>
        <w:t xml:space="preserve">"We are experiencing high document processing volume. Your professional brief is saved securely. Enter your email address and we will deliver your Microsoft Word document to your inbox as soon as processing finishes."</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Behind the scenes, the browser saves their workspace draft in local storage and queues the generation task, maintaining brand integrity while securing the lead.</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8: Complete Edge Case &amp; Analytics Exception Handling Matrix</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Table 8.1: Incomplete Forms, Blocked Cookies, &amp; Consent Refusal Edge Cases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System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Visitor abandons wizard mid-step (e.g., completes Step 2 but leaves on Step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saves the inputs in-memory. If they return within 30 days, their draft inputs are restored to the interface.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Logs a funnel_drop_step_2 event to Mixpanel to help identify friction fields.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rejects all marketing cookies on site arrival but completes brief wizard.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wizard runs perfectly using dynamic react state, but no local storage tags or cookies are 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Mixpanel tracking. A generic, anonymized HTTP server counter increments for total brief volume.</w:t>
            </w:r>
          </w:p>
        </w:tc>
      </w:tr>
    </w:tbl>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Table 8.2: Outbound Webhook Timeouts &amp; MarTech Platform Outage Edge Cases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System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HubSpot API experiences an outage while routing a high-value SQL lead.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lead payload is stored in our Redis "Outage Buffer Queue." The system retries sending every 5 minutes.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user continues to download their spec; the outage remains invisible to them. The lead profile is updated once HubSpot recovers.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Microsoft Word template rendering engine crashes during a user's export click.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client app catches the error, switches format instantly, and delivers a beautifully clean PDF document with a apology note for the minor format shift.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Logs an internal pdf_fallback_triggered telemetry event to notify DevOps teams.</w:t>
            </w:r>
          </w:p>
        </w:tc>
      </w:tr>
    </w:tbl>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Table 8.3: Duplicate Lead Submissions, Referral Exploits, &amp; Bot Attacks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System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visitor submits the generation wizard 50 times in 1 hour using a bot script.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system's rate limiter blocks the IP address from generating further specs.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administrative alert is sent to security teams. All associated garbage analytical events are purged.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registered user invites themselves as a reviewer using an alias email to inflate their referral 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checks the creator's IP address against the reviewer's IP address. If identical, the referral action is marked invalid.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collaboration_network_size count remains unchanged, protecting lead quality.</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9: Marketing Telemetry, Conversion Dashboards, &amp; Operational Monitoring</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9.1 Core Performance Instrumentation Matrix</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track these key metrics across our growth dashboards to monitor the health and performance of the campaign:</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Performance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Calculation 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Campaign KPI Goal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Dashboard Placement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Lead-to-MQL Conversion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 User Profile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99319" cy="209392"/>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99319" cy="2093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 CMO Executive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Viral Share Coefficient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59081" cy="21741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59081" cy="217410"/>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-Factor)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249575" cy="218011"/>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1249575" cy="21801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96846" cy="218097"/>
                  <wp:effectExtent b="0" l="0" r="0" t="0"/>
                  <wp:docPr id="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696846" cy="2180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(excellent viral loop)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Acquisition &amp; Growth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Word Export Success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 API response tracker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33760" cy="205972"/>
                  <wp:effectExtent b="0" l="0" r="0" t="0"/>
                  <wp:docPr id="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33760" cy="20597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success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Operations Control 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SQL Pipeline Pipeline Contribution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HubSpot CRM tracking records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16839" cy="209436"/>
                  <wp:effectExtent b="0" l="0" r="0" t="0"/>
                  <wp:docPr id="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16839" cy="2094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total pipeline revenue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Marketing ROI Board</w:t>
            </w:r>
          </w:p>
        </w:tc>
      </w:tr>
    </w:tbl>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9.2 Operational Alerts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marketing operations team receives high-priority Slack alerts when any of the following operational anomalies occur:</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Webhook Error Spike Alert:</w:t>
      </w:r>
      <w:r w:rsidDel="00000000" w:rsidR="00000000" w:rsidRPr="00000000">
        <w:rPr>
          <w:rFonts w:ascii="Google Sans" w:cs="Google Sans" w:eastAsia="Google Sans" w:hAnsi="Google Sans"/>
          <w:color w:val="1f1f1f"/>
          <w:rtl w:val="0"/>
        </w:rPr>
        <w:t xml:space="preserve"> If webhook transmission failures to HubSpot exceed </w:t>
      </w:r>
      <w:r w:rsidDel="00000000" w:rsidR="00000000" w:rsidRPr="00000000">
        <w:rPr>
          <w:rFonts w:ascii="Google Sans" w:cs="Google Sans" w:eastAsia="Google Sans" w:hAnsi="Google Sans"/>
          <w:color w:val="1f1f1f"/>
        </w:rPr>
        <w:drawing>
          <wp:inline distB="19050" distT="19050" distL="19050" distR="19050">
            <wp:extent cx="261194" cy="239427"/>
            <wp:effectExtent b="0" l="0" r="0" t="0"/>
            <wp:docPr id="1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261194" cy="2394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any 10-minute window.</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Lead Generation Drop Alert:</w:t>
      </w:r>
      <w:r w:rsidDel="00000000" w:rsidR="00000000" w:rsidRPr="00000000">
        <w:rPr>
          <w:rFonts w:ascii="Google Sans" w:cs="Google Sans" w:eastAsia="Google Sans" w:hAnsi="Google Sans"/>
          <w:color w:val="1f1f1f"/>
          <w:rtl w:val="0"/>
        </w:rPr>
        <w:t xml:space="preserve"> If total hourly brief creations drop by more than </w:t>
      </w:r>
      <w:r w:rsidDel="00000000" w:rsidR="00000000" w:rsidRPr="00000000">
        <w:rPr>
          <w:rFonts w:ascii="Google Sans" w:cs="Google Sans" w:eastAsia="Google Sans" w:hAnsi="Google Sans"/>
          <w:color w:val="1f1f1f"/>
        </w:rPr>
        <w:drawing>
          <wp:inline distB="19050" distT="19050" distL="19050" distR="19050">
            <wp:extent cx="359090" cy="232352"/>
            <wp:effectExtent b="0" l="0" r="0" t="0"/>
            <wp:docPr id="1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59090" cy="23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the 7-day rolling historical average, indicating a possible breaking change in our client script.</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Section 10: Non-Goals &amp; Growth Scope Exclusions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functional updates are explicitly excluded from this release scope to preserve launch velocity and prevent scope creep:</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Integration with Third-Party Design Platforms:</w:t>
      </w:r>
      <w:r w:rsidDel="00000000" w:rsidR="00000000" w:rsidRPr="00000000">
        <w:rPr>
          <w:rFonts w:ascii="Google Sans" w:cs="Google Sans" w:eastAsia="Google Sans" w:hAnsi="Google Sans"/>
          <w:color w:val="1f1f1f"/>
          <w:rtl w:val="0"/>
        </w:rPr>
        <w:t xml:space="preserve"> Providing direct output formatting to platforms like Figma or Canva is excluded from the current template architecture, as these platforms do not natively support standard open-XML document streams without heavy, bespoke transformations.</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In-App Chat Rooms:</w:t>
      </w:r>
      <w:r w:rsidDel="00000000" w:rsidR="00000000" w:rsidRPr="00000000">
        <w:rPr>
          <w:rFonts w:ascii="Google Sans" w:cs="Google Sans" w:eastAsia="Google Sans" w:hAnsi="Google Sans"/>
          <w:color w:val="1f1f1f"/>
          <w:rtl w:val="0"/>
        </w:rPr>
        <w:t xml:space="preserve"> While collaborative commenting is supported on shared briefs, adding full real-time chat rooms with direct presence indicators is excluded, as this would draw engineering resources away from our core paid platform infrastructure.</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Spec Formatting Services:</w:t>
      </w:r>
      <w:r w:rsidDel="00000000" w:rsidR="00000000" w:rsidRPr="00000000">
        <w:rPr>
          <w:rFonts w:ascii="Google Sans" w:cs="Google Sans" w:eastAsia="Google Sans" w:hAnsi="Google Sans"/>
          <w:color w:val="1f1f1f"/>
          <w:rtl w:val="0"/>
        </w:rPr>
        <w:t xml:space="preserve"> We will not offer human-driven document review services as part of this campaign. The brief generation is entirely automated, and any structural styling support is managed algorithmically through prebuilt document stylesheets.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6.png"/><Relationship Id="rId21" Type="http://schemas.openxmlformats.org/officeDocument/2006/relationships/image" Target="media/image18.png"/><Relationship Id="rId24" Type="http://schemas.openxmlformats.org/officeDocument/2006/relationships/image" Target="media/image3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3.png"/><Relationship Id="rId7" Type="http://schemas.openxmlformats.org/officeDocument/2006/relationships/image" Target="media/image27.png"/><Relationship Id="rId8" Type="http://schemas.openxmlformats.org/officeDocument/2006/relationships/image" Target="media/image2.png"/><Relationship Id="rId31" Type="http://schemas.openxmlformats.org/officeDocument/2006/relationships/image" Target="media/image6.png"/><Relationship Id="rId30" Type="http://schemas.openxmlformats.org/officeDocument/2006/relationships/image" Target="media/image9.png"/><Relationship Id="rId11" Type="http://schemas.openxmlformats.org/officeDocument/2006/relationships/image" Target="media/image30.png"/><Relationship Id="rId33" Type="http://schemas.openxmlformats.org/officeDocument/2006/relationships/image" Target="media/image28.png"/><Relationship Id="rId10" Type="http://schemas.openxmlformats.org/officeDocument/2006/relationships/image" Target="media/image13.png"/><Relationship Id="rId32" Type="http://schemas.openxmlformats.org/officeDocument/2006/relationships/image" Target="media/image15.png"/><Relationship Id="rId13" Type="http://schemas.openxmlformats.org/officeDocument/2006/relationships/image" Target="media/image1.png"/><Relationship Id="rId35" Type="http://schemas.openxmlformats.org/officeDocument/2006/relationships/image" Target="media/image14.png"/><Relationship Id="rId12" Type="http://schemas.openxmlformats.org/officeDocument/2006/relationships/image" Target="media/image29.png"/><Relationship Id="rId34"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5.png"/><Relationship Id="rId36"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20.png"/><Relationship Id="rId19" Type="http://schemas.openxmlformats.org/officeDocument/2006/relationships/image" Target="media/image2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