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ind w:left="-360" w:firstLine="0"/>
        <w:rPr/>
      </w:pPr>
      <w:bookmarkStart w:colFirst="0" w:colLast="0" w:name="_heading=h.gjdgxs" w:id="0"/>
      <w:bookmarkEnd w:id="0"/>
      <w:r w:rsidDel="00000000" w:rsidR="00000000" w:rsidRPr="00000000">
        <w:rPr>
          <w:b w:val="1"/>
          <w:color w:val="4a86e8"/>
          <w:sz w:val="40"/>
          <w:szCs w:val="40"/>
          <w:rtl w:val="0"/>
        </w:rPr>
        <w:t xml:space="preserve">Data</w:t>
      </w:r>
      <w:r w:rsidDel="00000000" w:rsidR="00000000" w:rsidRPr="00000000">
        <w:rPr>
          <w:rFonts w:ascii="Arial" w:cs="Arial" w:eastAsia="Arial" w:hAnsi="Arial"/>
          <w:b w:val="1"/>
          <w:color w:val="4a86e8"/>
          <w:sz w:val="40"/>
          <w:szCs w:val="40"/>
          <w:rtl w:val="0"/>
        </w:rPr>
        <w:t xml:space="preserve"> leak </w:t>
      </w:r>
      <w:r w:rsidDel="00000000" w:rsidR="00000000" w:rsidRPr="00000000">
        <w:rPr>
          <w:b w:val="1"/>
          <w:color w:val="4a86e8"/>
          <w:sz w:val="40"/>
          <w:szCs w:val="40"/>
          <w:rtl w:val="0"/>
        </w:rPr>
        <w:t xml:space="preserve">worksheet</w:t>
      </w:r>
      <w:r w:rsidDel="00000000" w:rsidR="00000000" w:rsidRPr="00000000">
        <w:rPr>
          <w:rtl w:val="0"/>
        </w:rPr>
      </w:r>
    </w:p>
    <w:p w:rsidR="00000000" w:rsidDel="00000000" w:rsidP="00000000" w:rsidRDefault="00000000" w:rsidRPr="00000000" w14:paraId="00000002">
      <w:pPr>
        <w:ind w:left="-360" w:firstLine="0"/>
        <w:rPr/>
      </w:pPr>
      <w:r w:rsidDel="00000000" w:rsidR="00000000" w:rsidRPr="00000000">
        <w:rPr>
          <w:rtl w:val="0"/>
        </w:rPr>
      </w:r>
    </w:p>
    <w:p w:rsidR="00000000" w:rsidDel="00000000" w:rsidP="00000000" w:rsidRDefault="00000000" w:rsidRPr="00000000" w14:paraId="00000003">
      <w:pPr>
        <w:ind w:left="-360" w:right="-360" w:firstLine="0"/>
        <w:rPr/>
      </w:pPr>
      <w:r w:rsidDel="00000000" w:rsidR="00000000" w:rsidRPr="00000000">
        <w:rPr>
          <w:b w:val="1"/>
          <w:rtl w:val="0"/>
        </w:rPr>
        <w:t xml:space="preserve">Incident summary:</w:t>
      </w:r>
      <w:r w:rsidDel="00000000" w:rsidR="00000000" w:rsidRPr="00000000">
        <w:rPr>
          <w:rtl w:val="0"/>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rsidR="00000000" w:rsidDel="00000000" w:rsidP="00000000" w:rsidRDefault="00000000" w:rsidRPr="00000000" w14:paraId="00000004">
      <w:pPr>
        <w:ind w:left="-360" w:right="-360" w:firstLine="0"/>
        <w:rPr/>
      </w:pPr>
      <w:r w:rsidDel="00000000" w:rsidR="00000000" w:rsidRPr="00000000">
        <w:rPr>
          <w:rtl w:val="0"/>
        </w:rPr>
      </w:r>
    </w:p>
    <w:p w:rsidR="00000000" w:rsidDel="00000000" w:rsidP="00000000" w:rsidRDefault="00000000" w:rsidRPr="00000000" w14:paraId="00000005">
      <w:pPr>
        <w:ind w:left="-360" w:right="-360" w:firstLine="0"/>
        <w:rPr/>
      </w:pPr>
      <w:r w:rsidDel="00000000" w:rsidR="00000000" w:rsidRPr="00000000">
        <w:rPr>
          <w:rtl w:val="0"/>
        </w:rPr>
        <w:t xml:space="preserve">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rsidR="00000000" w:rsidDel="00000000" w:rsidP="00000000" w:rsidRDefault="00000000" w:rsidRPr="00000000" w14:paraId="00000006">
      <w:pPr>
        <w:ind w:left="-360" w:right="-360" w:firstLine="0"/>
        <w:rPr/>
      </w:pP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55"/>
        <w:gridCol w:w="2985"/>
        <w:gridCol w:w="2985"/>
        <w:tblGridChange w:id="0">
          <w:tblGrid>
            <w:gridCol w:w="2355"/>
            <w:gridCol w:w="1755"/>
            <w:gridCol w:w="2985"/>
            <w:gridCol w:w="2985"/>
          </w:tblGrid>
        </w:tblGridChange>
      </w:tblGrid>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07">
            <w:pPr>
              <w:widowControl w:val="0"/>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Control</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ind w:left="0" w:firstLine="0"/>
              <w:rPr>
                <w:b w:val="1"/>
                <w:color w:val="434343"/>
              </w:rPr>
            </w:pPr>
            <w:r w:rsidDel="00000000" w:rsidR="00000000" w:rsidRPr="00000000">
              <w:rPr>
                <w:b w:val="1"/>
                <w:color w:val="434343"/>
                <w:rtl w:val="0"/>
              </w:rPr>
              <w:t xml:space="preserve">Least privilege</w:t>
            </w:r>
          </w:p>
        </w:tc>
      </w:tr>
      <w:tr>
        <w:trPr>
          <w:cantSplit w:val="0"/>
          <w:trHeight w:val="391.3199999999999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Issue(s)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i w:val="1"/>
              </w:rPr>
            </w:pPr>
            <w:r w:rsidDel="00000000" w:rsidR="00000000" w:rsidRPr="00000000">
              <w:rPr>
                <w:i w:val="1"/>
                <w:rtl w:val="0"/>
              </w:rPr>
              <w:t xml:space="preserve">The issues leading up to the incident stem from the sales manager not revoking shared access to the entire folder. The documents within the folder were then leaked to a business partner due to an error made by a sales representative.</w:t>
            </w:r>
          </w:p>
        </w:tc>
      </w:tr>
      <w:tr>
        <w:trPr>
          <w:cantSplit w:val="0"/>
          <w:trHeight w:val="586.319999999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360" w:lineRule="auto"/>
              <w:ind w:left="0" w:firstLine="0"/>
              <w:rPr>
                <w:rFonts w:ascii="Arial" w:cs="Arial" w:eastAsia="Arial" w:hAnsi="Arial"/>
                <w:b w:val="1"/>
              </w:rPr>
            </w:pPr>
            <w:r w:rsidDel="00000000" w:rsidR="00000000" w:rsidRPr="00000000">
              <w:rPr>
                <w:b w:val="1"/>
                <w:rtl w:val="0"/>
              </w:rPr>
              <w:t xml:space="preserve">Review</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i w:val="1"/>
              </w:rPr>
            </w:pPr>
            <w:r w:rsidDel="00000000" w:rsidR="00000000" w:rsidRPr="00000000">
              <w:rPr>
                <w:i w:val="1"/>
                <w:rtl w:val="0"/>
              </w:rPr>
              <w:t xml:space="preserve">The NIST SP 800-53:AC-6 covers how the principle of least privilege can protect against data leaks. The roles and user accounts should be enforced to ensure that higher privileges are not be used by employees who do not have access to them. </w:t>
            </w:r>
          </w:p>
        </w:tc>
      </w:tr>
      <w:tr>
        <w:trPr>
          <w:cantSplit w:val="0"/>
          <w:trHeight w:val="586.319999999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Recommendation(s)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ind w:left="720" w:right="-360" w:hanging="360"/>
              <w:rPr>
                <w:i w:val="1"/>
              </w:rPr>
            </w:pPr>
            <w:r w:rsidDel="00000000" w:rsidR="00000000" w:rsidRPr="00000000">
              <w:rPr>
                <w:rtl w:val="0"/>
              </w:rPr>
              <w:t xml:space="preserve">Restrict access to sensitive resources based on user role.</w:t>
            </w:r>
          </w:p>
          <w:p w:rsidR="00000000" w:rsidDel="00000000" w:rsidP="00000000" w:rsidRDefault="00000000" w:rsidRPr="00000000" w14:paraId="00000015">
            <w:pPr>
              <w:numPr>
                <w:ilvl w:val="0"/>
                <w:numId w:val="1"/>
              </w:numPr>
              <w:ind w:left="720" w:right="-360" w:hanging="360"/>
            </w:pPr>
            <w:r w:rsidDel="00000000" w:rsidR="00000000" w:rsidRPr="00000000">
              <w:rPr>
                <w:rtl w:val="0"/>
              </w:rPr>
              <w:t xml:space="preserve">Regularly audit user privileges.</w:t>
            </w:r>
            <w:r w:rsidDel="00000000" w:rsidR="00000000" w:rsidRPr="00000000">
              <w:rPr>
                <w:rtl w:val="0"/>
              </w:rPr>
            </w:r>
          </w:p>
        </w:tc>
      </w:tr>
      <w:tr>
        <w:trPr>
          <w:cantSplit w:val="0"/>
          <w:trHeight w:val="616.319999999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360" w:lineRule="auto"/>
              <w:ind w:left="0" w:firstLine="0"/>
              <w:rPr>
                <w:rFonts w:ascii="Arial" w:cs="Arial" w:eastAsia="Arial" w:hAnsi="Arial"/>
                <w:b w:val="1"/>
              </w:rPr>
            </w:pPr>
            <w:r w:rsidDel="00000000" w:rsidR="00000000" w:rsidRPr="00000000">
              <w:rPr>
                <w:b w:val="1"/>
                <w:rtl w:val="0"/>
              </w:rPr>
              <w:t xml:space="preserve">Justification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ind w:left="0" w:firstLine="0"/>
              <w:rPr>
                <w:i w:val="1"/>
              </w:rPr>
            </w:pPr>
            <w:r w:rsidDel="00000000" w:rsidR="00000000" w:rsidRPr="00000000">
              <w:rPr>
                <w:i w:val="1"/>
                <w:rtl w:val="0"/>
              </w:rPr>
              <w:t xml:space="preserve">Restricting the access to sensitive resources based on user roles would decrease the likelihood of a leak like this happening again. Because a sales employee had access to information that they should not have, they were able to make that mistake. Regularly auditing user privileges could help expose existing and future user privileges that should not be assigned.</w:t>
            </w:r>
          </w:p>
        </w:tc>
      </w:tr>
    </w:tbl>
    <w:p w:rsidR="00000000" w:rsidDel="00000000" w:rsidP="00000000" w:rsidRDefault="00000000" w:rsidRPr="00000000" w14:paraId="0000001C">
      <w:pPr>
        <w:ind w:left="-360" w:right="-36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ind w:left="-360" w:right="-360" w:firstLine="0"/>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360" w:right="-36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8Kxnm+GgzmrWQkVNLi7PtxOlEw==">CgMxLjAyCGguZ2pkZ3hzOAByITFhOHVVcFNjOXJjZW5GQ05TVnFrcHFnVzhJalJFSE1iWg==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