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spacing w:after="0" w:before="320" w:line="240" w:lineRule="auto"/>
        <w:rPr>
          <w:rFonts w:ascii="Proxima Nova" w:cs="Proxima Nova" w:eastAsia="Proxima Nova" w:hAnsi="Proxima Nova"/>
          <w:b w:val="1"/>
          <w:color w:val="4a86e8"/>
          <w:sz w:val="58"/>
          <w:szCs w:val="58"/>
        </w:rPr>
      </w:pPr>
      <w:bookmarkStart w:colFirst="0" w:colLast="0" w:name="_heading=h.gjdgxs" w:id="0"/>
      <w:bookmarkEnd w:id="0"/>
      <w:r w:rsidDel="00000000" w:rsidR="00000000" w:rsidRPr="00000000">
        <w:rPr>
          <w:rFonts w:ascii="Arial" w:cs="Arial" w:eastAsia="Arial" w:hAnsi="Arial"/>
          <w:b w:val="1"/>
          <w:color w:val="4a86e8"/>
          <w:sz w:val="58"/>
          <w:szCs w:val="58"/>
          <w:rtl w:val="0"/>
        </w:rPr>
        <w:t xml:space="preserve">Vulnerability Assessment Report</w:t>
      </w:r>
      <w:r w:rsidDel="00000000" w:rsidR="00000000" w:rsidRPr="00000000">
        <w:rPr>
          <w:rtl w:val="0"/>
        </w:rPr>
      </w:r>
    </w:p>
    <w:p w:rsidR="00000000" w:rsidDel="00000000" w:rsidP="00000000" w:rsidRDefault="00000000" w:rsidRPr="00000000" w14:paraId="00000002">
      <w:pPr>
        <w:pStyle w:val="Subtitle"/>
        <w:keepNext w:val="0"/>
        <w:keepLines w:val="0"/>
        <w:spacing w:after="0" w:line="240" w:lineRule="auto"/>
        <w:rPr>
          <w:rFonts w:ascii="Arial" w:cs="Arial" w:eastAsia="Arial" w:hAnsi="Arial"/>
          <w:b w:val="1"/>
          <w:sz w:val="28"/>
          <w:szCs w:val="28"/>
        </w:rPr>
      </w:pPr>
      <w:bookmarkStart w:colFirst="0" w:colLast="0" w:name="_heading=h.30j0zll" w:id="1"/>
      <w:bookmarkEnd w:id="1"/>
      <w:r w:rsidDel="00000000" w:rsidR="00000000" w:rsidRPr="00000000">
        <w:rPr>
          <w:rFonts w:ascii="Arial" w:cs="Arial" w:eastAsia="Arial" w:hAnsi="Arial"/>
          <w:b w:val="1"/>
          <w:sz w:val="28"/>
          <w:szCs w:val="28"/>
          <w:rtl w:val="0"/>
        </w:rPr>
        <w:t xml:space="preserve">1</w:t>
      </w:r>
      <w:r w:rsidDel="00000000" w:rsidR="00000000" w:rsidRPr="00000000">
        <w:rPr>
          <w:rFonts w:ascii="Arial" w:cs="Arial" w:eastAsia="Arial" w:hAnsi="Arial"/>
          <w:b w:val="1"/>
          <w:sz w:val="28"/>
          <w:szCs w:val="28"/>
          <w:vertAlign w:val="superscript"/>
          <w:rtl w:val="0"/>
        </w:rPr>
        <w:t xml:space="preserve">st</w:t>
      </w:r>
      <w:r w:rsidDel="00000000" w:rsidR="00000000" w:rsidRPr="00000000">
        <w:rPr>
          <w:rFonts w:ascii="Arial" w:cs="Arial" w:eastAsia="Arial" w:hAnsi="Arial"/>
          <w:b w:val="1"/>
          <w:sz w:val="28"/>
          <w:szCs w:val="28"/>
          <w:rtl w:val="0"/>
        </w:rPr>
        <w:t xml:space="preserve"> January 20XX</w:t>
      </w:r>
    </w:p>
    <w:p w:rsidR="00000000" w:rsidDel="00000000" w:rsidP="00000000" w:rsidRDefault="00000000" w:rsidRPr="00000000" w14:paraId="00000003">
      <w:pPr>
        <w:pStyle w:val="Subtitle"/>
        <w:keepNext w:val="0"/>
        <w:keepLines w:val="0"/>
        <w:spacing w:after="0" w:line="240" w:lineRule="auto"/>
        <w:rPr>
          <w:rFonts w:ascii="Arial" w:cs="Arial" w:eastAsia="Arial" w:hAnsi="Arial"/>
          <w:b w:val="1"/>
          <w:sz w:val="28"/>
          <w:szCs w:val="28"/>
        </w:rPr>
      </w:pPr>
      <w:bookmarkStart w:colFirst="0" w:colLast="0" w:name="_heading=h.1fob9te" w:id="2"/>
      <w:bookmarkEnd w:id="2"/>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1"/>
        <w:keepNext w:val="0"/>
        <w:keepLines w:val="0"/>
        <w:spacing w:after="0" w:before="480" w:line="240" w:lineRule="auto"/>
        <w:rPr>
          <w:rFonts w:ascii="Proxima Nova" w:cs="Proxima Nova" w:eastAsia="Proxima Nova" w:hAnsi="Proxima Nova"/>
          <w:b w:val="1"/>
          <w:color w:val="353744"/>
          <w:sz w:val="28"/>
          <w:szCs w:val="28"/>
        </w:rPr>
      </w:pPr>
      <w:bookmarkStart w:colFirst="0" w:colLast="0" w:name="_heading=h.3znysh7" w:id="3"/>
      <w:bookmarkEnd w:id="3"/>
      <w:r w:rsidDel="00000000" w:rsidR="00000000" w:rsidRPr="00000000">
        <w:rPr>
          <w:rFonts w:ascii="Proxima Nova" w:cs="Proxima Nova" w:eastAsia="Proxima Nova" w:hAnsi="Proxima Nova"/>
          <w:b w:val="1"/>
          <w:color w:val="353744"/>
          <w:sz w:val="28"/>
          <w:szCs w:val="28"/>
          <w:rtl w:val="0"/>
        </w:rPr>
        <w:t xml:space="preserve">System Description</w:t>
      </w:r>
    </w:p>
    <w:p w:rsidR="00000000" w:rsidDel="00000000" w:rsidP="00000000" w:rsidRDefault="00000000" w:rsidRPr="00000000" w14:paraId="00000005">
      <w:pPr>
        <w:spacing w:before="200" w:line="312" w:lineRule="auto"/>
        <w:rPr>
          <w:rFonts w:ascii="Arial" w:cs="Arial" w:eastAsia="Arial" w:hAnsi="Arial"/>
          <w:color w:val="353744"/>
        </w:rPr>
      </w:pPr>
      <w:r w:rsidDel="00000000" w:rsidR="00000000" w:rsidRPr="00000000">
        <w:rPr>
          <w:rFonts w:ascii="Arial" w:cs="Arial" w:eastAsia="Arial" w:hAnsi="Arial"/>
          <w:color w:val="353744"/>
          <w:rtl w:val="0"/>
        </w:rPr>
        <w:t xml:space="preserve">The server hardware consists of a powerful CPU processor and 128GB of memory. It runs on the latest version of Linux operating system and hosts a MySQL database management system. It is configured with a stable network connection using IPv4 addresses and interacts with other servers on the network. Security measures include SSL/TLS encrypted connections.</w:t>
      </w:r>
    </w:p>
    <w:p w:rsidR="00000000" w:rsidDel="00000000" w:rsidP="00000000" w:rsidRDefault="00000000" w:rsidRPr="00000000" w14:paraId="00000006">
      <w:pPr>
        <w:pStyle w:val="Heading1"/>
        <w:keepNext w:val="0"/>
        <w:keepLines w:val="0"/>
        <w:spacing w:after="0" w:before="480" w:line="240" w:lineRule="auto"/>
        <w:rPr>
          <w:rFonts w:ascii="Proxima Nova" w:cs="Proxima Nova" w:eastAsia="Proxima Nova" w:hAnsi="Proxima Nova"/>
          <w:b w:val="1"/>
          <w:color w:val="353744"/>
          <w:sz w:val="28"/>
          <w:szCs w:val="28"/>
        </w:rPr>
      </w:pPr>
      <w:bookmarkStart w:colFirst="0" w:colLast="0" w:name="_heading=h.2et92p0" w:id="4"/>
      <w:bookmarkEnd w:id="4"/>
      <w:r w:rsidDel="00000000" w:rsidR="00000000" w:rsidRPr="00000000">
        <w:rPr>
          <w:rFonts w:ascii="Proxima Nova" w:cs="Proxima Nova" w:eastAsia="Proxima Nova" w:hAnsi="Proxima Nova"/>
          <w:b w:val="1"/>
          <w:color w:val="353744"/>
          <w:sz w:val="28"/>
          <w:szCs w:val="28"/>
          <w:rtl w:val="0"/>
        </w:rPr>
        <w:t xml:space="preserve">Scope</w:t>
      </w:r>
    </w:p>
    <w:p w:rsidR="00000000" w:rsidDel="00000000" w:rsidP="00000000" w:rsidRDefault="00000000" w:rsidRPr="00000000" w14:paraId="00000007">
      <w:pPr>
        <w:spacing w:before="200" w:line="312" w:lineRule="auto"/>
        <w:rPr>
          <w:rFonts w:ascii="Arial" w:cs="Arial" w:eastAsia="Arial" w:hAnsi="Arial"/>
          <w:color w:val="353744"/>
        </w:rPr>
      </w:pPr>
      <w:r w:rsidDel="00000000" w:rsidR="00000000" w:rsidRPr="00000000">
        <w:rPr>
          <w:rFonts w:ascii="Arial" w:cs="Arial" w:eastAsia="Arial" w:hAnsi="Arial"/>
          <w:color w:val="353744"/>
          <w:rtl w:val="0"/>
        </w:rPr>
        <w:t xml:space="preserve">The scope of this vulnerability assessment relates to the current access controls of the system. The assessment will cover a period of three months, from June 20XX to August 20XX. </w:t>
      </w:r>
      <w:hyperlink r:id="rId7">
        <w:r w:rsidDel="00000000" w:rsidR="00000000" w:rsidRPr="00000000">
          <w:rPr>
            <w:rFonts w:ascii="Arial" w:cs="Arial" w:eastAsia="Arial" w:hAnsi="Arial"/>
            <w:color w:val="1155cc"/>
            <w:u w:val="single"/>
            <w:rtl w:val="0"/>
          </w:rPr>
          <w:t xml:space="preserve">NIST SP 800-30 Rev. 1</w:t>
        </w:r>
      </w:hyperlink>
      <w:r w:rsidDel="00000000" w:rsidR="00000000" w:rsidRPr="00000000">
        <w:rPr>
          <w:rFonts w:ascii="Arial" w:cs="Arial" w:eastAsia="Arial" w:hAnsi="Arial"/>
          <w:color w:val="353744"/>
          <w:rtl w:val="0"/>
        </w:rPr>
        <w:t xml:space="preserve"> is used to guide the risk analysis of the information system.</w:t>
      </w:r>
    </w:p>
    <w:p w:rsidR="00000000" w:rsidDel="00000000" w:rsidP="00000000" w:rsidRDefault="00000000" w:rsidRPr="00000000" w14:paraId="00000008">
      <w:pPr>
        <w:pStyle w:val="Heading1"/>
        <w:keepNext w:val="0"/>
        <w:keepLines w:val="0"/>
        <w:spacing w:after="0" w:before="480" w:line="240" w:lineRule="auto"/>
        <w:rPr>
          <w:rFonts w:ascii="Proxima Nova" w:cs="Proxima Nova" w:eastAsia="Proxima Nova" w:hAnsi="Proxima Nova"/>
          <w:b w:val="1"/>
          <w:color w:val="353744"/>
          <w:sz w:val="28"/>
          <w:szCs w:val="28"/>
        </w:rPr>
      </w:pPr>
      <w:bookmarkStart w:colFirst="0" w:colLast="0" w:name="_heading=h.tyjcwt" w:id="5"/>
      <w:bookmarkEnd w:id="5"/>
      <w:r w:rsidDel="00000000" w:rsidR="00000000" w:rsidRPr="00000000">
        <w:rPr>
          <w:rFonts w:ascii="Proxima Nova" w:cs="Proxima Nova" w:eastAsia="Proxima Nova" w:hAnsi="Proxima Nova"/>
          <w:b w:val="1"/>
          <w:color w:val="353744"/>
          <w:sz w:val="28"/>
          <w:szCs w:val="28"/>
          <w:rtl w:val="0"/>
        </w:rPr>
        <w:t xml:space="preserve">Purpose</w:t>
      </w:r>
    </w:p>
    <w:p w:rsidR="00000000" w:rsidDel="00000000" w:rsidP="00000000" w:rsidRDefault="00000000" w:rsidRPr="00000000" w14:paraId="00000009">
      <w:pPr>
        <w:rPr/>
      </w:pPr>
      <w:r w:rsidDel="00000000" w:rsidR="00000000" w:rsidRPr="00000000">
        <w:rPr>
          <w:rtl w:val="0"/>
        </w:rPr>
        <w:t xml:space="preserve">The database contains sensitive information relating to customers and possible future customers. Securing the data on the server is essential in making sure the information used by the sales team is accurate. It will also help with compliance issues, as there are many regulations surrounding the security of secure personally identifiable information. If the server were disabled, no sales would be able to occur.</w:t>
      </w:r>
      <w:r w:rsidDel="00000000" w:rsidR="00000000" w:rsidRPr="00000000">
        <w:rPr>
          <w:rtl w:val="0"/>
        </w:rPr>
      </w:r>
    </w:p>
    <w:p w:rsidR="00000000" w:rsidDel="00000000" w:rsidP="00000000" w:rsidRDefault="00000000" w:rsidRPr="00000000" w14:paraId="0000000A">
      <w:pPr>
        <w:pStyle w:val="Heading1"/>
        <w:keepNext w:val="0"/>
        <w:keepLines w:val="0"/>
        <w:spacing w:after="0" w:before="480" w:line="240" w:lineRule="auto"/>
        <w:rPr>
          <w:rFonts w:ascii="Proxima Nova" w:cs="Proxima Nova" w:eastAsia="Proxima Nova" w:hAnsi="Proxima Nova"/>
          <w:b w:val="1"/>
          <w:color w:val="353744"/>
          <w:sz w:val="28"/>
          <w:szCs w:val="28"/>
        </w:rPr>
      </w:pPr>
      <w:bookmarkStart w:colFirst="0" w:colLast="0" w:name="_heading=h.3dy6vkm" w:id="6"/>
      <w:bookmarkEnd w:id="6"/>
      <w:r w:rsidDel="00000000" w:rsidR="00000000" w:rsidRPr="00000000">
        <w:rPr>
          <w:rFonts w:ascii="Proxima Nova" w:cs="Proxima Nova" w:eastAsia="Proxima Nova" w:hAnsi="Proxima Nova"/>
          <w:b w:val="1"/>
          <w:color w:val="353744"/>
          <w:sz w:val="28"/>
          <w:szCs w:val="28"/>
          <w:rtl w:val="0"/>
        </w:rPr>
        <w:t xml:space="preserve">Risk Assessment</w:t>
      </w:r>
    </w:p>
    <w:p w:rsidR="00000000" w:rsidDel="00000000" w:rsidP="00000000" w:rsidRDefault="00000000" w:rsidRPr="00000000" w14:paraId="0000000B">
      <w:pPr>
        <w:spacing w:line="312" w:lineRule="auto"/>
        <w:rPr>
          <w:rFonts w:ascii="Arial" w:cs="Arial" w:eastAsia="Arial" w:hAnsi="Arial"/>
          <w:color w:val="353744"/>
        </w:rPr>
      </w:pPr>
      <w:r w:rsidDel="00000000" w:rsidR="00000000" w:rsidRPr="00000000">
        <w:rPr>
          <w:rtl w:val="0"/>
        </w:rPr>
      </w:r>
    </w:p>
    <w:tbl>
      <w:tblPr>
        <w:tblStyle w:val="Table1"/>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3615"/>
        <w:gridCol w:w="1395"/>
        <w:gridCol w:w="1320"/>
        <w:gridCol w:w="1110"/>
        <w:tblGridChange w:id="0">
          <w:tblGrid>
            <w:gridCol w:w="1860"/>
            <w:gridCol w:w="3615"/>
            <w:gridCol w:w="1395"/>
            <w:gridCol w:w="1320"/>
            <w:gridCol w:w="111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Arial" w:cs="Arial" w:eastAsia="Arial" w:hAnsi="Arial"/>
                <w:b w:val="1"/>
                <w:color w:val="353744"/>
              </w:rPr>
            </w:pPr>
            <w:r w:rsidDel="00000000" w:rsidR="00000000" w:rsidRPr="00000000">
              <w:rPr>
                <w:rFonts w:ascii="Arial" w:cs="Arial" w:eastAsia="Arial" w:hAnsi="Arial"/>
                <w:b w:val="1"/>
                <w:color w:val="353744"/>
                <w:rtl w:val="0"/>
              </w:rPr>
              <w:t xml:space="preserve">Threat source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Arial" w:cs="Arial" w:eastAsia="Arial" w:hAnsi="Arial"/>
                <w:b w:val="1"/>
                <w:color w:val="353744"/>
              </w:rPr>
            </w:pPr>
            <w:r w:rsidDel="00000000" w:rsidR="00000000" w:rsidRPr="00000000">
              <w:rPr>
                <w:rFonts w:ascii="Arial" w:cs="Arial" w:eastAsia="Arial" w:hAnsi="Arial"/>
                <w:b w:val="1"/>
                <w:color w:val="353744"/>
                <w:rtl w:val="0"/>
              </w:rPr>
              <w:t xml:space="preserve">Threat event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Arial" w:cs="Arial" w:eastAsia="Arial" w:hAnsi="Arial"/>
                <w:b w:val="1"/>
                <w:color w:val="353744"/>
              </w:rPr>
            </w:pPr>
            <w:r w:rsidDel="00000000" w:rsidR="00000000" w:rsidRPr="00000000">
              <w:rPr>
                <w:rFonts w:ascii="Arial" w:cs="Arial" w:eastAsia="Arial" w:hAnsi="Arial"/>
                <w:b w:val="1"/>
                <w:color w:val="353744"/>
                <w:rtl w:val="0"/>
              </w:rPr>
              <w:t xml:space="preserve">Likelihood</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Arial" w:cs="Arial" w:eastAsia="Arial" w:hAnsi="Arial"/>
                <w:b w:val="1"/>
                <w:color w:val="353744"/>
              </w:rPr>
            </w:pPr>
            <w:r w:rsidDel="00000000" w:rsidR="00000000" w:rsidRPr="00000000">
              <w:rPr>
                <w:rFonts w:ascii="Arial" w:cs="Arial" w:eastAsia="Arial" w:hAnsi="Arial"/>
                <w:b w:val="1"/>
                <w:color w:val="353744"/>
                <w:rtl w:val="0"/>
              </w:rPr>
              <w:t xml:space="preserve">Severity</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Arial" w:cs="Arial" w:eastAsia="Arial" w:hAnsi="Arial"/>
                <w:b w:val="1"/>
                <w:color w:val="353744"/>
              </w:rPr>
            </w:pPr>
            <w:r w:rsidDel="00000000" w:rsidR="00000000" w:rsidRPr="00000000">
              <w:rPr>
                <w:rFonts w:ascii="Arial" w:cs="Arial" w:eastAsia="Arial" w:hAnsi="Arial"/>
                <w:b w:val="1"/>
                <w:color w:val="353744"/>
                <w:rtl w:val="0"/>
              </w:rPr>
              <w:t xml:space="preserve">Risk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Arial" w:cs="Arial" w:eastAsia="Arial" w:hAnsi="Arial"/>
                <w:i w:val="1"/>
                <w:color w:val="353744"/>
              </w:rPr>
            </w:pPr>
            <w:r w:rsidDel="00000000" w:rsidR="00000000" w:rsidRPr="00000000">
              <w:rPr>
                <w:i w:val="1"/>
                <w:color w:val="353744"/>
                <w:rtl w:val="0"/>
              </w:rPr>
              <w:t xml:space="preserve">Competitor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i w:val="1"/>
                <w:color w:val="353744"/>
              </w:rPr>
            </w:pPr>
            <w:r w:rsidDel="00000000" w:rsidR="00000000" w:rsidRPr="00000000">
              <w:rPr>
                <w:i w:val="1"/>
                <w:color w:val="353744"/>
                <w:rtl w:val="0"/>
              </w:rPr>
              <w:t xml:space="preserve">Perform reconnaissance and surveillance of</w:t>
            </w:r>
          </w:p>
          <w:p w:rsidR="00000000" w:rsidDel="00000000" w:rsidP="00000000" w:rsidRDefault="00000000" w:rsidRPr="00000000" w14:paraId="00000013">
            <w:pPr>
              <w:widowControl w:val="0"/>
              <w:spacing w:line="240" w:lineRule="auto"/>
              <w:rPr>
                <w:i w:val="1"/>
                <w:color w:val="353744"/>
              </w:rPr>
            </w:pPr>
            <w:r w:rsidDel="00000000" w:rsidR="00000000" w:rsidRPr="00000000">
              <w:rPr>
                <w:i w:val="1"/>
                <w:color w:val="353744"/>
                <w:rtl w:val="0"/>
              </w:rPr>
              <w:t xml:space="preserve">organization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Arial" w:cs="Arial" w:eastAsia="Arial" w:hAnsi="Arial"/>
                <w:i w:val="1"/>
                <w:color w:val="353744"/>
              </w:rPr>
            </w:pPr>
            <w:r w:rsidDel="00000000" w:rsidR="00000000" w:rsidRPr="00000000">
              <w:rPr>
                <w:i w:val="1"/>
                <w:color w:val="353744"/>
                <w:rtl w:val="0"/>
              </w:rPr>
              <w:t xml:space="preserve">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Arial" w:cs="Arial" w:eastAsia="Arial" w:hAnsi="Arial"/>
                <w:i w:val="1"/>
                <w:color w:val="353744"/>
              </w:rPr>
            </w:pPr>
            <w:r w:rsidDel="00000000" w:rsidR="00000000" w:rsidRPr="00000000">
              <w:rPr>
                <w:i w:val="1"/>
                <w:color w:val="353744"/>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Arial" w:cs="Arial" w:eastAsia="Arial" w:hAnsi="Arial"/>
                <w:i w:val="1"/>
                <w:color w:val="353744"/>
              </w:rPr>
            </w:pPr>
            <w:r w:rsidDel="00000000" w:rsidR="00000000" w:rsidRPr="00000000">
              <w:rPr>
                <w:i w:val="1"/>
                <w:color w:val="353744"/>
                <w:rtl w:val="0"/>
              </w:rPr>
              <w:t xml:space="preserve">6</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Arial" w:cs="Arial" w:eastAsia="Arial" w:hAnsi="Arial"/>
                <w:i w:val="1"/>
                <w:color w:val="353744"/>
              </w:rPr>
            </w:pPr>
            <w:r w:rsidDel="00000000" w:rsidR="00000000" w:rsidRPr="00000000">
              <w:rPr>
                <w:i w:val="1"/>
                <w:color w:val="353744"/>
                <w:rtl w:val="0"/>
              </w:rPr>
              <w:t xml:space="preserve">Malicious Software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i w:val="1"/>
                <w:color w:val="353744"/>
              </w:rPr>
            </w:pPr>
            <w:r w:rsidDel="00000000" w:rsidR="00000000" w:rsidRPr="00000000">
              <w:rPr>
                <w:i w:val="1"/>
                <w:color w:val="353744"/>
                <w:rtl w:val="0"/>
              </w:rPr>
              <w:t xml:space="preserve">Install persistent and targeted network sniffers</w:t>
            </w:r>
          </w:p>
          <w:p w:rsidR="00000000" w:rsidDel="00000000" w:rsidP="00000000" w:rsidRDefault="00000000" w:rsidRPr="00000000" w14:paraId="00000019">
            <w:pPr>
              <w:widowControl w:val="0"/>
              <w:spacing w:line="240" w:lineRule="auto"/>
              <w:rPr>
                <w:i w:val="1"/>
                <w:color w:val="353744"/>
              </w:rPr>
            </w:pPr>
            <w:r w:rsidDel="00000000" w:rsidR="00000000" w:rsidRPr="00000000">
              <w:rPr>
                <w:i w:val="1"/>
                <w:color w:val="353744"/>
                <w:rtl w:val="0"/>
              </w:rPr>
              <w:t xml:space="preserve">on organizational information systems.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Arial" w:cs="Arial" w:eastAsia="Arial" w:hAnsi="Arial"/>
                <w:i w:val="1"/>
                <w:color w:val="353744"/>
              </w:rPr>
            </w:pPr>
            <w:r w:rsidDel="00000000" w:rsidR="00000000" w:rsidRPr="00000000">
              <w:rPr>
                <w:i w:val="1"/>
                <w:color w:val="353744"/>
                <w:rtl w:val="0"/>
              </w:rPr>
              <w:t xml:space="preserve">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Arial" w:cs="Arial" w:eastAsia="Arial" w:hAnsi="Arial"/>
                <w:i w:val="1"/>
                <w:color w:val="353744"/>
              </w:rPr>
            </w:pPr>
            <w:r w:rsidDel="00000000" w:rsidR="00000000" w:rsidRPr="00000000">
              <w:rPr>
                <w:i w:val="1"/>
                <w:color w:val="353744"/>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Arial" w:cs="Arial" w:eastAsia="Arial" w:hAnsi="Arial"/>
                <w:i w:val="1"/>
                <w:color w:val="353744"/>
              </w:rPr>
            </w:pPr>
            <w:r w:rsidDel="00000000" w:rsidR="00000000" w:rsidRPr="00000000">
              <w:rPr>
                <w:i w:val="1"/>
                <w:color w:val="353744"/>
                <w:rtl w:val="0"/>
              </w:rPr>
              <w:t xml:space="preserve">6</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Arial" w:cs="Arial" w:eastAsia="Arial" w:hAnsi="Arial"/>
                <w:i w:val="1"/>
                <w:color w:val="353744"/>
              </w:rPr>
            </w:pPr>
            <w:r w:rsidDel="00000000" w:rsidR="00000000" w:rsidRPr="00000000">
              <w:rPr>
                <w:i w:val="1"/>
                <w:color w:val="353744"/>
                <w:rtl w:val="0"/>
              </w:rPr>
              <w:t xml:space="preserve">Hacker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Arial" w:cs="Arial" w:eastAsia="Arial" w:hAnsi="Arial"/>
                <w:i w:val="1"/>
                <w:color w:val="353744"/>
              </w:rPr>
            </w:pPr>
            <w:r w:rsidDel="00000000" w:rsidR="00000000" w:rsidRPr="00000000">
              <w:rPr>
                <w:i w:val="1"/>
                <w:color w:val="353744"/>
                <w:rtl w:val="0"/>
              </w:rPr>
              <w:t xml:space="preserve">Disrupt mission-critical operations.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Arial" w:cs="Arial" w:eastAsia="Arial" w:hAnsi="Arial"/>
                <w:i w:val="1"/>
                <w:color w:val="353744"/>
              </w:rPr>
            </w:pPr>
            <w:r w:rsidDel="00000000" w:rsidR="00000000" w:rsidRPr="00000000">
              <w:rPr>
                <w:i w:val="1"/>
                <w:color w:val="353744"/>
                <w:rtl w:val="0"/>
              </w:rPr>
              <w:t xml:space="preserve">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Arial" w:cs="Arial" w:eastAsia="Arial" w:hAnsi="Arial"/>
                <w:i w:val="1"/>
                <w:color w:val="353744"/>
              </w:rPr>
            </w:pPr>
            <w:r w:rsidDel="00000000" w:rsidR="00000000" w:rsidRPr="00000000">
              <w:rPr>
                <w:i w:val="1"/>
                <w:color w:val="353744"/>
                <w:rtl w:val="0"/>
              </w:rPr>
              <w:t xml:space="preserve">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Arial" w:cs="Arial" w:eastAsia="Arial" w:hAnsi="Arial"/>
                <w:i w:val="1"/>
                <w:color w:val="353744"/>
              </w:rPr>
            </w:pPr>
            <w:r w:rsidDel="00000000" w:rsidR="00000000" w:rsidRPr="00000000">
              <w:rPr>
                <w:i w:val="1"/>
                <w:color w:val="353744"/>
                <w:rtl w:val="0"/>
              </w:rPr>
              <w:t xml:space="preserve">9</w:t>
            </w:r>
            <w:r w:rsidDel="00000000" w:rsidR="00000000" w:rsidRPr="00000000">
              <w:rPr>
                <w:rtl w:val="0"/>
              </w:rPr>
            </w:r>
          </w:p>
        </w:tc>
      </w:tr>
    </w:tbl>
    <w:p w:rsidR="00000000" w:rsidDel="00000000" w:rsidP="00000000" w:rsidRDefault="00000000" w:rsidRPr="00000000" w14:paraId="00000022">
      <w:pPr>
        <w:pStyle w:val="Heading1"/>
        <w:keepNext w:val="0"/>
        <w:keepLines w:val="0"/>
        <w:spacing w:after="0" w:before="480" w:line="240" w:lineRule="auto"/>
        <w:rPr>
          <w:rFonts w:ascii="Proxima Nova" w:cs="Proxima Nova" w:eastAsia="Proxima Nova" w:hAnsi="Proxima Nova"/>
          <w:b w:val="1"/>
          <w:color w:val="353744"/>
          <w:sz w:val="28"/>
          <w:szCs w:val="28"/>
        </w:rPr>
      </w:pPr>
      <w:bookmarkStart w:colFirst="0" w:colLast="0" w:name="_heading=h.1t3h5sf" w:id="7"/>
      <w:bookmarkEnd w:id="7"/>
      <w:r w:rsidDel="00000000" w:rsidR="00000000" w:rsidRPr="00000000">
        <w:rPr>
          <w:rFonts w:ascii="Proxima Nova" w:cs="Proxima Nova" w:eastAsia="Proxima Nova" w:hAnsi="Proxima Nova"/>
          <w:b w:val="1"/>
          <w:color w:val="353744"/>
          <w:sz w:val="28"/>
          <w:szCs w:val="28"/>
          <w:rtl w:val="0"/>
        </w:rPr>
        <w:t xml:space="preserve">Approach</w:t>
      </w:r>
    </w:p>
    <w:p w:rsidR="00000000" w:rsidDel="00000000" w:rsidP="00000000" w:rsidRDefault="00000000" w:rsidRPr="00000000" w14:paraId="00000023">
      <w:pPr>
        <w:spacing w:before="0" w:lineRule="auto"/>
        <w:ind w:left="0" w:firstLine="0"/>
        <w:rPr>
          <w:rFonts w:ascii="Arial" w:cs="Arial" w:eastAsia="Arial" w:hAnsi="Arial"/>
          <w:i w:val="1"/>
          <w:color w:val="353744"/>
        </w:rPr>
      </w:pPr>
      <w:r w:rsidDel="00000000" w:rsidR="00000000" w:rsidRPr="00000000">
        <w:rPr>
          <w:color w:val="353744"/>
          <w:rtl w:val="0"/>
        </w:rPr>
        <w:t xml:space="preserve">The threat sources listed are likely to appear and would not have any trouble in conducting the threat events listed. Because the server is open to the public, competitors are able to survey the traffic across a network. The information in the server would be open to them to steal possible business or disrupt current operations. Similarly, hackers and malicious software could achieve the same things but for different reasons. The severity of these events should not be overlooked, as any one of them could disrupt business operations severely. Damage to data may be fixed, but the damage to the brand reputation may be irreversible.</w:t>
      </w:r>
      <w:r w:rsidDel="00000000" w:rsidR="00000000" w:rsidRPr="00000000">
        <w:rPr>
          <w:rtl w:val="0"/>
        </w:rPr>
      </w:r>
    </w:p>
    <w:p w:rsidR="00000000" w:rsidDel="00000000" w:rsidP="00000000" w:rsidRDefault="00000000" w:rsidRPr="00000000" w14:paraId="00000024">
      <w:pPr>
        <w:pStyle w:val="Heading1"/>
        <w:keepNext w:val="0"/>
        <w:keepLines w:val="0"/>
        <w:spacing w:after="0" w:before="480" w:line="240" w:lineRule="auto"/>
        <w:rPr>
          <w:rFonts w:ascii="Proxima Nova" w:cs="Proxima Nova" w:eastAsia="Proxima Nova" w:hAnsi="Proxima Nova"/>
          <w:b w:val="1"/>
          <w:color w:val="353744"/>
          <w:sz w:val="28"/>
          <w:szCs w:val="28"/>
        </w:rPr>
      </w:pPr>
      <w:bookmarkStart w:colFirst="0" w:colLast="0" w:name="_heading=h.4d34og8" w:id="8"/>
      <w:bookmarkEnd w:id="8"/>
      <w:r w:rsidDel="00000000" w:rsidR="00000000" w:rsidRPr="00000000">
        <w:rPr>
          <w:rFonts w:ascii="Proxima Nova" w:cs="Proxima Nova" w:eastAsia="Proxima Nova" w:hAnsi="Proxima Nova"/>
          <w:b w:val="1"/>
          <w:color w:val="353744"/>
          <w:sz w:val="28"/>
          <w:szCs w:val="28"/>
          <w:rtl w:val="0"/>
        </w:rPr>
        <w:t xml:space="preserve">Remediation Strategy</w:t>
      </w:r>
    </w:p>
    <w:p w:rsidR="00000000" w:rsidDel="00000000" w:rsidP="00000000" w:rsidRDefault="00000000" w:rsidRPr="00000000" w14:paraId="00000025">
      <w:pPr>
        <w:spacing w:before="0" w:lineRule="auto"/>
        <w:ind w:left="0" w:firstLine="0"/>
        <w:rPr>
          <w:color w:val="353744"/>
        </w:rPr>
      </w:pPr>
      <w:r w:rsidDel="00000000" w:rsidR="00000000" w:rsidRPr="00000000">
        <w:rPr>
          <w:color w:val="353744"/>
          <w:rtl w:val="0"/>
        </w:rPr>
        <w:t xml:space="preserve">It seems that there are no current operations in place to ensure that the data on the server is protected. There are no authorization or authentication safeties in place to ensure that threat actors can not perform their attacks. Some recommendations are as follows:</w:t>
      </w:r>
    </w:p>
    <w:p w:rsidR="00000000" w:rsidDel="00000000" w:rsidP="00000000" w:rsidRDefault="00000000" w:rsidRPr="00000000" w14:paraId="00000026">
      <w:pPr>
        <w:numPr>
          <w:ilvl w:val="0"/>
          <w:numId w:val="1"/>
        </w:numPr>
        <w:spacing w:before="0" w:lineRule="auto"/>
        <w:ind w:left="720" w:hanging="360"/>
        <w:rPr>
          <w:color w:val="353744"/>
          <w:u w:val="none"/>
        </w:rPr>
      </w:pPr>
      <w:r w:rsidDel="00000000" w:rsidR="00000000" w:rsidRPr="00000000">
        <w:rPr>
          <w:color w:val="353744"/>
          <w:rtl w:val="0"/>
        </w:rPr>
        <w:t xml:space="preserve">Create user roles for employees</w:t>
      </w:r>
    </w:p>
    <w:p w:rsidR="00000000" w:rsidDel="00000000" w:rsidP="00000000" w:rsidRDefault="00000000" w:rsidRPr="00000000" w14:paraId="00000027">
      <w:pPr>
        <w:numPr>
          <w:ilvl w:val="0"/>
          <w:numId w:val="1"/>
        </w:numPr>
        <w:spacing w:before="0" w:lineRule="auto"/>
        <w:ind w:left="720" w:hanging="360"/>
        <w:rPr>
          <w:color w:val="353744"/>
          <w:u w:val="none"/>
        </w:rPr>
      </w:pPr>
      <w:r w:rsidDel="00000000" w:rsidR="00000000" w:rsidRPr="00000000">
        <w:rPr>
          <w:color w:val="353744"/>
          <w:rtl w:val="0"/>
        </w:rPr>
        <w:t xml:space="preserve">Make the server private, contained in the internal network</w:t>
      </w:r>
    </w:p>
    <w:p w:rsidR="00000000" w:rsidDel="00000000" w:rsidP="00000000" w:rsidRDefault="00000000" w:rsidRPr="00000000" w14:paraId="00000028">
      <w:pPr>
        <w:numPr>
          <w:ilvl w:val="0"/>
          <w:numId w:val="1"/>
        </w:numPr>
        <w:spacing w:before="0" w:lineRule="auto"/>
        <w:ind w:left="720" w:hanging="360"/>
        <w:rPr>
          <w:color w:val="353744"/>
          <w:u w:val="none"/>
        </w:rPr>
      </w:pPr>
      <w:r w:rsidDel="00000000" w:rsidR="00000000" w:rsidRPr="00000000">
        <w:rPr>
          <w:color w:val="353744"/>
          <w:rtl w:val="0"/>
        </w:rPr>
        <w:t xml:space="preserve">Conduct authorization audits to ensure least privilege is being practiced</w:t>
      </w:r>
    </w:p>
    <w:p w:rsidR="00000000" w:rsidDel="00000000" w:rsidP="00000000" w:rsidRDefault="00000000" w:rsidRPr="00000000" w14:paraId="00000029">
      <w:pPr>
        <w:numPr>
          <w:ilvl w:val="0"/>
          <w:numId w:val="1"/>
        </w:numPr>
        <w:spacing w:before="0" w:lineRule="auto"/>
        <w:ind w:left="720" w:hanging="360"/>
        <w:rPr>
          <w:color w:val="353744"/>
          <w:u w:val="none"/>
        </w:rPr>
      </w:pPr>
      <w:r w:rsidDel="00000000" w:rsidR="00000000" w:rsidRPr="00000000">
        <w:rPr>
          <w:color w:val="353744"/>
          <w:rtl w:val="0"/>
        </w:rPr>
        <w:t xml:space="preserve">Use MFA to ensure that users are authentic</w:t>
      </w:r>
    </w:p>
    <w:p w:rsidR="00000000" w:rsidDel="00000000" w:rsidP="00000000" w:rsidRDefault="00000000" w:rsidRPr="00000000" w14:paraId="0000002A">
      <w:pPr>
        <w:spacing w:before="0" w:lineRule="auto"/>
        <w:ind w:left="0" w:firstLine="0"/>
        <w:rPr>
          <w:color w:val="353744"/>
        </w:rPr>
      </w:pPr>
      <w:r w:rsidDel="00000000" w:rsidR="00000000" w:rsidRPr="00000000">
        <w:rPr>
          <w:color w:val="353744"/>
          <w:rtl w:val="0"/>
        </w:rPr>
        <w:t xml:space="preserve">Using these strategies should help increase the security posture of the organization as a whole and fix the current glaring issue with the server.</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document/d/1Fc4L2azQlnUM-8r43PU9mYlT30BnxTwdjAMqpT7JeZk/edit?resourcekey=0-Q-XglnC3Li7JPK2hIvMkVg#heading=h.hvbcmqwzo9d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M+GetlEuCV/nh42Sak+UDfFGAIw==">CgMxLjAyCGguZ2pkZ3hzMgloLjMwajB6bGwyCWguMWZvYjl0ZTIJaC4zem55c2g3MgloLjJldDkycDAyCGgudHlqY3d0MgloLjNkeTZ2a20yCWguMXQzaDVzZjIJaC40ZDM0b2c4OAByITFNbDAwX2N5MzBhU0w4MlFPM0RVWGEzdDJxeHU1d05qUg==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