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A1" w:rsidRDefault="00D573A1" w:rsidP="00D573A1">
      <w:pPr>
        <w:pStyle w:val="Title"/>
        <w:rPr>
          <w:lang w:val="en-US"/>
        </w:rPr>
      </w:pPr>
      <w:r>
        <w:rPr>
          <w:lang w:val="en-US"/>
        </w:rPr>
        <w:t>Optimisation of battery charging and discharging</w:t>
      </w:r>
    </w:p>
    <w:p w:rsidR="00D573A1" w:rsidRDefault="00D573A1" w:rsidP="00D573A1">
      <w:pPr>
        <w:rPr>
          <w:lang w:val="en-US"/>
        </w:rPr>
      </w:pPr>
    </w:p>
    <w:p w:rsidR="00D573A1" w:rsidRDefault="00D573A1" w:rsidP="00D573A1">
      <w:pPr>
        <w:rPr>
          <w:lang w:val="en-US"/>
        </w:rPr>
      </w:pPr>
      <w:r>
        <w:rPr>
          <w:lang w:val="en-US"/>
        </w:rPr>
        <w:t xml:space="preserve">Here, we formulate a model that optimises an agent’s market strategy </w:t>
      </w:r>
      <w:r w:rsidR="00041D74">
        <w:rPr>
          <w:lang w:val="en-US"/>
        </w:rPr>
        <w:t xml:space="preserve">for a given portfolio of </w:t>
      </w:r>
      <w:r>
        <w:rPr>
          <w:lang w:val="en-US"/>
        </w:rPr>
        <w:t>storage devices</w:t>
      </w:r>
      <w:r w:rsidR="00041D74">
        <w:rPr>
          <w:lang w:val="en-US"/>
        </w:rPr>
        <w:t xml:space="preserve"> and known market prices.</w:t>
      </w:r>
    </w:p>
    <w:p w:rsidR="00A36DF1" w:rsidRDefault="00A36DF1" w:rsidP="00A36DF1">
      <w:pPr>
        <w:pStyle w:val="Heading1"/>
        <w:rPr>
          <w:lang w:val="en-US"/>
        </w:rPr>
      </w:pPr>
      <w:r>
        <w:rPr>
          <w:lang w:val="en-US"/>
        </w:rPr>
        <w:t>Definition of sets, parameters, and decision variables</w:t>
      </w:r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Sets</w:t>
      </w:r>
    </w:p>
    <w:p w:rsidR="00041D74" w:rsidRPr="00041D74" w:rsidRDefault="005E2B5C" w:rsidP="00041D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T≔</m:t>
          </m:r>
          <m:r>
            <w:rPr>
              <w:rFonts w:ascii="Cambria Math" w:hAnsi="Cambria Math"/>
              <w:lang w:val="en-US"/>
            </w:rPr>
            <m:t>1, 2, …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T,  Set of time steps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S,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Set of storage devices</m:t>
          </m:r>
        </m:oMath>
      </m:oMathPara>
    </w:p>
    <w:p w:rsidR="00041D74" w:rsidRDefault="00A36DF1" w:rsidP="00A36DF1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</w:t>
      </w:r>
    </w:p>
    <w:p w:rsidR="00306ED5" w:rsidRPr="00306ED5" w:rsidRDefault="007053B8" w:rsidP="00041D74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≔Discharging limit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 xml:space="preserve">≔Capacity of storage device </m:t>
        </m:r>
        <m:d>
          <m:dPr>
            <m:ctrlPr>
              <w:rPr>
                <w:rFonts w:ascii="Cambria Math" w:eastAsiaTheme="minorEastAsia" w:hAnsi="Cambria Math" w:cstheme="majorBid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kWh</m:t>
            </m:r>
          </m:e>
        </m:d>
      </m:oMath>
      <w:r w:rsidR="00B076FC" w:rsidRPr="00B076FC">
        <w:rPr>
          <w:rFonts w:asciiTheme="majorHAnsi" w:eastAsiaTheme="minorEastAsia" w:hAnsiTheme="majorHAnsi" w:cstheme="majorBidi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≔Initial storage state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≔Ideal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≔Maximum energy level at the end of the optimisation horizon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≔Minimum energy level at the end of the optimisation horizon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≔Maximum ramp up rate (both decreasing discharge and increasing charge)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(kW/t)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≔Maximum ramp down rate (both decreasing discharge and increasing charge)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(kW/t)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Maximum storage for normal operation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 xml:space="preserve">≔Minimum storage for normal operation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≔Market price for electricity 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≔Time step length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retained over time step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discharged from device goes to grid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≔Proportion of energy purchased goes to charging storage unit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≔Penalty function for exceeding ideal energy level at EOH ($/kWh)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)≔Penalty for falling short of ideal energy level at EOH ($/kWh)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≔Degradation cost funtion for discharging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ch</m:t>
              </m:r>
            </m:sup>
          </m:sSup>
          <m:r>
            <w:rPr>
              <w:rFonts w:ascii="Cambria Math" w:hAnsi="Cambria Math"/>
              <w:lang w:val="en-US"/>
            </w:rPr>
            <m:t xml:space="preserve">)≔Degradation cost funtion for charging each storage unit 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($/kW)</m:t>
          </m:r>
          <m:r>
            <m:rPr>
              <m:sty m:val="p"/>
            </m:rPr>
            <w:rPr>
              <w:rFonts w:asciiTheme="majorHAnsi" w:eastAsiaTheme="minorEastAsia" w:hAnsiTheme="majorHAnsi" w:cstheme="majorBidi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≔Degradation cost function based on the storage level of each unit ($/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kWh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41D74" w:rsidRDefault="00A36DF1" w:rsidP="00A36DF1">
      <w:pPr>
        <w:pStyle w:val="Heading2"/>
        <w:rPr>
          <w:lang w:val="en-US"/>
        </w:rPr>
      </w:pPr>
      <w:r>
        <w:rPr>
          <w:lang w:val="en-US"/>
        </w:rPr>
        <w:t>Decision variables</w:t>
      </w:r>
    </w:p>
    <w:p w:rsidR="005F6657" w:rsidRPr="005F6657" w:rsidRDefault="007053B8" w:rsidP="005F6657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Energy stored in device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(kWh)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Power consumed to charge device (kW)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Power discharged from device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shortage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Energy excess from ideal storage state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at the end of the optimisation horizon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kWh</m:t>
              </m:r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S,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</m:oMath>
      </m:oMathPara>
    </w:p>
    <w:p w:rsidR="00106D99" w:rsidRDefault="00106D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6DF1" w:rsidRDefault="005F6657" w:rsidP="005F6657">
      <w:pPr>
        <w:pStyle w:val="Heading1"/>
      </w:pPr>
      <w:r w:rsidRPr="005F6657">
        <w:lastRenderedPageBreak/>
        <w:t>Problem Formulation</w:t>
      </w:r>
    </w:p>
    <w:p w:rsidR="005F6657" w:rsidRDefault="003C10B2" w:rsidP="005F6657">
      <w:pPr>
        <w:pStyle w:val="Heading2"/>
      </w:pPr>
      <w:r>
        <w:t xml:space="preserve">Objective: </w:t>
      </w:r>
      <w:r w:rsidR="005F6657">
        <w:t>Profit maximisation over optimisation horizon</w:t>
      </w:r>
    </w:p>
    <w:p w:rsidR="00335F9C" w:rsidRDefault="006A50F7" w:rsidP="005F6657">
      <w:pPr>
        <w:rPr>
          <w:rFonts w:eastAsiaTheme="minorEastAsia"/>
        </w:rPr>
      </w:pPr>
      <w:r>
        <w:t xml:space="preserve">There are </w:t>
      </w:r>
      <w:r w:rsidR="0058465C">
        <w:t>three potential</w:t>
      </w:r>
      <w:r>
        <w:t xml:space="preserve"> aspects of the </w:t>
      </w:r>
      <w:r w:rsidR="00633302">
        <w:t xml:space="preserve">agent’s objective value. </w:t>
      </w:r>
      <m:oMath>
        <m:r>
          <w:rPr>
            <w:rFonts w:ascii="Cambria Math" w:hAnsi="Cambria Math"/>
          </w:rPr>
          <m:t>Rev</m:t>
        </m:r>
      </m:oMath>
      <w:r w:rsidR="0058465C">
        <w:rPr>
          <w:rFonts w:eastAsiaTheme="minorEastAsia"/>
        </w:rPr>
        <w:t xml:space="preserve">, the net revenue from participating in the electricity market. </w:t>
      </w:r>
      <m:oMath>
        <m:r>
          <w:rPr>
            <w:rFonts w:ascii="Cambria Math" w:eastAsiaTheme="minorEastAsia" w:hAnsi="Cambria Math"/>
          </w:rPr>
          <m:t>EOH</m:t>
        </m:r>
      </m:oMath>
      <w:r w:rsidR="0058465C">
        <w:rPr>
          <w:rFonts w:eastAsiaTheme="minorEastAsia"/>
        </w:rPr>
        <w:t xml:space="preserve">, the penalty from deviating from the ideal end of horizon storage </w:t>
      </w:r>
      <w:proofErr w:type="gramStart"/>
      <w:r w:rsidR="0058465C">
        <w:rPr>
          <w:rFonts w:eastAsiaTheme="minorEastAsia"/>
        </w:rPr>
        <w:t xml:space="preserve">stage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</m:oMath>
      <w:r w:rsidR="0058465C">
        <w:rPr>
          <w:rFonts w:eastAsiaTheme="minorEastAsia"/>
        </w:rPr>
        <w:t xml:space="preserve">. </w:t>
      </w:r>
      <w:r w:rsidR="00335F9C">
        <w:rPr>
          <w:rFonts w:eastAsiaTheme="minorEastAsia"/>
        </w:rPr>
        <w:t>Finally,</w:t>
      </w:r>
      <w:r w:rsidR="0058465C">
        <w:rPr>
          <w:rFonts w:eastAsiaTheme="minorEastAsia"/>
        </w:rPr>
        <w:t xml:space="preserve"> we </w:t>
      </w:r>
      <w:proofErr w:type="gramStart"/>
      <w:r w:rsidR="00335F9C">
        <w:rPr>
          <w:rFonts w:eastAsiaTheme="minorEastAsia"/>
        </w:rPr>
        <w:t>have</w:t>
      </w:r>
      <m:oMath>
        <m:r>
          <w:rPr>
            <w:rFonts w:ascii="Cambria Math" w:eastAsiaTheme="minorEastAsia" w:hAnsi="Cambria Math"/>
          </w:rPr>
          <m:t xml:space="preserve"> Deg</m:t>
        </m:r>
      </m:oMath>
      <w:r w:rsidR="0058465C">
        <w:rPr>
          <w:rFonts w:eastAsiaTheme="minorEastAsia"/>
        </w:rPr>
        <w:t>,</w:t>
      </w:r>
      <w:proofErr w:type="gramEnd"/>
      <w:r w:rsidR="0058465C">
        <w:rPr>
          <w:rFonts w:eastAsiaTheme="minorEastAsia"/>
        </w:rPr>
        <w:t xml:space="preserve"> the</w:t>
      </w:r>
      <w:r w:rsidR="00335F9C">
        <w:rPr>
          <w:rFonts w:eastAsiaTheme="minorEastAsia"/>
        </w:rPr>
        <w:t xml:space="preserve"> cost of the</w:t>
      </w:r>
      <w:r w:rsidR="0058465C">
        <w:rPr>
          <w:rFonts w:eastAsiaTheme="minorEastAsia"/>
        </w:rPr>
        <w:t xml:space="preserve"> degradation of the storage devices. </w:t>
      </w:r>
    </w:p>
    <w:p w:rsidR="003C10B2" w:rsidRPr="00880B46" w:rsidRDefault="007053B8" w:rsidP="005F665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Ξ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-EOH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-Deg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e>
              </m:d>
            </m:e>
          </m:func>
        </m:oMath>
      </m:oMathPara>
    </w:p>
    <w:p w:rsidR="00880B46" w:rsidRDefault="00880B46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(1a) Definition of revenue</w:t>
      </w:r>
      <w:r w:rsidR="00335F9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Rev</m:t>
        </m:r>
      </m:oMath>
      <w:r w:rsidR="00335F9C">
        <w:rPr>
          <w:rFonts w:eastAsiaTheme="minorEastAsia"/>
        </w:rPr>
        <w:t>)</w:t>
      </w:r>
    </w:p>
    <w:p w:rsidR="003147C9" w:rsidRPr="003147C9" w:rsidRDefault="008048F6" w:rsidP="003147C9">
      <w:r>
        <w:t xml:space="preserve">The net revenue from selling generation at each time step is defined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Rev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</m:oMath>
      <w:r>
        <w:t xml:space="preserve">. This equation, includes the net power sold to the market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is a function that converts the energy discharged,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to the power received by the grid from storage unit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at </w:t>
      </w:r>
      <w:proofErr w:type="spellStart"/>
      <w:proofErr w:type="gramStart"/>
      <w:r>
        <w:rPr>
          <w:rFonts w:eastAsiaTheme="minorEastAsia"/>
          <w:lang w:val="en-US"/>
        </w:rPr>
        <w:t>timestep</w:t>
      </w:r>
      <w:proofErr w:type="spellEnd"/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. Thus, by subtracting the power used to charge each storage device,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the net energy sold to the grid is given </w:t>
      </w:r>
      <w:proofErr w:type="gramStart"/>
      <w:r>
        <w:rPr>
          <w:rFonts w:eastAsiaTheme="minorEastAsia"/>
          <w:lang w:val="en-US"/>
        </w:rPr>
        <w:t xml:space="preserve">by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s,t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p>
                </m:sSubSup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. By multiplying the price of energy,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we obtain the net revenue per hour. Finally, by summing this rate of profit for each storage </w:t>
      </w:r>
      <w:proofErr w:type="gramStart"/>
      <w:r>
        <w:rPr>
          <w:rFonts w:eastAsiaTheme="minorEastAsia"/>
          <w:lang w:val="en-US"/>
        </w:rPr>
        <w:t xml:space="preserve">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proofErr w:type="gramEnd"/>
      <w:r>
        <w:rPr>
          <w:rFonts w:eastAsiaTheme="minorEastAsia"/>
          <w:lang w:val="en-US"/>
        </w:rPr>
        <w:t xml:space="preserve"> and each timestep</w:t>
      </w:r>
      <m:oMath>
        <m:r>
          <w:rPr>
            <w:rFonts w:ascii="Cambria Math" w:eastAsiaTheme="minorEastAsia" w:hAnsi="Cambria Math"/>
            <w:lang w:val="en-US"/>
          </w:rPr>
          <m:t>, t,</m:t>
        </m:r>
      </m:oMath>
      <w:r w:rsidR="00072A1B">
        <w:rPr>
          <w:rFonts w:eastAsiaTheme="minorEastAsia"/>
          <w:lang w:val="en-US"/>
        </w:rPr>
        <w:t xml:space="preserve"> and multiplying this by the length of each timestep (in hours) we have the net revenue over the optimisation horizon.</w:t>
      </w:r>
    </w:p>
    <w:p w:rsidR="003147C9" w:rsidRPr="00335F9C" w:rsidRDefault="00335F9C" w:rsidP="00880B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lang w:val="en-US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</m:sup>
                  </m:sSubSup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(1b) End of Horizon penalty (</w:t>
      </w:r>
      <m:oMath>
        <m:r>
          <w:rPr>
            <w:rFonts w:ascii="Cambria Math" w:eastAsiaTheme="minorEastAsia" w:hAnsi="Cambria Math"/>
          </w:rPr>
          <m:t>EOH</m:t>
        </m:r>
      </m:oMath>
      <w:r>
        <w:rPr>
          <w:rFonts w:eastAsiaTheme="minorEastAsia"/>
        </w:rPr>
        <w:t>)</w:t>
      </w:r>
    </w:p>
    <w:p w:rsidR="00072A1B" w:rsidRPr="00072A1B" w:rsidRDefault="00072A1B" w:rsidP="00335F9C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There is an incentive to use up all of the energy in each storage device by the end of the optimisation horizon. To </w:t>
      </w:r>
      <w:proofErr w:type="spellStart"/>
      <w:r>
        <w:rPr>
          <w:rFonts w:asciiTheme="majorHAnsi" w:eastAsiaTheme="minorEastAsia" w:hAnsiTheme="majorHAnsi" w:cstheme="majorBidi"/>
        </w:rPr>
        <w:t>disincentivise</w:t>
      </w:r>
      <w:proofErr w:type="spellEnd"/>
      <w:r>
        <w:rPr>
          <w:rFonts w:asciiTheme="majorHAnsi" w:eastAsiaTheme="minorEastAsia" w:hAnsiTheme="majorHAnsi" w:cstheme="majorBidi"/>
        </w:rPr>
        <w:t xml:space="preserve"> this behaviour and more accurately represent the</w:t>
      </w:r>
      <w:r w:rsidR="002113F7">
        <w:rPr>
          <w:rFonts w:asciiTheme="majorHAnsi" w:eastAsiaTheme="minorEastAsia" w:hAnsiTheme="majorHAnsi" w:cstheme="majorBidi"/>
        </w:rPr>
        <w:t xml:space="preserve"> optimal</w:t>
      </w:r>
      <w:r>
        <w:rPr>
          <w:rFonts w:asciiTheme="majorHAnsi" w:eastAsiaTheme="minorEastAsia" w:hAnsiTheme="majorHAnsi" w:cstheme="majorBidi"/>
        </w:rPr>
        <w:t xml:space="preserve"> charging and discharging at the end of the optimisation horizon, we include a penalty function for deviating above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and deviating below</w:t>
      </w:r>
      <w:r w:rsidR="002113F7">
        <w:rPr>
          <w:rFonts w:asciiTheme="majorHAnsi" w:eastAsiaTheme="minorEastAsia" w:hAnsiTheme="majorHAnsi" w:cstheme="majorBid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,</m:t>
        </m:r>
      </m:oMath>
      <w:r>
        <w:rPr>
          <w:rFonts w:asciiTheme="majorHAnsi" w:eastAsiaTheme="minorEastAsia" w:hAnsiTheme="majorHAnsi" w:cstheme="majorBidi"/>
        </w:rPr>
        <w:t xml:space="preserve"> </w:t>
      </w:r>
      <w:r w:rsidR="002113F7">
        <w:rPr>
          <w:rFonts w:asciiTheme="majorHAnsi" w:eastAsiaTheme="minorEastAsia" w:hAnsiTheme="majorHAnsi" w:cstheme="majorBidi"/>
        </w:rPr>
        <w:t xml:space="preserve"> ideal storage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r>
          <w:rPr>
            <w:rFonts w:ascii="Cambria Math" w:hAnsi="Cambria Math"/>
            <w:lang w:val="en-US"/>
          </w:rPr>
          <m:t>,</m:t>
        </m:r>
      </m:oMath>
      <w:r w:rsidR="002113F7">
        <w:rPr>
          <w:rFonts w:asciiTheme="majorHAnsi" w:eastAsiaTheme="minorEastAsia" w:hAnsiTheme="majorHAnsi" w:cstheme="majorBidi"/>
        </w:rPr>
        <w:t xml:space="preserve"> at the end of the optimisation horizon. Each cost function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r>
              <w:rPr>
                <w:rFonts w:ascii="Cambria Math" w:hAnsi="Cambria Math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113F7">
        <w:rPr>
          <w:rFonts w:asciiTheme="majorHAnsi" w:eastAsiaTheme="minorEastAsia" w:hAnsiTheme="majorHAnsi" w:cstheme="majorBidi"/>
        </w:rPr>
        <w:t xml:space="preserve"> is convex. </w:t>
      </w:r>
      <w:r w:rsidR="009C3918">
        <w:rPr>
          <w:rFonts w:asciiTheme="majorHAnsi" w:eastAsiaTheme="minorEastAsia" w:hAnsiTheme="majorHAnsi" w:cstheme="majorBidi"/>
        </w:rPr>
        <w:t xml:space="preserve">We then sum across each storage unit, </w:t>
      </w:r>
      <m:oMath>
        <m:r>
          <w:rPr>
            <w:rFonts w:ascii="Cambria Math" w:eastAsiaTheme="minorEastAsia" w:hAnsi="Cambria Math" w:cstheme="majorBidi"/>
          </w:rPr>
          <m:t>s,</m:t>
        </m:r>
      </m:oMath>
      <w:r w:rsidR="009C3918">
        <w:rPr>
          <w:rFonts w:asciiTheme="majorHAnsi" w:eastAsiaTheme="minorEastAsia" w:hAnsiTheme="majorHAnsi" w:cstheme="majorBidi"/>
        </w:rPr>
        <w:t xml:space="preserve"> to obtain the net penalty.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EOH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:rsidR="00335F9C" w:rsidRDefault="00335F9C" w:rsidP="00335F9C">
      <w:pPr>
        <w:pStyle w:val="Heading3"/>
        <w:rPr>
          <w:rFonts w:eastAsiaTheme="minorEastAsia"/>
        </w:rPr>
      </w:pPr>
      <w:r>
        <w:rPr>
          <w:rFonts w:eastAsiaTheme="minorEastAsia"/>
        </w:rPr>
        <w:t>(1c) Cost of degradation (</w:t>
      </w:r>
      <m:oMath>
        <m:r>
          <w:rPr>
            <w:rFonts w:ascii="Cambria Math" w:eastAsiaTheme="minorEastAsia" w:hAnsi="Cambria Math"/>
          </w:rPr>
          <m:t>Deg</m:t>
        </m:r>
      </m:oMath>
      <w:r>
        <w:rPr>
          <w:rFonts w:eastAsiaTheme="minorEastAsia"/>
        </w:rPr>
        <w:t>)</w:t>
      </w:r>
    </w:p>
    <w:p w:rsidR="009C3918" w:rsidRPr="009C3918" w:rsidRDefault="009C3918" w:rsidP="009C3918">
      <w:r>
        <w:t xml:space="preserve">Operating each storage unit, leads to long term degradation of each storage unit. We represent 3 types of long term degradation: </w:t>
      </w:r>
      <w:proofErr w:type="gramStart"/>
      <w:r>
        <w:t xml:space="preserve">Discharging </w:t>
      </w:r>
      <w:proofErr w:type="gramEnd"/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p>
            </m:sSubSup>
          </m:e>
        </m:d>
      </m:oMath>
      <w:r>
        <w:rPr>
          <w:rFonts w:eastAsiaTheme="minorEastAsia"/>
          <w:lang w:val="en-US"/>
        </w:rPr>
        <w:t>,</w:t>
      </w:r>
      <w:r>
        <w:t xml:space="preserve"> charging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and storage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st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s,t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. To obtain the overall cost, we sum across the </w:t>
      </w:r>
      <w:proofErr w:type="spellStart"/>
      <w:r>
        <w:rPr>
          <w:rFonts w:eastAsiaTheme="minorEastAsia"/>
          <w:lang w:val="en-US"/>
        </w:rPr>
        <w:t>optimisation</w:t>
      </w:r>
      <w:proofErr w:type="spellEnd"/>
      <w:r>
        <w:rPr>
          <w:rFonts w:eastAsiaTheme="minorEastAsia"/>
          <w:lang w:val="en-US"/>
        </w:rPr>
        <w:t xml:space="preserve"> horizon, </w:t>
      </w:r>
      <m:oMath>
        <m:r>
          <w:rPr>
            <w:rFonts w:ascii="Cambria Math" w:eastAsiaTheme="minorEastAsia" w:hAnsi="Cambria Math"/>
            <w:lang w:val="en-US"/>
          </w:rPr>
          <m:t>t,</m:t>
        </m:r>
      </m:oMath>
      <w:r>
        <w:rPr>
          <w:rFonts w:eastAsiaTheme="minorEastAsia"/>
          <w:lang w:val="en-US"/>
        </w:rPr>
        <w:t xml:space="preserve"> and each storage unit, </w:t>
      </w:r>
      <m:oMath>
        <m:r>
          <w:rPr>
            <w:rFonts w:ascii="Cambria Math" w:eastAsiaTheme="minorEastAsia" w:hAnsi="Cambria Math"/>
            <w:lang w:val="en-US"/>
          </w:rPr>
          <m:t>s,</m:t>
        </m:r>
      </m:oMath>
      <w:r>
        <w:rPr>
          <w:rFonts w:eastAsiaTheme="minorEastAsia"/>
          <w:lang w:val="en-US"/>
        </w:rPr>
        <w:t xml:space="preserve"> and multiplying this rate of degradation by the length of each </w:t>
      </w:r>
      <w:proofErr w:type="gramStart"/>
      <w:r>
        <w:rPr>
          <w:rFonts w:eastAsiaTheme="minorEastAsia"/>
          <w:lang w:val="en-US"/>
        </w:rPr>
        <w:t xml:space="preserve">timestep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.</w:t>
      </w:r>
    </w:p>
    <w:p w:rsidR="00335F9C" w:rsidRPr="00880B46" w:rsidRDefault="00335F9C" w:rsidP="00335F9C">
      <m:oMathPara>
        <m:oMath>
          <m:r>
            <w:rPr>
              <w:rFonts w:ascii="Cambria Math" w:hAnsi="Cambria Math"/>
            </w:rPr>
            <m:t>Deg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s∈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dc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ch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ch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s,t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35F9C" w:rsidRPr="00880B46" w:rsidRDefault="00335F9C" w:rsidP="00880B46"/>
    <w:p w:rsidR="003C10B2" w:rsidRDefault="003C10B2" w:rsidP="003C10B2">
      <w:pPr>
        <w:pStyle w:val="Heading2"/>
        <w:rPr>
          <w:rFonts w:eastAsiaTheme="minorEastAsia"/>
        </w:rPr>
      </w:pPr>
      <w:r>
        <w:rPr>
          <w:rFonts w:eastAsiaTheme="minorEastAsia"/>
        </w:rPr>
        <w:t>Constraints</w:t>
      </w:r>
    </w:p>
    <w:p w:rsidR="003C10B2" w:rsidRDefault="003C10B2" w:rsidP="003C10B2">
      <w:pPr>
        <w:pStyle w:val="Heading3"/>
        <w:rPr>
          <w:rFonts w:eastAsiaTheme="minorEastAsia"/>
        </w:rPr>
      </w:pPr>
      <w:r>
        <w:rPr>
          <w:rFonts w:eastAsiaTheme="minorEastAsia"/>
        </w:rPr>
        <w:t>(2a) Definition of the state of the energy storage state</w:t>
      </w:r>
    </w:p>
    <w:p w:rsidR="00106D99" w:rsidRDefault="003C10B2" w:rsidP="003C10B2">
      <w:r>
        <w:t xml:space="preserve">The energy stored depends on three things in our formulation: The energy retained from the previous time-step, the energy used to charge the device, and the energy discharged from the device. </w:t>
      </w:r>
      <w:r>
        <w:lastRenderedPageBreak/>
        <w:t>Mathematically this gives:</w:t>
      </w:r>
      <w:r w:rsidR="005E2B5C">
        <w:tab/>
      </w:r>
      <w:r w:rsidR="005E2B5C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s,t-1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 xml:space="preserve">t=1} 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5E2B5C" w:rsidRDefault="005E2B5C" w:rsidP="005E2B5C">
      <w:pPr>
        <w:pStyle w:val="Heading3"/>
      </w:pPr>
      <w:r>
        <w:t>(2b) End-of-horizon conditions</w:t>
      </w:r>
    </w:p>
    <w:p w:rsidR="005E2B5C" w:rsidRDefault="005E2B5C" w:rsidP="005E2B5C">
      <w:pPr>
        <w:rPr>
          <w:rFonts w:eastAsiaTheme="minorEastAsia"/>
          <w:lang w:val="en-US"/>
        </w:rPr>
      </w:pPr>
      <w:r>
        <w:t xml:space="preserve">Here we define some end of horizon </w:t>
      </w:r>
      <w:r w:rsidR="00FA14AD">
        <w:t xml:space="preserve">constraints on </w:t>
      </w:r>
      <w:r>
        <w:t>the storage devices</w:t>
      </w:r>
      <w:r w:rsidR="00FA14AD">
        <w:t>, ensuring the end-of-horizon</w:t>
      </w:r>
      <w:r w:rsidR="00186EAC">
        <w:t xml:space="preserve"> storage</w:t>
      </w:r>
      <w:r w:rsidR="00FA14AD">
        <w:t xml:space="preserve"> is within a particular range, and defining the shortage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FA14AD">
        <w:t xml:space="preserve"> or excess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sup>
            </m:sSubSup>
          </m:e>
        </m:d>
      </m:oMath>
      <w:r w:rsidR="00FA14AD">
        <w:t xml:space="preserve"> if the EOH storage is not at the ideal level, </w:t>
      </w:r>
      <m:oMath>
        <m:sSubSup>
          <m:sSubSupPr>
            <m:ctrlPr>
              <w:rPr>
                <w:rFonts w:ascii="Cambria Math" w:eastAsiaTheme="minorEastAsia" w:hAnsi="Cambria Math" w:cstheme="majorBidi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p>
        </m:sSubSup>
      </m:oMath>
      <w:r w:rsidR="00FA14AD">
        <w:rPr>
          <w:rFonts w:eastAsiaTheme="minorEastAsia"/>
          <w:lang w:val="en-US"/>
        </w:rPr>
        <w:t>.</w:t>
      </w:r>
    </w:p>
    <w:p w:rsidR="00FA14AD" w:rsidRDefault="00FA14AD" w:rsidP="006F287D">
      <w:pPr>
        <w:pStyle w:val="Heading4"/>
      </w:pPr>
      <w:r>
        <w:rPr>
          <w:rFonts w:eastAsiaTheme="minorEastAsia"/>
          <w:lang w:val="en-US"/>
        </w:rPr>
        <w:t>(2b.i)</w:t>
      </w:r>
      <w:r w:rsidR="002E7844">
        <w:rPr>
          <w:rFonts w:eastAsiaTheme="minorEastAsia"/>
          <w:lang w:val="en-US"/>
        </w:rPr>
        <w:t xml:space="preserve"> Defines end of horizon storage excess or shortage</w:t>
      </w:r>
      <w:r w:rsidR="000A7422">
        <w:rPr>
          <w:rFonts w:eastAsiaTheme="minorEastAsia"/>
          <w:lang w:val="en-US"/>
        </w:rPr>
        <w:t xml:space="preserve"> </w:t>
      </w:r>
      <w:r w:rsidR="000A7422">
        <w:t>from ideal</w:t>
      </w:r>
    </w:p>
    <w:p w:rsidR="00FA14AD" w:rsidRPr="002E7844" w:rsidRDefault="007053B8" w:rsidP="005E2B5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2E7844" w:rsidRDefault="000A7422" w:rsidP="006F287D">
      <w:pPr>
        <w:pStyle w:val="Heading4"/>
      </w:pPr>
      <w:r>
        <w:t>(2b.ii) Limit on end-of-horizon storage excess from ideal</w:t>
      </w:r>
    </w:p>
    <w:p w:rsidR="000A7422" w:rsidRPr="006F287D" w:rsidRDefault="007053B8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0A7422" w:rsidRDefault="000A7422" w:rsidP="006F287D">
      <w:pPr>
        <w:pStyle w:val="Heading4"/>
      </w:pPr>
      <w:r>
        <w:t>(2b.iii) Limit on end-of-horizon storage shortage from ideal</w:t>
      </w:r>
    </w:p>
    <w:p w:rsidR="000A7422" w:rsidRPr="006F287D" w:rsidRDefault="007053B8" w:rsidP="000A742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ba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Pr="006F287D" w:rsidRDefault="006F287D" w:rsidP="000A7422">
      <w:pPr>
        <w:rPr>
          <w:rFonts w:eastAsiaTheme="minorEastAsia"/>
          <w:lang w:val="en-US"/>
        </w:rPr>
      </w:pPr>
    </w:p>
    <w:p w:rsidR="006F287D" w:rsidRDefault="006F287D" w:rsidP="006F287D">
      <w:pPr>
        <w:pStyle w:val="Heading3"/>
      </w:pPr>
      <w:r>
        <w:t>(2c) Limits on charging and discharging of storage devices</w:t>
      </w:r>
    </w:p>
    <w:p w:rsidR="00113227" w:rsidRPr="00113227" w:rsidRDefault="00113227" w:rsidP="00113227">
      <w:r>
        <w:t>Here we limit the power charging and output capabilities of each storage unit</w:t>
      </w:r>
    </w:p>
    <w:p w:rsidR="006F287D" w:rsidRDefault="006F287D" w:rsidP="006F287D">
      <w:pPr>
        <w:pStyle w:val="Heading4"/>
      </w:pPr>
      <w:r>
        <w:t>(2c.i) Charging Limit</w:t>
      </w:r>
    </w:p>
    <w:p w:rsidR="006F287D" w:rsidRPr="006F287D" w:rsidRDefault="007053B8" w:rsidP="006F287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</m:oMath>
      </m:oMathPara>
    </w:p>
    <w:p w:rsidR="006F287D" w:rsidRDefault="006F287D" w:rsidP="006F287D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(2c.ii) Discharging Limit</w:t>
      </w:r>
    </w:p>
    <w:p w:rsidR="006F287D" w:rsidRPr="00113227" w:rsidRDefault="007053B8" w:rsidP="0011322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,  ∀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cr m:val="script"/>
              <m:sty m:val="p"/>
            </m:rPr>
            <w:rPr>
              <w:rFonts w:ascii="Cambria Math" w:hAnsi="Cambria Math"/>
              <w:lang w:val="en-US"/>
            </w:rPr>
            <m:t>∈S</m:t>
          </m:r>
        </m:oMath>
      </m:oMathPara>
    </w:p>
    <w:p w:rsidR="009C3918" w:rsidRDefault="009C3918" w:rsidP="009C3918">
      <w:pPr>
        <w:pStyle w:val="Heading3"/>
      </w:pPr>
      <w:r>
        <w:t>(</w:t>
      </w:r>
      <w:r w:rsidR="009B074D">
        <w:t>3)</w:t>
      </w:r>
      <w:r>
        <w:t xml:space="preserve"> Ramping constraints of each storage unit</w:t>
      </w:r>
    </w:p>
    <w:p w:rsidR="009B074D" w:rsidRPr="009B074D" w:rsidRDefault="009B074D" w:rsidP="009B074D">
      <w:pPr>
        <w:pStyle w:val="Heading4"/>
      </w:pPr>
      <w:r>
        <w:t>(3a) Ramping up limits</w:t>
      </w:r>
    </w:p>
    <w:p w:rsidR="009C3918" w:rsidRPr="009B074D" w:rsidRDefault="007053B8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7053B8" w:rsidP="009C391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Pr="009B074D" w:rsidRDefault="009B074D" w:rsidP="009B074D">
      <w:pPr>
        <w:pStyle w:val="Heading4"/>
      </w:pPr>
      <w:r>
        <w:t>(3a) Ramping down limits</w:t>
      </w:r>
    </w:p>
    <w:p w:rsidR="009B074D" w:rsidRPr="009B074D" w:rsidRDefault="007053B8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ch,0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t=1</m:t>
          </m:r>
          <m:r>
            <m:rPr>
              <m:lit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B074D" w:rsidRPr="009B074D" w:rsidRDefault="007053B8" w:rsidP="009B074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s,t-1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t=1}</m:t>
          </m:r>
        </m:oMath>
      </m:oMathPara>
    </w:p>
    <w:p w:rsidR="009B074D" w:rsidRDefault="009B074D" w:rsidP="009C3918"/>
    <w:p w:rsidR="009C3918" w:rsidRDefault="009C3918" w:rsidP="009C3918">
      <w:pPr>
        <w:pStyle w:val="Heading3"/>
      </w:pPr>
      <w:r>
        <w:t>(</w:t>
      </w:r>
      <w:r w:rsidR="00306ED5">
        <w:t>4</w:t>
      </w:r>
      <w:r>
        <w:t xml:space="preserve">) Enforced </w:t>
      </w:r>
      <w:r w:rsidR="005F7E98">
        <w:t>normal operation</w:t>
      </w:r>
      <w:r>
        <w:t xml:space="preserve"> range</w:t>
      </w:r>
    </w:p>
    <w:p w:rsidR="00306ED5" w:rsidRDefault="00306ED5" w:rsidP="00306ED5">
      <w:pPr>
        <w:pStyle w:val="Heading4"/>
      </w:pPr>
      <w:r>
        <w:t>(4a) Upper limits</w:t>
      </w:r>
    </w:p>
    <w:p w:rsidR="005F7E98" w:rsidRPr="005F7E98" w:rsidRDefault="005F7E98" w:rsidP="005F7E98">
      <w:r>
        <w:t>These constraints limit storage within a range to preserve its operation life</w:t>
      </w:r>
    </w:p>
    <w:p w:rsidR="00306ED5" w:rsidRDefault="007053B8" w:rsidP="00306E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up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306ED5" w:rsidRPr="00306ED5" w:rsidRDefault="00306ED5" w:rsidP="00306ED5">
      <w:pPr>
        <w:pStyle w:val="Heading4"/>
      </w:pPr>
      <w:r>
        <w:lastRenderedPageBreak/>
        <w:t>(4b) Lower Limits</w:t>
      </w:r>
    </w:p>
    <w:p w:rsidR="009C3918" w:rsidRPr="009C3918" w:rsidRDefault="007053B8" w:rsidP="009C39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dn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S,∀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</m:oMath>
      </m:oMathPara>
    </w:p>
    <w:p w:rsidR="00113227" w:rsidRDefault="005F7E98" w:rsidP="00113227">
      <w:pPr>
        <w:pStyle w:val="Heading3"/>
      </w:pPr>
      <w:r>
        <w:t>(6</w:t>
      </w:r>
      <w:r w:rsidR="00113227">
        <w:t>) Non</w:t>
      </w:r>
      <w:r w:rsidR="00A52109">
        <w:t>-</w:t>
      </w:r>
      <w:r w:rsidR="00113227">
        <w:t>negativity constraints</w:t>
      </w:r>
    </w:p>
    <w:p w:rsidR="00A52109" w:rsidRDefault="00A52109" w:rsidP="00A52109">
      <w:r>
        <w:t xml:space="preserve">Finally, we constrain the energy stored, power consumed/discharged, and energy shortage/excess decision variables to be non-negative. </w:t>
      </w:r>
    </w:p>
    <w:p w:rsidR="00A52109" w:rsidRPr="007053B8" w:rsidRDefault="007053B8" w:rsidP="00A521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</m:sSub>
          <m:r>
            <w:rPr>
              <w:rFonts w:ascii="Cambria Math" w:hAnsi="Cambria Math"/>
              <w:lang w:val="en-US"/>
            </w:rPr>
            <m:t>≥0,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ch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s,t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S,</m:t>
          </m:r>
          <m:r>
            <w:rPr>
              <w:rFonts w:ascii="Cambria Math" w:hAnsi="Cambria Math"/>
              <w:lang w:val="en-US"/>
            </w:rPr>
            <m:t>t∈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hAnsi="Cambria Math"/>
              <w:lang w:val="en-US"/>
            </w:rPr>
            <m:t>,  ∀s∈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7053B8" w:rsidRPr="0064292E" w:rsidRDefault="007053B8" w:rsidP="00A52109">
      <w:bookmarkStart w:id="0" w:name="_GoBack"/>
      <w:bookmarkEnd w:id="0"/>
    </w:p>
    <w:sectPr w:rsidR="007053B8" w:rsidRPr="0064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sTAwNDU2NDI2NzVW0lEKTi0uzszPAykwrAUAXj8DvywAAAA="/>
  </w:docVars>
  <w:rsids>
    <w:rsidRoot w:val="00D573A1"/>
    <w:rsid w:val="00041D74"/>
    <w:rsid w:val="00072A1B"/>
    <w:rsid w:val="000A7422"/>
    <w:rsid w:val="000E4682"/>
    <w:rsid w:val="00106D99"/>
    <w:rsid w:val="00113227"/>
    <w:rsid w:val="00186EAC"/>
    <w:rsid w:val="002113F7"/>
    <w:rsid w:val="00211E51"/>
    <w:rsid w:val="002B50F3"/>
    <w:rsid w:val="002E7844"/>
    <w:rsid w:val="00306ED5"/>
    <w:rsid w:val="003147C9"/>
    <w:rsid w:val="00335F9C"/>
    <w:rsid w:val="00350B82"/>
    <w:rsid w:val="003532EE"/>
    <w:rsid w:val="003C10B2"/>
    <w:rsid w:val="0046428D"/>
    <w:rsid w:val="0058465C"/>
    <w:rsid w:val="005A4660"/>
    <w:rsid w:val="005B3308"/>
    <w:rsid w:val="005E2B5C"/>
    <w:rsid w:val="005F6657"/>
    <w:rsid w:val="005F7E98"/>
    <w:rsid w:val="006102E4"/>
    <w:rsid w:val="00633302"/>
    <w:rsid w:val="00637B4F"/>
    <w:rsid w:val="0064292E"/>
    <w:rsid w:val="006767D8"/>
    <w:rsid w:val="006A50F7"/>
    <w:rsid w:val="006F287D"/>
    <w:rsid w:val="007053B8"/>
    <w:rsid w:val="00733E1E"/>
    <w:rsid w:val="008048F6"/>
    <w:rsid w:val="00880B46"/>
    <w:rsid w:val="008D40E5"/>
    <w:rsid w:val="008F6E41"/>
    <w:rsid w:val="009612A8"/>
    <w:rsid w:val="009B074D"/>
    <w:rsid w:val="009C3918"/>
    <w:rsid w:val="00A36DF1"/>
    <w:rsid w:val="00A52109"/>
    <w:rsid w:val="00AD1139"/>
    <w:rsid w:val="00B076FC"/>
    <w:rsid w:val="00B370FB"/>
    <w:rsid w:val="00B80A9F"/>
    <w:rsid w:val="00BE68AE"/>
    <w:rsid w:val="00C4316D"/>
    <w:rsid w:val="00C5621D"/>
    <w:rsid w:val="00CB0906"/>
    <w:rsid w:val="00D573A1"/>
    <w:rsid w:val="00E01B0E"/>
    <w:rsid w:val="00E20BFD"/>
    <w:rsid w:val="00EC38FD"/>
    <w:rsid w:val="00F02395"/>
    <w:rsid w:val="00F57948"/>
    <w:rsid w:val="00F84267"/>
    <w:rsid w:val="00F97EEB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D5C1"/>
  <w15:chartTrackingRefBased/>
  <w15:docId w15:val="{2C663512-CCC8-42DB-9EBC-B87001BF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A1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41D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041D7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6D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C10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6F287D"/>
    <w:rPr>
      <w:rFonts w:asciiTheme="majorHAnsi" w:eastAsiaTheme="majorEastAsia" w:hAnsiTheme="majorHAnsi" w:cstheme="majorBidi"/>
      <w:i/>
      <w:iCs/>
      <w:color w:val="2E74B5" w:themeColor="accent1" w:themeShade="BF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Kok</dc:creator>
  <cp:keywords/>
  <dc:description/>
  <cp:lastModifiedBy>Corey Kok</cp:lastModifiedBy>
  <cp:revision>16</cp:revision>
  <dcterms:created xsi:type="dcterms:W3CDTF">2020-01-23T10:13:00Z</dcterms:created>
  <dcterms:modified xsi:type="dcterms:W3CDTF">2020-02-18T14:29:00Z</dcterms:modified>
</cp:coreProperties>
</file>