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800"/>
              <w:left w:type="dxa" w:w="600"/>
              <w:bottom w:type="dxa" w:w="800"/>
              <w:right w:type="dxa" w:w="600"/>
            </w:tcMar>
          </w:tcPr>
          <w:p>
            <w:pPr>
              <w:spacing w:after="120" w:before="0"/>
              <w:jc w:val="left"/>
            </w:pPr>
            <w:r>
              <w:rPr>
                <w:rFonts w:ascii="Georgia" w:cs="Georgia" w:eastAsia="Georgia" w:hAnsi="Georgia"/>
                <w:b/>
                <w:bCs/>
                <w:color w:val="FFFFFF"/>
                <w:sz w:val="56"/>
                <w:szCs w:val="56"/>
              </w:rPr>
              <w:t xml:space="preserve">Parameter Derivation</w:t>
            </w:r>
          </w:p>
          <w:p>
            <w:pPr>
              <w:spacing w:after="120" w:before="0"/>
              <w:jc w:val="left"/>
            </w:pPr>
            <w:r>
              <w:rPr>
                <w:rFonts w:ascii="Georgia" w:cs="Georgia" w:eastAsia="Georgia" w:hAnsi="Georgia"/>
                <w:b/>
                <w:bCs/>
                <w:color w:val="FFFFFF"/>
                <w:sz w:val="56"/>
                <w:szCs w:val="56"/>
              </w:rPr>
              <w:t xml:space="preserve">Methodology</w:t>
            </w:r>
          </w:p>
          <w:p>
            <w:pPr>
              <w:spacing w:after="120" w:before="0"/>
            </w:pPr>
          </w:p>
          <w:p>
            <w:pPr>
              <w:spacing w:after="60" w:before="0"/>
              <w:jc w:val="left"/>
            </w:pPr>
            <w:r>
              <w:rPr>
                <w:rFonts w:ascii="Calibri" w:cs="Calibri" w:eastAsia="Calibri" w:hAnsi="Calibri"/>
                <w:i/>
                <w:iCs/>
                <w:color w:val="C8D8E8"/>
                <w:sz w:val="26"/>
                <w:szCs w:val="26"/>
              </w:rPr>
              <w:t xml:space="preserve">Stochastic Gordon–Schaefer Bio-Economic Model</w:t>
            </w:r>
          </w:p>
          <w:p>
            <w:pPr>
              <w:spacing w:after="60" w:before="0"/>
              <w:jc w:val="left"/>
            </w:pPr>
            <w:r>
              <w:rPr>
                <w:rFonts w:ascii="Calibri" w:cs="Calibri" w:eastAsia="Calibri" w:hAnsi="Calibri"/>
                <w:i/>
                <w:iCs/>
                <w:color w:val="C8D8E8"/>
                <w:sz w:val="26"/>
                <w:szCs w:val="26"/>
              </w:rPr>
              <w:t xml:space="preserve">of U.S. Coral Reef Fisheries</w:t>
            </w:r>
          </w:p>
          <w:p>
            <w:pPr>
              <w:spacing w:after="200" w:before="0"/>
            </w:pPr>
          </w:p>
          <w:p>
            <w:r>
              <w:rPr>
                <w:rFonts w:ascii="Calibri" w:cs="Calibri" w:eastAsia="Calibri" w:hAnsi="Calibri"/>
                <w:color w:val="0E7C7B"/>
                <w:sz w:val="22"/>
                <w:szCs w:val="22"/>
              </w:rPr>
              <w:t xml:space="preserve">────────────────────────────────────────</w:t>
            </w:r>
          </w:p>
          <w:p>
            <w:pPr>
              <w:spacing w:after="80" w:before="0"/>
            </w:pPr>
          </w:p>
          <w:p>
            <w:pPr>
              <w:spacing w:after="30" w:before="0"/>
            </w:pPr>
            <w:r>
              <w:rPr>
                <w:rFonts w:ascii="Calibri" w:cs="Calibri" w:eastAsia="Calibri" w:hAnsi="Calibri"/>
                <w:b/>
                <w:bCs/>
                <w:color w:val="C8922A"/>
                <w:sz w:val="20"/>
                <w:szCs w:val="20"/>
              </w:rPr>
              <w:t xml:space="preserve">Regions Covered:  </w:t>
            </w:r>
            <w:r>
              <w:rPr>
                <w:rFonts w:ascii="Calibri" w:cs="Calibri" w:eastAsia="Calibri" w:hAnsi="Calibri"/>
                <w:color w:val="D6E8F5"/>
                <w:sz w:val="20"/>
                <w:szCs w:val="20"/>
              </w:rPr>
              <w:t xml:space="preserve">American Samoa  ·  CNMI  ·  Florida  ·  Hawaii  ·  PRIA  ·  Puerto Rico  ·  USVI</w:t>
            </w:r>
          </w:p>
          <w:p>
            <w:pPr>
              <w:spacing w:after="30" w:before="0"/>
            </w:pPr>
            <w:r>
              <w:rPr>
                <w:rFonts w:ascii="Calibri" w:cs="Calibri" w:eastAsia="Calibri" w:hAnsi="Calibri"/>
                <w:b/>
                <w:bCs/>
                <w:color w:val="C8922A"/>
                <w:sz w:val="20"/>
                <w:szCs w:val="20"/>
              </w:rPr>
              <w:t xml:space="preserve">Monte Carlo Runs:  </w:t>
            </w:r>
            <w:r>
              <w:rPr>
                <w:rFonts w:ascii="Calibri" w:cs="Calibri" w:eastAsia="Calibri" w:hAnsi="Calibri"/>
                <w:color w:val="D6E8F5"/>
                <w:sz w:val="20"/>
                <w:szCs w:val="20"/>
              </w:rPr>
              <w:t xml:space="preserve">n = 500 per region</w:t>
            </w:r>
          </w:p>
          <w:p>
            <w:pPr>
              <w:spacing w:after="30" w:before="0"/>
            </w:pPr>
            <w:r>
              <w:rPr>
                <w:rFonts w:ascii="Calibri" w:cs="Calibri" w:eastAsia="Calibri" w:hAnsi="Calibri"/>
                <w:b/>
                <w:bCs/>
                <w:color w:val="C8922A"/>
                <w:sz w:val="20"/>
                <w:szCs w:val="20"/>
              </w:rPr>
              <w:t xml:space="preserve">Time Horizon:  </w:t>
            </w:r>
            <w:r>
              <w:rPr>
                <w:rFonts w:ascii="Calibri" w:cs="Calibri" w:eastAsia="Calibri" w:hAnsi="Calibri"/>
                <w:color w:val="D6E8F5"/>
                <w:sz w:val="20"/>
                <w:szCs w:val="20"/>
              </w:rPr>
              <w:t xml:space="preserve">80 years  (dt = 0.05 yr)</w:t>
            </w:r>
          </w:p>
          <w:p>
            <w:pPr>
              <w:spacing w:after="30" w:before="0"/>
            </w:pPr>
            <w:r>
              <w:rPr>
                <w:rFonts w:ascii="Calibri" w:cs="Calibri" w:eastAsia="Calibri" w:hAnsi="Calibri"/>
                <w:b/>
                <w:bCs/>
                <w:color w:val="C8922A"/>
                <w:sz w:val="20"/>
                <w:szCs w:val="20"/>
              </w:rPr>
              <w:t xml:space="preserve">Year Updated:  </w:t>
            </w:r>
            <w:r>
              <w:rPr>
                <w:rFonts w:ascii="Calibri" w:cs="Calibri" w:eastAsia="Calibri" w:hAnsi="Calibri"/>
                <w:color w:val="D6E8F5"/>
                <w:sz w:val="20"/>
                <w:szCs w:val="20"/>
              </w:rPr>
              <w:t xml:space="preserve">2026</w:t>
            </w:r>
          </w:p>
        </w:tc>
      </w:tr>
    </w:tbl>
    <w:p>
      <w:pPr>
        <w:spacing w:after="200" w:before="0"/>
      </w:pPr>
    </w:p>
    <w:p>
      <w:pPr>
        <w:pStyle w:val="Heading1"/>
        <w:pBdr>
          <w:bottom w:val="single" w:color="0E7C7B" w:sz="12" w:space="2"/>
        </w:pBdr>
        <w:spacing w:after="120" w:before="360"/>
      </w:pPr>
      <w:r>
        <w:rPr>
          <w:rFonts w:ascii="Calibri" w:cs="Calibri" w:eastAsia="Calibri" w:hAnsi="Calibri"/>
          <w:b/>
          <w:bCs/>
          <w:color w:val="1B3A6B"/>
          <w:sz w:val="32"/>
          <w:szCs w:val="32"/>
        </w:rPr>
        <w:t xml:space="preserve">1.  Model Overview</w:t>
      </w:r>
    </w:p>
    <w:p>
      <w:pPr>
        <w:spacing w:after="120" w:before="0"/>
      </w:pPr>
      <w:r>
        <w:rPr>
          <w:rFonts w:ascii="Calibri" w:cs="Calibri" w:eastAsia="Calibri" w:hAnsi="Calibri"/>
          <w:color w:val="1A1A1A"/>
          <w:sz w:val="22"/>
          <w:szCs w:val="22"/>
        </w:rPr>
        <w:t xml:space="preserve">This document provides full transparency into every parameter used in the Gordon–Schaefer simulation scripts (gordon-schaefer-*.m). It is intended for judges, reviewers, and collaborators who wish to understand the empirical basis of the model without access to the original raw data files.</w:t>
      </w:r>
    </w:p>
    <w:p>
      <w:pPr>
        <w:pStyle w:val="Heading2"/>
        <w:spacing w:after="80" w:before="240"/>
      </w:pPr>
      <w:r>
        <w:rPr>
          <w:rFonts w:ascii="Calibri" w:cs="Calibri" w:eastAsia="Calibri" w:hAnsi="Calibri"/>
          <w:b/>
          <w:bCs/>
          <w:color w:val="0E7C7B"/>
          <w:sz w:val="24"/>
          <w:szCs w:val="24"/>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Symbol</w:t>
            </w:r>
          </w:p>
        </w:tc>
        <w:tc>
          <w:tcPr>
            <w:tcW w:type="dxa" w:w="22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Variable</w:t>
            </w:r>
          </w:p>
        </w:tc>
        <w:tc>
          <w:tcPr>
            <w:tcW w:type="dxa" w:w="57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Description</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Courier New" w:cs="Courier New" w:eastAsia="Courier New" w:hAnsi="Courier New"/>
                <w:color w:val="0E7C7B"/>
                <w:sz w:val="19"/>
                <w:szCs w:val="19"/>
              </w:rPr>
              <w:t xml:space="preserve">X(t)</w:t>
            </w:r>
          </w:p>
        </w:tc>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Fish Biomass</w:t>
            </w:r>
          </w:p>
        </w:tc>
        <w:tc>
          <w:tcPr>
            <w:tcW w:type="dxa" w:w="57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Total fish biomass (kg) across the reef region at time t</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Courier New" w:cs="Courier New" w:eastAsia="Courier New" w:hAnsi="Courier New"/>
                <w:color w:val="0E7C7B"/>
                <w:sz w:val="19"/>
                <w:szCs w:val="19"/>
              </w:rPr>
              <w:t xml:space="preserve">R(t)</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Reef Health Index</w:t>
            </w:r>
          </w:p>
        </w:tc>
        <w:tc>
          <w:tcPr>
            <w:tcW w:type="dxa" w:w="5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Live coral cover (km² equivalent) at time t</w:t>
            </w:r>
          </w:p>
        </w:tc>
      </w:tr>
    </w:tbl>
    <w:p>
      <w:pPr>
        <w:spacing w:after="120" w:before="0"/>
      </w:pPr>
    </w:p>
    <w:p>
      <w:pPr>
        <w:pStyle w:val="Heading2"/>
        <w:spacing w:after="80" w:before="240"/>
      </w:pPr>
      <w:r>
        <w:rPr>
          <w:rFonts w:ascii="Calibri" w:cs="Calibri" w:eastAsia="Calibri" w:hAnsi="Calibri"/>
          <w:b/>
          <w:bCs/>
          <w:color w:val="0E7C7B"/>
          <w:sz w:val="24"/>
          <w:szCs w:val="24"/>
        </w:rPr>
        <w:t xml:space="preserve">Governing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Coupled Stochastic Differential Equations</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ourier New" w:cs="Courier New" w:eastAsia="Courier New" w:hAnsi="Courier New"/>
                <w:color w:val="1B3A6B"/>
                <w:sz w:val="20"/>
                <w:szCs w:val="20"/>
              </w:rPr>
              <w:t xml:space="preserve">dX = [ r·X·(1 − X/K</w:t>
            </w:r>
            <w:r>
              <w:rPr>
                <w:rFonts w:ascii="Courier New" w:cs="Courier New" w:eastAsia="Courier New" w:hAnsi="Courier New"/>
                <w:color w:val="1B3A6B"/>
                <w:sz w:val="16"/>
                <w:szCs w:val="16"/>
              </w:rPr>
              <w:t xml:space="preserve">t</w:t>
            </w:r>
            <w:r>
              <w:rPr>
                <w:rFonts w:ascii="Courier New" w:cs="Courier New" w:eastAsia="Courier New" w:hAnsi="Courier New"/>
                <w:color w:val="1B3A6B"/>
                <w:sz w:val="20"/>
                <w:szCs w:val="20"/>
              </w:rPr>
              <w:t xml:space="preserve">) − q·E·X ] dt  +  σ</w:t>
            </w:r>
            <w:r>
              <w:rPr>
                <w:rFonts w:ascii="Courier New" w:cs="Courier New" w:eastAsia="Courier New" w:hAnsi="Courier New"/>
                <w:color w:val="1B3A6B"/>
                <w:sz w:val="16"/>
                <w:szCs w:val="16"/>
              </w:rPr>
              <w:t xml:space="preserve">X</w:t>
            </w:r>
            <w:r>
              <w:rPr>
                <w:rFonts w:ascii="Courier New" w:cs="Courier New" w:eastAsia="Courier New" w:hAnsi="Courier New"/>
                <w:color w:val="1B3A6B"/>
                <w:sz w:val="20"/>
                <w:szCs w:val="20"/>
              </w:rPr>
              <w:t xml:space="preserve">·X·dW</w:t>
            </w:r>
            <w:r>
              <w:rPr>
                <w:rFonts w:ascii="Courier New" w:cs="Courier New" w:eastAsia="Courier New" w:hAnsi="Courier New"/>
                <w:color w:val="1B3A6B"/>
                <w:sz w:val="16"/>
                <w:szCs w:val="16"/>
              </w:rPr>
              <w:t xml:space="preserve">X</w:t>
            </w:r>
            <w:r>
              <w:rPr>
                <w:rFonts w:ascii="Courier New" w:cs="Courier New" w:eastAsia="Courier New" w:hAnsi="Courier New"/>
                <w:color w:val="1B3A6B"/>
                <w:sz w:val="20"/>
                <w:szCs w:val="20"/>
              </w:rPr>
              <w:t xml:space="preserve">  −  shock</w:t>
            </w:r>
            <w:r>
              <w:rPr>
                <w:rFonts w:ascii="Courier New" w:cs="Courier New" w:eastAsia="Courier New" w:hAnsi="Courier New"/>
                <w:color w:val="1B3A6B"/>
                <w:sz w:val="16"/>
                <w:szCs w:val="16"/>
              </w:rPr>
              <w:t xml:space="preserve">X</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ourier New" w:cs="Courier New" w:eastAsia="Courier New" w:hAnsi="Courier New"/>
                <w:color w:val="1B3A6B"/>
                <w:sz w:val="20"/>
                <w:szCs w:val="20"/>
              </w:rPr>
              <w:t xml:space="preserve">dR = [ g·R·(1 − R/R</w:t>
            </w:r>
            <w:r>
              <w:rPr>
                <w:rFonts w:ascii="Courier New" w:cs="Courier New" w:eastAsia="Courier New" w:hAnsi="Courier New"/>
                <w:color w:val="1B3A6B"/>
                <w:sz w:val="16"/>
                <w:szCs w:val="16"/>
              </w:rPr>
              <w:t xml:space="preserve">max</w:t>
            </w:r>
            <w:r>
              <w:rPr>
                <w:rFonts w:ascii="Courier New" w:cs="Courier New" w:eastAsia="Courier New" w:hAnsi="Courier New"/>
                <w:color w:val="1B3A6B"/>
                <w:sz w:val="20"/>
                <w:szCs w:val="20"/>
              </w:rPr>
              <w:t xml:space="preserve">) − δ·R ] dt  +  σ</w:t>
            </w:r>
            <w:r>
              <w:rPr>
                <w:rFonts w:ascii="Courier New" w:cs="Courier New" w:eastAsia="Courier New" w:hAnsi="Courier New"/>
                <w:color w:val="1B3A6B"/>
                <w:sz w:val="16"/>
                <w:szCs w:val="16"/>
              </w:rPr>
              <w:t xml:space="preserve">R</w:t>
            </w:r>
            <w:r>
              <w:rPr>
                <w:rFonts w:ascii="Courier New" w:cs="Courier New" w:eastAsia="Courier New" w:hAnsi="Courier New"/>
                <w:color w:val="1B3A6B"/>
                <w:sz w:val="20"/>
                <w:szCs w:val="20"/>
              </w:rPr>
              <w:t xml:space="preserve">·R·dW</w:t>
            </w:r>
            <w:r>
              <w:rPr>
                <w:rFonts w:ascii="Courier New" w:cs="Courier New" w:eastAsia="Courier New" w:hAnsi="Courier New"/>
                <w:color w:val="1B3A6B"/>
                <w:sz w:val="16"/>
                <w:szCs w:val="16"/>
              </w:rPr>
              <w:t xml:space="preserve">R</w:t>
            </w:r>
            <w:r>
              <w:rPr>
                <w:rFonts w:ascii="Courier New" w:cs="Courier New" w:eastAsia="Courier New" w:hAnsi="Courier New"/>
                <w:color w:val="1B3A6B"/>
                <w:sz w:val="20"/>
                <w:szCs w:val="20"/>
              </w:rPr>
              <w:t xml:space="preserve">  −  shock</w:t>
            </w:r>
            <w:r>
              <w:rPr>
                <w:rFonts w:ascii="Courier New" w:cs="Courier New" w:eastAsia="Courier New" w:hAnsi="Courier New"/>
                <w:color w:val="1B3A6B"/>
                <w:sz w:val="16"/>
                <w:szCs w:val="16"/>
              </w:rPr>
              <w:t xml:space="preserve">R</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alibri" w:cs="Calibri" w:eastAsia="Calibri" w:hAnsi="Calibri"/>
                <w:color w:val="1A1A1A"/>
                <w:sz w:val="21"/>
                <w:szCs w:val="21"/>
              </w:rPr>
              <w:t xml:space="preserve"/>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alibri" w:cs="Calibri" w:eastAsia="Calibri" w:hAnsi="Calibri"/>
                <w:b/>
                <w:bCs/>
                <w:color w:val="1A1A1A"/>
                <w:sz w:val="22"/>
                <w:szCs w:val="22"/>
              </w:rPr>
              <w:t xml:space="preserve">Key coupling:  </w:t>
            </w:r>
            <w:r>
              <w:rPr>
                <w:rFonts w:ascii="Calibri" w:cs="Calibri" w:eastAsia="Calibri" w:hAnsi="Calibri"/>
                <w:color w:val="1A1A1A"/>
                <w:sz w:val="22"/>
                <w:szCs w:val="22"/>
              </w:rPr>
              <w:t xml:space="preserve">K</w:t>
            </w:r>
            <w:r>
              <w:rPr>
                <w:rFonts w:ascii="Calibri" w:cs="Calibri" w:eastAsia="Calibri" w:hAnsi="Calibri"/>
                <w:sz w:val="18"/>
                <w:szCs w:val="18"/>
              </w:rPr>
              <w:t xml:space="preserve">t</w:t>
            </w:r>
            <w:r>
              <w:rPr>
                <w:rFonts w:ascii="Calibri" w:cs="Calibri" w:eastAsia="Calibri" w:hAnsi="Calibri"/>
                <w:color w:val="1A1A1A"/>
                <w:sz w:val="22"/>
                <w:szCs w:val="22"/>
              </w:rPr>
              <w:t xml:space="preserve"> = α · R(t)  — reef health dynamically sets fish carrying capacity</w:t>
            </w:r>
          </w:p>
        </w:tc>
      </w:tr>
    </w:tbl>
    <w:p>
      <w:pPr>
        <w:spacing w:after="120" w:before="0"/>
      </w:pPr>
    </w:p>
    <w:p>
      <w:pPr>
        <w:pStyle w:val="Heading2"/>
        <w:spacing w:after="80" w:before="240"/>
      </w:pPr>
      <w:r>
        <w:rPr>
          <w:rFonts w:ascii="Calibri" w:cs="Calibri" w:eastAsia="Calibri" w:hAnsi="Calibri"/>
          <w:b/>
          <w:bCs/>
          <w:color w:val="0E7C7B"/>
          <w:sz w:val="24"/>
          <w:szCs w:val="24"/>
        </w:rPr>
        <w:t xml:space="preserve">Simulation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Setting</w:t>
            </w:r>
          </w:p>
        </w:tc>
        <w:tc>
          <w:tcPr>
            <w:tcW w:type="dxa" w:w="63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Value</w:t>
            </w:r>
          </w:p>
        </w:tc>
      </w:tr>
      <w:tr>
        <w:tc>
          <w:tcPr>
            <w:tcW w:type="dxa" w:w="30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Monte Carlo runs</w:t>
            </w:r>
          </w:p>
        </w:tc>
        <w:tc>
          <w:tcPr>
            <w:tcW w:type="dxa" w:w="6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500 per region</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Time horizon</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80 years (2023–2103)</w:t>
            </w:r>
          </w:p>
        </w:tc>
      </w:tr>
      <w:tr>
        <w:tc>
          <w:tcPr>
            <w:tcW w:type="dxa" w:w="30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Time step (dt)</w:t>
            </w:r>
          </w:p>
        </w:tc>
        <w:tc>
          <w:tcPr>
            <w:tcW w:type="dxa" w:w="6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0.05 years (≈18 days)</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Collapse threshold</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X &lt; 10% of K at any point during simulation</w:t>
            </w:r>
          </w:p>
        </w:tc>
      </w:tr>
      <w:tr>
        <w:tc>
          <w:tcPr>
            <w:tcW w:type="dxa" w:w="30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Random seed</w:t>
            </w:r>
          </w:p>
        </w:tc>
        <w:tc>
          <w:tcPr>
            <w:tcW w:type="dxa" w:w="6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rng(42) — fully reproducible</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Scenarios</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(1) With degradation (δ &gt; 0)   vs.   (2) No degradation (δ = 0)</w:t>
            </w:r>
          </w:p>
        </w:tc>
      </w:tr>
    </w:tbl>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2.  Data Sources</w:t>
      </w:r>
    </w:p>
    <w:p>
      <w:pPr>
        <w:spacing w:after="120" w:before="0"/>
      </w:pPr>
      <w:r>
        <w:rPr>
          <w:rFonts w:ascii="Calibri" w:cs="Calibri" w:eastAsia="Calibri" w:hAnsi="Calibri"/>
          <w:color w:val="1A1A1A"/>
          <w:sz w:val="22"/>
          <w:szCs w:val="22"/>
        </w:rPr>
        <w:t xml:space="preserve">All parameters were derived from publicly available U.S. government reef monitoring programs. The raw data files are not committed to this repository due to file size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Source</w:t>
            </w:r>
          </w:p>
        </w:tc>
        <w:tc>
          <w:tcPr>
            <w:tcW w:type="dxa" w:w="35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Data Used</w:t>
            </w:r>
          </w:p>
        </w:tc>
        <w:tc>
          <w:tcPr>
            <w:tcW w:type="dxa" w:w="32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Regions</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NOAA NCRMP</w:t>
            </w:r>
          </w:p>
        </w:tc>
        <w:tc>
          <w:tcPr>
            <w:tcW w:type="dxa" w:w="35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Fish visual census; benthic photo-quadrats</w:t>
            </w:r>
          </w:p>
        </w:tc>
        <w:tc>
          <w:tcPr>
            <w:tcW w:type="dxa" w:w="3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All 7 regions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NOAA PIFSC</w:t>
            </w:r>
          </w:p>
        </w:tc>
        <w:tc>
          <w:tcPr>
            <w:tcW w:type="dxa" w:w="3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Biomass &amp; coral cover time series</w:t>
            </w:r>
          </w:p>
        </w:tc>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AS, CNMI, HI, PRIA</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NOAA SEFSC</w:t>
            </w:r>
          </w:p>
        </w:tc>
        <w:tc>
          <w:tcPr>
            <w:tcW w:type="dxa" w:w="35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Biomass &amp; coral cover time series</w:t>
            </w:r>
          </w:p>
        </w:tc>
        <w:tc>
          <w:tcPr>
            <w:tcW w:type="dxa" w:w="3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 PR, USVI</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NOAA Coral Reef Watch</w:t>
            </w:r>
          </w:p>
        </w:tc>
        <w:tc>
          <w:tcPr>
            <w:tcW w:type="dxa" w:w="3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Bleaching alert history for shock calibration</w:t>
            </w:r>
          </w:p>
        </w:tc>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All 7 regions</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HURDAT / NHC</w:t>
            </w:r>
          </w:p>
        </w:tc>
        <w:tc>
          <w:tcPr>
            <w:tcW w:type="dxa" w:w="35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Hurricane tracks &amp; intensities</w:t>
            </w:r>
          </w:p>
        </w:tc>
        <w:tc>
          <w:tcPr>
            <w:tcW w:type="dxa" w:w="3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 PR, USVI, CNMI</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Burke et al. (2011)</w:t>
            </w:r>
          </w:p>
        </w:tc>
        <w:tc>
          <w:tcPr>
            <w:tcW w:type="dxa" w:w="3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Reef area estimates (km²)</w:t>
            </w:r>
          </w:p>
        </w:tc>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All 7 regions</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Spalding et al. (2001)</w:t>
            </w:r>
          </w:p>
        </w:tc>
        <w:tc>
          <w:tcPr>
            <w:tcW w:type="dxa" w:w="35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Global reef area (284,000 km²) for scaling</w:t>
            </w:r>
          </w:p>
        </w:tc>
        <w:tc>
          <w:tcPr>
            <w:tcW w:type="dxa" w:w="3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Global extrapolation</w:t>
            </w:r>
          </w:p>
        </w:tc>
      </w:tr>
    </w:tbl>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3.  Fish Biomass Parameters</w:t>
      </w:r>
    </w:p>
    <w:p>
      <w:pPr>
        <w:pStyle w:val="Heading2"/>
        <w:spacing w:after="80" w:before="240"/>
      </w:pPr>
      <w:r>
        <w:rPr>
          <w:rFonts w:ascii="Calibri" w:cs="Calibri" w:eastAsia="Calibri" w:hAnsi="Calibri"/>
          <w:b/>
          <w:bCs/>
          <w:color w:val="0E7C7B"/>
          <w:sz w:val="24"/>
          <w:szCs w:val="24"/>
        </w:rPr>
        <w:t xml:space="preserve">3.1  The 0.001·L³ Length-Weight Method</w:t>
      </w:r>
    </w:p>
    <w:p>
      <w:pPr>
        <w:spacing w:after="120" w:before="0"/>
      </w:pPr>
      <w:r>
        <w:rPr>
          <w:rFonts w:ascii="Calibri" w:cs="Calibri" w:eastAsia="Calibri" w:hAnsi="Calibri"/>
          <w:color w:val="1A1A1A"/>
          <w:sz w:val="22"/>
          <w:szCs w:val="22"/>
        </w:rPr>
        <w:t xml:space="preserve">NOAA NCRMP fish surveys record individual fish with estimated total length (TL) in centimeters but do not directly measure weight. The following allometric relationship was applied to every fish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Allometric Conversion Formula</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ourier New" w:cs="Courier New" w:eastAsia="Courier New" w:hAnsi="Courier New"/>
                <w:b/>
                <w:bCs/>
                <w:color w:val="1B3A6B"/>
                <w:sz w:val="22"/>
                <w:szCs w:val="22"/>
              </w:rPr>
              <w:t xml:space="preserve">W</w:t>
            </w:r>
            <w:r>
              <w:rPr>
                <w:rFonts w:ascii="Courier New" w:cs="Courier New" w:eastAsia="Courier New" w:hAnsi="Courier New"/>
                <w:color w:val="1B3A6B"/>
                <w:sz w:val="16"/>
                <w:szCs w:val="16"/>
              </w:rPr>
              <w:t xml:space="preserve">i</w:t>
            </w:r>
            <w:r>
              <w:rPr>
                <w:rFonts w:ascii="Courier New" w:cs="Courier New" w:eastAsia="Courier New" w:hAnsi="Courier New"/>
                <w:color w:val="1B3A6B"/>
                <w:sz w:val="22"/>
                <w:szCs w:val="22"/>
              </w:rPr>
              <w:t xml:space="preserve">  (grams)  =  0.001  ×  L</w:t>
            </w:r>
            <w:r>
              <w:rPr>
                <w:rFonts w:ascii="Courier New" w:cs="Courier New" w:eastAsia="Courier New" w:hAnsi="Courier New"/>
                <w:color w:val="1B3A6B"/>
                <w:sz w:val="16"/>
                <w:szCs w:val="16"/>
              </w:rPr>
              <w:t xml:space="preserve">i</w:t>
            </w:r>
            <w:r>
              <w:rPr>
                <w:rFonts w:ascii="Courier New" w:cs="Courier New" w:eastAsia="Courier New" w:hAnsi="Courier New"/>
                <w:color w:val="1B3A6B"/>
                <w:sz w:val="22"/>
                <w:szCs w:val="22"/>
              </w:rPr>
              <w:t xml:space="preserve">³</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alibri" w:cs="Calibri" w:eastAsia="Calibri" w:hAnsi="Calibri"/>
                <w:color w:val="1A1A1A"/>
                <w:sz w:val="21"/>
                <w:szCs w:val="21"/>
              </w:rPr>
              <w:t xml:space="preserve"/>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alibri" w:cs="Calibri" w:eastAsia="Calibri" w:hAnsi="Calibri"/>
                <w:color w:val="1A1A1A"/>
                <w:sz w:val="21"/>
                <w:szCs w:val="21"/>
              </w:rPr>
              <w:t xml:space="preserve">Where:  a = 0.001  (intercept),  b = 3.0  (exponent)</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alibri" w:cs="Calibri" w:eastAsia="Calibri" w:hAnsi="Calibri"/>
                <w:color w:val="1A1A1A"/>
                <w:sz w:val="21"/>
                <w:szCs w:val="21"/>
              </w:rPr>
              <w:t xml:space="preserve">This generalized relationship is appropriate for mixed tropical reef fish assemblages where b typically ranges from 2.9–3.1 across species.</w:t>
            </w:r>
          </w:p>
        </w:tc>
      </w:tr>
    </w:tbl>
    <w:p>
      <w:pPr>
        <w:spacing w:after="80" w:before="0"/>
      </w:pPr>
    </w:p>
    <w:p>
      <w:pPr>
        <w:spacing w:after="120" w:before="0"/>
      </w:pPr>
      <w:r>
        <w:rPr>
          <w:rFonts w:ascii="Calibri" w:cs="Calibri" w:eastAsia="Calibri" w:hAnsi="Calibri"/>
          <w:color w:val="1A1A1A"/>
          <w:sz w:val="22"/>
          <w:szCs w:val="22"/>
        </w:rPr>
        <w:t xml:space="preserve">The derivation pipeline applied to the raw survey data was:</w:t>
      </w:r>
    </w:p>
    <w:p>
      <w:pPr>
        <w:pStyle w:val="ListParagraph"/>
        <w:numPr>
          <w:ilvl w:val="0"/>
          <w:numId w:val="2"/>
        </w:numPr>
        <w:spacing w:after="80" w:before="0"/>
      </w:pPr>
      <w:r>
        <w:rPr>
          <w:rFonts w:ascii="Calibri" w:cs="Calibri" w:eastAsia="Calibri" w:hAnsi="Calibri"/>
          <w:color w:val="1A1A1A"/>
          <w:sz w:val="22"/>
          <w:szCs w:val="22"/>
        </w:rPr>
        <w:t xml:space="preserve">For each fish observation record i, compute Wᵢ = 0.001 × Lᵢ³ (grams), then divide by 1,000 for kg</w:t>
      </w:r>
    </w:p>
    <w:p>
      <w:pPr>
        <w:pStyle w:val="ListParagraph"/>
        <w:numPr>
          <w:ilvl w:val="0"/>
          <w:numId w:val="2"/>
        </w:numPr>
        <w:spacing w:after="80" w:before="0"/>
      </w:pPr>
      <w:r>
        <w:rPr>
          <w:rFonts w:ascii="Calibri" w:cs="Calibri" w:eastAsia="Calibri" w:hAnsi="Calibri"/>
          <w:color w:val="1A1A1A"/>
          <w:sz w:val="22"/>
          <w:szCs w:val="22"/>
        </w:rPr>
        <w:t xml:space="preserve">Sum all Wᵢ within each survey unit (transect or point count) to get biomass density per unit area</w:t>
      </w:r>
    </w:p>
    <w:p>
      <w:pPr>
        <w:pStyle w:val="ListParagraph"/>
        <w:numPr>
          <w:ilvl w:val="0"/>
          <w:numId w:val="2"/>
        </w:numPr>
        <w:spacing w:after="80" w:before="0"/>
      </w:pPr>
      <w:r>
        <w:rPr>
          <w:rFonts w:ascii="Calibri" w:cs="Calibri" w:eastAsia="Calibri" w:hAnsi="Calibri"/>
          <w:color w:val="1A1A1A"/>
          <w:sz w:val="22"/>
          <w:szCs w:val="22"/>
        </w:rPr>
        <w:t xml:space="preserve">Expand to reef-wide total: Total Biomass = (mean density per unit area) × (total reef area km²)</w:t>
      </w:r>
    </w:p>
    <w:p>
      <w:pPr>
        <w:pStyle w:val="ListParagraph"/>
        <w:numPr>
          <w:ilvl w:val="0"/>
          <w:numId w:val="2"/>
        </w:numPr>
        <w:spacing w:after="80" w:before="0"/>
      </w:pPr>
      <w:r>
        <w:rPr>
          <w:rFonts w:ascii="Calibri" w:cs="Calibri" w:eastAsia="Calibri" w:hAnsi="Calibri"/>
          <w:color w:val="1A1A1A"/>
          <w:sz w:val="22"/>
          <w:szCs w:val="22"/>
        </w:rPr>
        <w:t xml:space="preserve">Repeat for each survey year to produce an annual biomass time series per region</w:t>
      </w:r>
    </w:p>
    <w:p>
      <w:pPr>
        <w:spacing w:after="80" w:before="0"/>
      </w:pPr>
    </w:p>
    <w:p>
      <w:pPr>
        <w:spacing w:after="120" w:before="0"/>
      </w:pPr>
      <w:r>
        <w:rPr>
          <w:rFonts w:ascii="Calibri" w:cs="Calibri" w:eastAsia="Calibri" w:hAnsi="Calibri"/>
          <w:b/>
          <w:bCs/>
          <w:color w:val="1A1A1A"/>
          <w:sz w:val="22"/>
          <w:szCs w:val="22"/>
        </w:rPr>
        <w:t xml:space="preserve">Reference:  </w:t>
      </w:r>
      <w:r>
        <w:rPr>
          <w:rFonts w:ascii="Calibri" w:cs="Calibri" w:eastAsia="Calibri" w:hAnsi="Calibri"/>
          <w:color w:val="1A1A1A"/>
          <w:sz w:val="22"/>
          <w:szCs w:val="22"/>
        </w:rPr>
        <w:t xml:space="preserve">Kulbicki, M., Guillemot, N., &amp; Amand, M. (2005). A general approach to length–weight relationships for New Caledonian lagoon fishes. </w:t>
      </w:r>
      <w:r>
        <w:rPr>
          <w:rFonts w:ascii="Calibri" w:cs="Calibri" w:eastAsia="Calibri" w:hAnsi="Calibri"/>
          <w:i/>
          <w:iCs/>
          <w:color w:val="1A1A1A"/>
          <w:sz w:val="22"/>
          <w:szCs w:val="22"/>
        </w:rPr>
        <w:t xml:space="preserve">Cybium</w:t>
      </w:r>
      <w:r>
        <w:rPr>
          <w:rFonts w:ascii="Calibri" w:cs="Calibri" w:eastAsia="Calibri" w:hAnsi="Calibri"/>
          <w:color w:val="1A1A1A"/>
          <w:sz w:val="22"/>
          <w:szCs w:val="22"/>
        </w:rPr>
        <w:t xml:space="preserve">, 29(3), 235–252.</w:t>
      </w:r>
    </w:p>
    <w:p>
      <w:pPr>
        <w:pStyle w:val="Heading2"/>
        <w:spacing w:after="80" w:before="240"/>
      </w:pPr>
      <w:r>
        <w:rPr>
          <w:rFonts w:ascii="Calibri" w:cs="Calibri" w:eastAsia="Calibri" w:hAnsi="Calibri"/>
          <w:b/>
          <w:bCs/>
          <w:color w:val="0E7C7B"/>
          <w:sz w:val="24"/>
          <w:szCs w:val="24"/>
        </w:rPr>
        <w:t xml:space="preserve">3.2  K (Carrying Capacity) — Florida Anchor</w:t>
      </w:r>
    </w:p>
    <w:p>
      <w:pPr>
        <w:spacing w:after="120" w:before="0"/>
      </w:pPr>
      <w:r>
        <w:rPr>
          <w:rFonts w:ascii="Calibri" w:cs="Calibri" w:eastAsia="Calibri" w:hAnsi="Calibri"/>
          <w:color w:val="1A1A1A"/>
          <w:sz w:val="22"/>
          <w:szCs w:val="22"/>
        </w:rPr>
        <w:t xml:space="preserve">Florida was selected as the anchor region because it has the longest NOAA fish survey time series (2014–2022, five survey years). Carrying capacity K was set to the maximum observed biomass across all years, under the assumption that 2014 most closely represents a lightly-fished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Survey Year</w:t>
            </w:r>
          </w:p>
        </w:tc>
        <w:tc>
          <w:tcPr>
            <w:tcW w:type="dxa" w:w="34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Biomass (kg)</w:t>
            </w:r>
          </w:p>
        </w:tc>
        <w:tc>
          <w:tcPr>
            <w:tcW w:type="dxa" w:w="41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Role in Model</w:t>
            </w:r>
          </w:p>
        </w:tc>
      </w:tr>
      <w:tr>
        <w:tc>
          <w:tcPr>
            <w:tcW w:type="dxa" w:w="18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2014</w:t>
            </w:r>
          </w:p>
        </w:tc>
        <w:tc>
          <w:tcPr>
            <w:tcW w:type="dxa" w:w="34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19,687,072.72 ÷ 1000 = 19,687.07</w:t>
            </w:r>
          </w:p>
        </w:tc>
        <w:tc>
          <w:tcPr>
            <w:tcW w:type="dxa" w:w="416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C8922A"/>
                <w:sz w:val="20"/>
                <w:szCs w:val="20"/>
              </w:rPr>
              <w:t xml:space="preserve">←  Kₛₗ (carrying capacity)</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2016</w:t>
            </w:r>
          </w:p>
        </w:tc>
        <w:tc>
          <w:tcPr>
            <w:tcW w:type="dxa" w:w="3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15,833,018.77 ÷ 1000 = 15,833.02</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Observed data point</w:t>
            </w:r>
          </w:p>
        </w:tc>
      </w:tr>
      <w:tr>
        <w:tc>
          <w:tcPr>
            <w:tcW w:type="dxa" w:w="18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2018</w:t>
            </w:r>
          </w:p>
        </w:tc>
        <w:tc>
          <w:tcPr>
            <w:tcW w:type="dxa" w:w="3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10,143,101.85 ÷ 1000 = 10,143.10</w:t>
            </w:r>
          </w:p>
        </w:tc>
        <w:tc>
          <w:tcPr>
            <w:tcW w:type="dxa" w:w="416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Observed data point</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2021</w:t>
            </w:r>
          </w:p>
        </w:tc>
        <w:tc>
          <w:tcPr>
            <w:tcW w:type="dxa" w:w="3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7,288,779.06 ÷ 1000 = 7,288.78</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Observed data point</w:t>
            </w:r>
          </w:p>
        </w:tc>
      </w:tr>
      <w:tr>
        <w:tc>
          <w:tcPr>
            <w:tcW w:type="dxa" w:w="18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2022</w:t>
            </w:r>
          </w:p>
        </w:tc>
        <w:tc>
          <w:tcPr>
            <w:tcW w:type="dxa" w:w="3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7,731,440.87 ÷ 1000 = 7,731.44</w:t>
            </w:r>
          </w:p>
        </w:tc>
        <w:tc>
          <w:tcPr>
            <w:tcW w:type="dxa" w:w="416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0E7C7B"/>
                <w:sz w:val="20"/>
                <w:szCs w:val="20"/>
              </w:rPr>
              <w:t xml:space="preserve">←  X₀ₛₗ (initial condition)</w:t>
            </w:r>
          </w:p>
        </w:tc>
      </w:tr>
    </w:tbl>
    <w:p>
      <w:pPr>
        <w:pStyle w:val="Heading2"/>
        <w:spacing w:after="80" w:before="240"/>
      </w:pPr>
      <w:r>
        <w:rPr>
          <w:rFonts w:ascii="Calibri" w:cs="Calibri" w:eastAsia="Calibri" w:hAnsi="Calibri"/>
          <w:b/>
          <w:bCs/>
          <w:color w:val="0E7C7B"/>
          <w:sz w:val="24"/>
          <w:szCs w:val="24"/>
        </w:rPr>
        <w:t xml:space="preserve">3.3  Scaling K to Other Regions</w:t>
      </w:r>
    </w:p>
    <w:p>
      <w:pPr>
        <w:spacing w:after="120" w:before="0"/>
      </w:pPr>
      <w:r>
        <w:rPr>
          <w:rFonts w:ascii="Calibri" w:cs="Calibri" w:eastAsia="Calibri" w:hAnsi="Calibri"/>
          <w:color w:val="1A1A1A"/>
          <w:sz w:val="22"/>
          <w:szCs w:val="22"/>
        </w:rPr>
        <w:t xml:space="preserve">For regions lacking a sufficient biomass time series, K was scaled from the Florida anchor proportionally by reef habitat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Area Scaling Formula</w:t>
            </w:r>
          </w:p>
        </w:tc>
      </w:tr>
      <w:tr>
        <w:tc>
          <w:tcPr>
            <w:tcW w:type="dxa" w:w="9360"/>
            <w:tcBorders>
              <w:top w:val="none" w:color="FFFFFF" w:sz="0"/>
              <w:left w:val="none" w:color="FFFFFF" w:sz="0"/>
              <w:bottom w:val="none" w:color="FFFFFF" w:sz="0"/>
              <w:right w:val="none" w:color="FFFFFF" w:sz="0"/>
            </w:tcBorders>
            <w:shd w:fill="D6E8F5" w:val="clear"/>
            <w:tcMar>
              <w:top w:type="dxa" w:w="60"/>
              <w:left w:type="dxa" w:w="160"/>
              <w:bottom w:type="dxa" w:w="60"/>
              <w:right w:type="dxa" w:w="160"/>
            </w:tcMar>
          </w:tcPr>
          <w:p>
            <w:pPr>
              <w:spacing w:after="40" w:before="0"/>
            </w:pPr>
            <w:r>
              <w:rPr>
                <w:rFonts w:ascii="Courier New" w:cs="Courier New" w:eastAsia="Courier New" w:hAnsi="Courier New"/>
                <w:b/>
                <w:bCs/>
                <w:color w:val="1B3A6B"/>
                <w:sz w:val="22"/>
                <w:szCs w:val="22"/>
              </w:rPr>
              <w:t xml:space="preserve">K</w:t>
            </w:r>
            <w:r>
              <w:rPr>
                <w:rFonts w:ascii="Courier New" w:cs="Courier New" w:eastAsia="Courier New" w:hAnsi="Courier New"/>
                <w:color w:val="1B3A6B"/>
                <w:sz w:val="16"/>
                <w:szCs w:val="16"/>
              </w:rPr>
              <w:t xml:space="preserve">region</w:t>
            </w:r>
            <w:r>
              <w:rPr>
                <w:rFonts w:ascii="Courier New" w:cs="Courier New" w:eastAsia="Courier New" w:hAnsi="Courier New"/>
                <w:color w:val="1B3A6B"/>
                <w:sz w:val="22"/>
                <w:szCs w:val="22"/>
              </w:rPr>
              <w:t xml:space="preserve">  =  K</w:t>
            </w:r>
            <w:r>
              <w:rPr>
                <w:rFonts w:ascii="Courier New" w:cs="Courier New" w:eastAsia="Courier New" w:hAnsi="Courier New"/>
                <w:color w:val="1B3A6B"/>
                <w:sz w:val="16"/>
                <w:szCs w:val="16"/>
              </w:rPr>
              <w:t xml:space="preserve">FL</w:t>
            </w:r>
            <w:r>
              <w:rPr>
                <w:rFonts w:ascii="Courier New" w:cs="Courier New" w:eastAsia="Courier New" w:hAnsi="Courier New"/>
                <w:color w:val="1B3A6B"/>
                <w:sz w:val="22"/>
                <w:szCs w:val="22"/>
              </w:rPr>
              <w:t xml:space="preserve">  ×  ( reef_area</w:t>
            </w:r>
            <w:r>
              <w:rPr>
                <w:rFonts w:ascii="Courier New" w:cs="Courier New" w:eastAsia="Courier New" w:hAnsi="Courier New"/>
                <w:color w:val="1B3A6B"/>
                <w:sz w:val="16"/>
                <w:szCs w:val="16"/>
              </w:rPr>
              <w:t xml:space="preserve">region</w:t>
            </w:r>
            <w:r>
              <w:rPr>
                <w:rFonts w:ascii="Courier New" w:cs="Courier New" w:eastAsia="Courier New" w:hAnsi="Courier New"/>
                <w:color w:val="1B3A6B"/>
                <w:sz w:val="22"/>
                <w:szCs w:val="22"/>
              </w:rPr>
              <w:t xml:space="preserve"> / 2900 km² )</w:t>
            </w:r>
          </w:p>
        </w:tc>
      </w:tr>
    </w:tbl>
    <w:p>
      <w:pPr>
        <w:spacing w:after="80" w:before="0"/>
      </w:pPr>
    </w:p>
    <w:p>
      <w:pPr>
        <w:spacing w:after="120" w:before="0"/>
      </w:pPr>
      <w:r>
        <w:rPr>
          <w:rFonts w:ascii="Calibri" w:cs="Calibri" w:eastAsia="Calibri" w:hAnsi="Calibri"/>
          <w:color w:val="1A1A1A"/>
          <w:sz w:val="22"/>
          <w:szCs w:val="22"/>
        </w:rPr>
        <w:t xml:space="preserve">This assumes equal fish productivity per unit reef area across regions — a standard simplification when independent absolute biomass baselines are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8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Reef Area (km²)</w:t>
            </w:r>
          </w:p>
        </w:tc>
        <w:tc>
          <w:tcPr>
            <w:tcW w:type="dxa" w:w="24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K (kg)</w:t>
            </w:r>
          </w:p>
        </w:tc>
        <w:tc>
          <w:tcPr>
            <w:tcW w:type="dxa" w:w="27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X₀ / K Ratio</w:t>
            </w:r>
          </w:p>
        </w:tc>
      </w:tr>
      <w:tr>
        <w:tc>
          <w:tcPr>
            <w:tcW w:type="dxa" w:w="24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 (anchor)</w:t>
            </w:r>
          </w:p>
        </w:tc>
        <w:tc>
          <w:tcPr>
            <w:tcW w:type="dxa" w:w="18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2,900</w:t>
            </w:r>
          </w:p>
        </w:tc>
        <w:tc>
          <w:tcPr>
            <w:tcW w:type="dxa" w:w="24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19,687.07</w:t>
            </w:r>
          </w:p>
        </w:tc>
        <w:tc>
          <w:tcPr>
            <w:tcW w:type="dxa" w:w="276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0.393  (39.3%)</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PRIA</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3,000</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20,366.46</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0.322  (32.2%)</w:t>
            </w:r>
          </w:p>
        </w:tc>
      </w:tr>
      <w:tr>
        <w:tc>
          <w:tcPr>
            <w:tcW w:type="dxa" w:w="2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Hawaii</w:t>
            </w:r>
          </w:p>
        </w:tc>
        <w:tc>
          <w:tcPr>
            <w:tcW w:type="dxa" w:w="18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1,500</w:t>
            </w:r>
          </w:p>
        </w:tc>
        <w:tc>
          <w:tcPr>
            <w:tcW w:type="dxa" w:w="2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10,183.23</w:t>
            </w:r>
          </w:p>
        </w:tc>
        <w:tc>
          <w:tcPr>
            <w:tcW w:type="dxa" w:w="276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0.285  (28.5%)</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Puerto Rico</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1,790</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12,148.50</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0.754  (75.4%)</w:t>
            </w:r>
          </w:p>
        </w:tc>
      </w:tr>
      <w:tr>
        <w:tc>
          <w:tcPr>
            <w:tcW w:type="dxa" w:w="2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CNMI</w:t>
            </w:r>
          </w:p>
        </w:tc>
        <w:tc>
          <w:tcPr>
            <w:tcW w:type="dxa" w:w="18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1,000</w:t>
            </w:r>
          </w:p>
        </w:tc>
        <w:tc>
          <w:tcPr>
            <w:tcW w:type="dxa" w:w="2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6,788.65</w:t>
            </w:r>
          </w:p>
        </w:tc>
        <w:tc>
          <w:tcPr>
            <w:tcW w:type="dxa" w:w="276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0.702  (70.2%)</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American Samoa</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520</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3,529.50</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0.412  (41.2%)</w:t>
            </w:r>
          </w:p>
        </w:tc>
      </w:tr>
      <w:tr>
        <w:tc>
          <w:tcPr>
            <w:tcW w:type="dxa" w:w="2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USVI</w:t>
            </w:r>
          </w:p>
        </w:tc>
        <w:tc>
          <w:tcPr>
            <w:tcW w:type="dxa" w:w="18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230</w:t>
            </w:r>
          </w:p>
        </w:tc>
        <w:tc>
          <w:tcPr>
            <w:tcW w:type="dxa" w:w="240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1,561.73</w:t>
            </w:r>
          </w:p>
        </w:tc>
        <w:tc>
          <w:tcPr>
            <w:tcW w:type="dxa" w:w="2760"/>
            <w:tcBorders>
              <w:top w:val="single" w:color="C8D8E8" w:sz="1"/>
              <w:left w:val="single" w:color="C8D8E8" w:sz="1"/>
              <w:bottom w:val="single" w:color="C8D8E8" w:sz="1"/>
              <w:right w:val="single" w:color="C8D8E8" w:sz="1"/>
            </w:tcBorders>
            <w:shd w:fill="F4F6F8"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0.724  (72.4%)</w:t>
            </w:r>
          </w:p>
        </w:tc>
      </w:tr>
    </w:tbl>
    <w:p>
      <w:pPr>
        <w:pStyle w:val="Heading2"/>
        <w:spacing w:after="80" w:before="240"/>
      </w:pPr>
      <w:r>
        <w:rPr>
          <w:rFonts w:ascii="Calibri" w:cs="Calibri" w:eastAsia="Calibri" w:hAnsi="Calibri"/>
          <w:b/>
          <w:bCs/>
          <w:color w:val="0E7C7B"/>
          <w:sz w:val="24"/>
          <w:szCs w:val="24"/>
        </w:rPr>
        <w:t xml:space="preserve">3.4  r (Intrinsic Growth Rate)</w:t>
      </w:r>
    </w:p>
    <w:p>
      <w:pPr>
        <w:spacing w:after="120" w:before="0"/>
      </w:pPr>
      <w:r>
        <w:rPr>
          <w:rFonts w:ascii="Calibri" w:cs="Calibri" w:eastAsia="Calibri" w:hAnsi="Calibri"/>
          <w:color w:val="1A1A1A"/>
          <w:sz w:val="22"/>
          <w:szCs w:val="22"/>
        </w:rPr>
        <w:t xml:space="preserve">For Florida, r was estimated by OLS regression on the surplus production residuals across the five survey years, fitting the linearized Schaefer model. All other regions with fewer than four data points were assigned the literature default of r =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8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w:t>
            </w:r>
          </w:p>
        </w:tc>
        <w:tc>
          <w:tcPr>
            <w:tcW w:type="dxa" w:w="49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Method</w:t>
            </w:r>
          </w:p>
        </w:tc>
      </w:tr>
      <w:tr>
        <w:tc>
          <w:tcPr>
            <w:tcW w:type="dxa" w:w="26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w:t>
            </w:r>
          </w:p>
        </w:tc>
        <w:tc>
          <w:tcPr>
            <w:tcW w:type="dxa" w:w="18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0.4632</w:t>
            </w:r>
          </w:p>
        </w:tc>
        <w:tc>
          <w:tcPr>
            <w:tcW w:type="dxa" w:w="496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OLS surplus-production regression on 5 survey years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All other regions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0.35</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Literature default (tropical reef fish; MacCall 2009, FishBase)</w:t>
            </w:r>
          </w:p>
        </w:tc>
      </w:tr>
    </w:tbl>
    <w:p>
      <w:pPr>
        <w:pStyle w:val="Heading2"/>
        <w:spacing w:after="80" w:before="240"/>
      </w:pPr>
      <w:r>
        <w:rPr>
          <w:rFonts w:ascii="Calibri" w:cs="Calibri" w:eastAsia="Calibri" w:hAnsi="Calibri"/>
          <w:b/>
          <w:bCs/>
          <w:color w:val="0E7C7B"/>
          <w:sz w:val="24"/>
          <w:szCs w:val="24"/>
        </w:rPr>
        <w:t xml:space="preserve">3.5  σₓ (Biomass Volatility)</w:t>
      </w:r>
    </w:p>
    <w:p>
      <w:pPr>
        <w:spacing w:after="120" w:before="0"/>
      </w:pPr>
      <w:r>
        <w:rPr>
          <w:rFonts w:ascii="Calibri" w:cs="Calibri" w:eastAsia="Calibri" w:hAnsi="Calibri"/>
          <w:color w:val="1A1A1A"/>
          <w:sz w:val="22"/>
          <w:szCs w:val="22"/>
        </w:rPr>
        <w:t xml:space="preserve">The coefficient of variation (CV) of the annual biomass time series was used as the process noise parameter, capturing natural inter-annual variability and survey imprecision.</w:t>
      </w:r>
    </w:p>
    <w:p>
      <w:pPr>
        <w:spacing w:after="120" w:before="0"/>
      </w:pPr>
      <w:r>
        <w:rPr>
          <w:rFonts w:ascii="Calibri" w:cs="Calibri" w:eastAsia="Calibri" w:hAnsi="Calibri"/>
          <w:b/>
          <w:bCs/>
          <w:color w:val="1A1A1A"/>
          <w:sz w:val="22"/>
          <w:szCs w:val="22"/>
        </w:rPr>
        <w:t xml:space="preserve">Formula:  </w:t>
      </w:r>
      <w:r>
        <w:rPr>
          <w:rFonts w:ascii="Courier New" w:cs="Courier New" w:eastAsia="Courier New" w:hAnsi="Courier New"/>
          <w:color w:val="0E7C7B"/>
          <w:sz w:val="20"/>
          <w:szCs w:val="20"/>
        </w:rPr>
        <w:t xml:space="preserve">σ_X  =  std(Bₜ)  /  mean(Bₜ)</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6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σₓ</w:t>
            </w:r>
          </w:p>
        </w:tc>
        <w:tc>
          <w:tcPr>
            <w:tcW w:type="dxa" w:w="51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Notes</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0.2161</w:t>
            </w:r>
          </w:p>
        </w:tc>
        <w:tc>
          <w:tcPr>
            <w:tcW w:type="dxa" w:w="5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5 survey years; moderate variability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Hawaii</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0.5402</w:t>
            </w:r>
          </w:p>
        </w:tc>
        <w:tc>
          <w:tcPr>
            <w:tcW w:type="dxa" w:w="5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High variability; recruitment pulse dynamics</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American Samoa</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0.3857</w:t>
            </w:r>
          </w:p>
        </w:tc>
        <w:tc>
          <w:tcPr>
            <w:tcW w:type="dxa" w:w="5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Moderate-high; El Niño sensitivity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USVI</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0.3652</w:t>
            </w:r>
          </w:p>
        </w:tc>
        <w:tc>
          <w:tcPr>
            <w:tcW w:type="dxa" w:w="5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Moderate; post-hurricane recovery variability</w:t>
            </w:r>
          </w:p>
        </w:tc>
      </w:tr>
      <w:tr>
        <w:tc>
          <w:tcPr>
            <w:tcW w:type="dxa" w:w="2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Puerto Rico</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0.3177</w:t>
            </w:r>
          </w:p>
        </w:tc>
        <w:tc>
          <w:tcPr>
            <w:tcW w:type="dxa" w:w="5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Moderate; chronic stressor variability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CNMI</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0.1758</w:t>
            </w:r>
          </w:p>
        </w:tc>
        <w:tc>
          <w:tcPr>
            <w:tcW w:type="dxa" w:w="5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Lower variability in available survey years</w:t>
            </w:r>
          </w:p>
        </w:tc>
      </w:tr>
      <w:tr>
        <w:tc>
          <w:tcPr>
            <w:tcW w:type="dxa" w:w="26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PRIA ⚠</w:t>
            </w:r>
          </w:p>
        </w:tc>
        <w:tc>
          <w:tcPr>
            <w:tcW w:type="dxa" w:w="160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0.40*</w:t>
            </w:r>
          </w:p>
        </w:tc>
        <w:tc>
          <w:tcPr>
            <w:tcW w:type="dxa" w:w="5160"/>
            <w:tcBorders>
              <w:top w:val="single" w:color="C8D8E8" w:sz="1"/>
              <w:left w:val="single" w:color="C8D8E8" w:sz="1"/>
              <w:bottom w:val="single" w:color="C8D8E8" w:sz="1"/>
              <w:right w:val="single" w:color="C8D8E8" w:sz="1"/>
            </w:tcBorders>
            <w:shd w:fill="FDF3E3"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Capped from raw CV = 0.81 (inflated by rotating survey schedule)</w:t>
            </w:r>
          </w:p>
        </w:tc>
      </w:tr>
    </w:tbl>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4.  Reef Health Parameters</w:t>
      </w:r>
    </w:p>
    <w:p>
      <w:pPr>
        <w:pStyle w:val="Heading2"/>
        <w:spacing w:after="80" w:before="240"/>
      </w:pPr>
      <w:r>
        <w:rPr>
          <w:rFonts w:ascii="Calibri" w:cs="Calibri" w:eastAsia="Calibri" w:hAnsi="Calibri"/>
          <w:b/>
          <w:bCs/>
          <w:color w:val="0E7C7B"/>
          <w:sz w:val="24"/>
          <w:szCs w:val="24"/>
        </w:rPr>
        <w:t xml:space="preserve">4.1  Data &amp; Units</w:t>
      </w:r>
    </w:p>
    <w:p>
      <w:pPr>
        <w:spacing w:after="120" w:before="0"/>
      </w:pPr>
      <w:r>
        <w:rPr>
          <w:rFonts w:ascii="Calibri" w:cs="Calibri" w:eastAsia="Calibri" w:hAnsi="Calibri"/>
          <w:color w:val="1A1A1A"/>
          <w:sz w:val="22"/>
          <w:szCs w:val="22"/>
        </w:rPr>
        <w:t xml:space="preserve">Reef health R(t) is represented as live coral cover derived from NOAA NCRMP benthic photo-quadrat surveys. Percent cover at the transect level was aggregated to a region-wide areal index:</w:t>
      </w:r>
    </w:p>
    <w:p>
      <w:pPr>
        <w:spacing w:after="120" w:before="0"/>
      </w:pPr>
      <w:r>
        <w:rPr>
          <w:rFonts w:ascii="Calibri" w:cs="Calibri" w:eastAsia="Calibri" w:hAnsi="Calibri"/>
          <w:b/>
          <w:bCs/>
          <w:color w:val="1A1A1A"/>
          <w:sz w:val="22"/>
          <w:szCs w:val="22"/>
        </w:rPr>
        <w:t xml:space="preserve">Formula:  </w:t>
      </w:r>
      <w:r>
        <w:rPr>
          <w:rFonts w:ascii="Courier New" w:cs="Courier New" w:eastAsia="Courier New" w:hAnsi="Courier New"/>
          <w:color w:val="0E7C7B"/>
          <w:sz w:val="20"/>
          <w:szCs w:val="20"/>
        </w:rPr>
        <w:t xml:space="preserve">R  =  (mean % cover / 100)  ×  reef_area_km²</w:t>
      </w:r>
    </w:p>
    <w:p>
      <w:pPr>
        <w:pStyle w:val="Heading2"/>
        <w:spacing w:after="80" w:before="240"/>
      </w:pPr>
      <w:r>
        <w:rPr>
          <w:rFonts w:ascii="Calibri" w:cs="Calibri" w:eastAsia="Calibri" w:hAnsi="Calibri"/>
          <w:b/>
          <w:bCs/>
          <w:color w:val="0E7C7B"/>
          <w:sz w:val="24"/>
          <w:szCs w:val="24"/>
        </w:rPr>
        <w:t xml:space="preserve">4.2  Rₘₐₓ and R₀</w:t>
      </w:r>
    </w:p>
    <w:p>
      <w:pPr>
        <w:pStyle w:val="ListParagraph"/>
        <w:numPr>
          <w:ilvl w:val="0"/>
          <w:numId w:val="2"/>
        </w:numPr>
        <w:spacing w:after="80" w:before="0"/>
      </w:pPr>
      <w:r>
        <w:rPr>
          <w:rFonts w:ascii="Calibri" w:cs="Calibri" w:eastAsia="Calibri" w:hAnsi="Calibri"/>
          <w:color w:val="1A1A1A"/>
          <w:sz w:val="22"/>
          <w:szCs w:val="22"/>
        </w:rPr>
        <w:t xml:space="preserve">Rmax = maximum historically observed coral cover (unfished/undegraded proxy)</w:t>
      </w:r>
    </w:p>
    <w:p>
      <w:pPr>
        <w:pStyle w:val="ListParagraph"/>
        <w:numPr>
          <w:ilvl w:val="0"/>
          <w:numId w:val="2"/>
        </w:numPr>
        <w:spacing w:after="80" w:before="0"/>
      </w:pPr>
      <w:r>
        <w:rPr>
          <w:rFonts w:ascii="Calibri" w:cs="Calibri" w:eastAsia="Calibri" w:hAnsi="Calibri"/>
          <w:color w:val="1A1A1A"/>
          <w:sz w:val="22"/>
          <w:szCs w:val="22"/>
        </w:rPr>
        <w:t xml:space="preserve">R₀ = most recent observed coral cover (initial simulation condition)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8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Rₘₐₓ</w:t>
            </w:r>
          </w:p>
        </w:tc>
        <w:tc>
          <w:tcPr>
            <w:tcW w:type="dxa" w:w="18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R₀</w:t>
            </w:r>
          </w:p>
        </w:tc>
        <w:tc>
          <w:tcPr>
            <w:tcW w:type="dxa" w:w="18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R₀/Rₘₐₓ</w:t>
            </w:r>
          </w:p>
        </w:tc>
        <w:tc>
          <w:tcPr>
            <w:tcW w:type="dxa" w:w="17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Notes</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American Samoa</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30.920</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30.920</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1.00</w:t>
            </w:r>
          </w:p>
        </w:tc>
        <w:tc>
          <w:tcPr>
            <w:tcW w:type="dxa" w:w="17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Near historical max</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CNMI</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13.676</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11.548</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0.845</w:t>
            </w:r>
          </w:p>
        </w:tc>
        <w:tc>
          <w:tcPr>
            <w:tcW w:type="dxa" w:w="1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Partial degradation</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10.695</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8.123</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0.760</w:t>
            </w:r>
          </w:p>
        </w:tc>
        <w:tc>
          <w:tcPr>
            <w:tcW w:type="dxa" w:w="17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5-yr declining trend</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Hawaii</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12.196</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9.918</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0.813</w:t>
            </w:r>
          </w:p>
        </w:tc>
        <w:tc>
          <w:tcPr>
            <w:tcW w:type="dxa" w:w="1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Post-bleaching decline</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PRIA</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39.159</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39.159</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1.00</w:t>
            </w:r>
          </w:p>
        </w:tc>
        <w:tc>
          <w:tcPr>
            <w:tcW w:type="dxa" w:w="17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Remote; minimal degradation</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Puerto Rico</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7.632</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7.632</w:t>
            </w:r>
          </w:p>
        </w:tc>
        <w:tc>
          <w:tcPr>
            <w:tcW w:type="dxa" w:w="1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1.00</w:t>
            </w:r>
          </w:p>
        </w:tc>
        <w:tc>
          <w:tcPr>
            <w:tcW w:type="dxa" w:w="1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Short time series</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USVI</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9.556</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9.556</w:t>
            </w:r>
          </w:p>
        </w:tc>
        <w:tc>
          <w:tcPr>
            <w:tcW w:type="dxa" w:w="18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1.00</w:t>
            </w:r>
          </w:p>
        </w:tc>
        <w:tc>
          <w:tcPr>
            <w:tcW w:type="dxa" w:w="17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Short time series</w:t>
            </w:r>
          </w:p>
        </w:tc>
      </w:tr>
    </w:tbl>
    <w:p>
      <w:pPr>
        <w:pStyle w:val="Heading2"/>
        <w:spacing w:after="80" w:before="240"/>
      </w:pPr>
      <w:r>
        <w:rPr>
          <w:rFonts w:ascii="Calibri" w:cs="Calibri" w:eastAsia="Calibri" w:hAnsi="Calibri"/>
          <w:b/>
          <w:bCs/>
          <w:color w:val="0E7C7B"/>
          <w:sz w:val="24"/>
          <w:szCs w:val="24"/>
        </w:rPr>
        <w:t xml:space="preserve">4.3  g (Reef Growth Rate) and δ (Degradation Rate)</w:t>
      </w:r>
    </w:p>
    <w:p>
      <w:pPr>
        <w:spacing w:after="120" w:before="0"/>
      </w:pPr>
      <w:r>
        <w:rPr>
          <w:rFonts w:ascii="Calibri" w:cs="Calibri" w:eastAsia="Calibri" w:hAnsi="Calibri"/>
          <w:color w:val="1A1A1A"/>
          <w:sz w:val="22"/>
          <w:szCs w:val="22"/>
        </w:rPr>
        <w:t xml:space="preserve">g was estimated from logistic recovery periods in the coral cover time series via nonlinear least squares where sufficient data existed; otherwise assigned from literature. δ was estimated from the mean annual proportional decline during documented declining periods:</w:t>
      </w:r>
    </w:p>
    <w:p>
      <w:pPr>
        <w:spacing w:after="120" w:before="0"/>
      </w:pPr>
      <w:r>
        <w:rPr>
          <w:rFonts w:ascii="Calibri" w:cs="Calibri" w:eastAsia="Calibri" w:hAnsi="Calibri"/>
          <w:b/>
          <w:bCs/>
          <w:color w:val="1A1A1A"/>
          <w:sz w:val="22"/>
          <w:szCs w:val="22"/>
        </w:rPr>
        <w:t xml:space="preserve">Formula:  </w:t>
      </w:r>
      <w:r>
        <w:rPr>
          <w:rFonts w:ascii="Courier New" w:cs="Courier New" w:eastAsia="Courier New" w:hAnsi="Courier New"/>
          <w:color w:val="0E7C7B"/>
          <w:sz w:val="20"/>
          <w:szCs w:val="20"/>
        </w:rPr>
        <w:t xml:space="preserve">δ  ≈  −1/T  ×  ln( R_end / R_start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5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w:t>
            </w:r>
          </w:p>
        </w:tc>
        <w:tc>
          <w:tcPr>
            <w:tcW w:type="dxa" w:w="15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δ</w:t>
            </w:r>
          </w:p>
        </w:tc>
        <w:tc>
          <w:tcPr>
            <w:tcW w:type="dxa" w:w="41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Context</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0.050</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0.040</w:t>
            </w:r>
          </w:p>
        </w:tc>
        <w:tc>
          <w:tcPr>
            <w:tcW w:type="dxa" w:w="4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Fit from 2014–2022; bleaching + disease + thermal stress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PRIA</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0.109</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0.047</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Fast recovery (remote); moderate degradation from 2015–16 bleaching</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USVI</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0.050</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0.020</w:t>
            </w:r>
          </w:p>
        </w:tc>
        <w:tc>
          <w:tcPr>
            <w:tcW w:type="dxa" w:w="4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Caribbean literature; post-Maria recovery observed</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American Samoa</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0.022</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0.009</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Slower recovery; elevated chronic thermal stress</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Puerto Rico</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0.020</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0.070</w:t>
            </w:r>
          </w:p>
        </w:tc>
        <w:tc>
          <w:tcPr>
            <w:tcW w:type="dxa" w:w="4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Highest δ: cumulative hurricanes + bleaching + disease burden</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Hawaii</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0.010</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0.023</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Persistent bleaching pressure since 2014; slow recovery rate</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CNMI</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0.005</w:t>
            </w:r>
          </w:p>
        </w:tc>
        <w:tc>
          <w:tcPr>
            <w:tcW w:type="dxa" w:w="15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0.013</w:t>
            </w:r>
          </w:p>
        </w:tc>
        <w:tc>
          <w:tcPr>
            <w:tcW w:type="dxa" w:w="4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Very slow growth; severely degraded starting point</w:t>
            </w:r>
          </w:p>
        </w:tc>
      </w:tr>
    </w:tbl>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5.  Stochastic Shock Parameters</w:t>
      </w:r>
    </w:p>
    <w:p>
      <w:pPr>
        <w:spacing w:after="120" w:before="0"/>
      </w:pPr>
      <w:r>
        <w:rPr>
          <w:rFonts w:ascii="Calibri" w:cs="Calibri" w:eastAsia="Calibri" w:hAnsi="Calibri"/>
          <w:color w:val="1A1A1A"/>
          <w:sz w:val="22"/>
          <w:szCs w:val="22"/>
        </w:rPr>
        <w:t xml:space="preserve">In addition to continuous Brownian noise, the model includes discrete shock events representing sudden disturbances (major bleaching episodes, hurricanes, disease outbreaks). These arrive as Poisson processes with random fractional-loss magnitudes drawn from a half-normal distribution.</w:t>
      </w:r>
    </w:p>
    <w:p>
      <w:pPr>
        <w:pStyle w:val="Heading2"/>
        <w:spacing w:after="80" w:before="240"/>
      </w:pPr>
      <w:r>
        <w:rPr>
          <w:rFonts w:ascii="Calibri" w:cs="Calibri" w:eastAsia="Calibri" w:hAnsi="Calibri"/>
          <w:b/>
          <w:bCs/>
          <w:color w:val="0E7C7B"/>
          <w:sz w:val="24"/>
          <w:szCs w:val="24"/>
        </w:rPr>
        <w:t xml:space="preserve">5.1  Shock Event Rates (p_shock)</w:t>
      </w:r>
    </w:p>
    <w:p>
      <w:pPr>
        <w:spacing w:after="120" w:before="0"/>
      </w:pPr>
      <w:r>
        <w:rPr>
          <w:rFonts w:ascii="Calibri" w:cs="Calibri" w:eastAsia="Calibri" w:hAnsi="Calibri"/>
          <w:color w:val="1A1A1A"/>
          <w:sz w:val="22"/>
          <w:szCs w:val="22"/>
        </w:rPr>
        <w:t xml:space="preserve">p_shock is the annual probability of a major disturbance event, calibrated from historical records (NOAA bleaching alerts, HURDAT hurricane database):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6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p_shock (yr⁻¹)</w:t>
            </w:r>
          </w:p>
        </w:tc>
        <w:tc>
          <w:tcPr>
            <w:tcW w:type="dxa" w:w="53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Primary Drivers</w:t>
            </w:r>
          </w:p>
        </w:tc>
      </w:tr>
      <w:tr>
        <w:tc>
          <w:tcPr>
            <w:tcW w:type="dxa" w:w="24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Puerto Rico</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0.20</w:t>
            </w:r>
          </w:p>
        </w:tc>
        <w:tc>
          <w:tcPr>
            <w:tcW w:type="dxa" w:w="5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High hurricane frequency + recurring bleaching (most exposed region)</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CNMI</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0.15</w:t>
            </w:r>
          </w:p>
        </w:tc>
        <w:tc>
          <w:tcPr>
            <w:tcW w:type="dxa" w:w="5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Repeated bleaching events + typhoon history</w:t>
            </w:r>
          </w:p>
        </w:tc>
      </w:tr>
      <w:tr>
        <w:tc>
          <w:tcPr>
            <w:tcW w:type="dxa" w:w="24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American Samoa</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0.12</w:t>
            </w:r>
          </w:p>
        </w:tc>
        <w:tc>
          <w:tcPr>
            <w:tcW w:type="dxa" w:w="5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El Niño-linked bleaching; periodic cyclones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PRIA</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0.12</w:t>
            </w:r>
          </w:p>
        </w:tc>
        <w:tc>
          <w:tcPr>
            <w:tcW w:type="dxa" w:w="5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Remote but bleaching-exposed; 2015 event well-documented</w:t>
            </w:r>
          </w:p>
        </w:tc>
      </w:tr>
      <w:tr>
        <w:tc>
          <w:tcPr>
            <w:tcW w:type="dxa" w:w="24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Hawaii</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c>
          <w:tcPr>
            <w:tcW w:type="dxa" w:w="5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Recurring bleaching since 2014; lower storm risk</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USVI</w:t>
            </w:r>
          </w:p>
        </w:tc>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0.06</w:t>
            </w:r>
          </w:p>
        </w:tc>
        <w:tc>
          <w:tcPr>
            <w:tcW w:type="dxa" w:w="5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Post-Irma/Maria recovery; lower ongoing disturbance rate</w:t>
            </w:r>
          </w:p>
        </w:tc>
      </w:tr>
      <w:tr>
        <w:tc>
          <w:tcPr>
            <w:tcW w:type="dxa" w:w="24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w:t>
            </w:r>
          </w:p>
        </w:tc>
        <w:tc>
          <w:tcPr>
            <w:tcW w:type="dxa" w:w="16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0.04</w:t>
            </w:r>
          </w:p>
        </w:tc>
        <w:tc>
          <w:tcPr>
            <w:tcW w:type="dxa" w:w="53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Managed fishery; lower acute disturbance rate relative to other regions</w:t>
            </w:r>
          </w:p>
        </w:tc>
      </w:tr>
    </w:tbl>
    <w:p>
      <w:pPr>
        <w:pStyle w:val="Heading2"/>
        <w:spacing w:after="80" w:before="240"/>
      </w:pPr>
      <w:r>
        <w:rPr>
          <w:rFonts w:ascii="Calibri" w:cs="Calibri" w:eastAsia="Calibri" w:hAnsi="Calibri"/>
          <w:b/>
          <w:bCs/>
          <w:color w:val="0E7C7B"/>
          <w:sz w:val="24"/>
          <w:szCs w:val="24"/>
        </w:rPr>
        <w:t xml:space="preserve">5.2  Shock Magnitudes</w:t>
      </w:r>
    </w:p>
    <w:p>
      <w:pPr>
        <w:spacing w:after="120" w:before="0"/>
      </w:pPr>
      <w:r>
        <w:rPr>
          <w:rFonts w:ascii="Calibri" w:cs="Calibri" w:eastAsia="Calibri" w:hAnsi="Calibri"/>
          <w:color w:val="1A1A1A"/>
          <w:sz w:val="22"/>
          <w:szCs w:val="22"/>
        </w:rPr>
        <w:t xml:space="preserve">When a shock occurs, the fractional biomass loss is drawn from a half-normal distribution. Means were calibrated from documented post-event surveys. The actual loss applied is:</w:t>
      </w:r>
    </w:p>
    <w:p>
      <w:pPr>
        <w:spacing w:after="120" w:before="0"/>
      </w:pPr>
      <w:r>
        <w:rPr>
          <w:rFonts w:ascii="Calibri" w:cs="Calibri" w:eastAsia="Calibri" w:hAnsi="Calibri"/>
          <w:b/>
          <w:bCs/>
          <w:color w:val="1A1A1A"/>
          <w:sz w:val="22"/>
          <w:szCs w:val="22"/>
        </w:rPr>
        <w:t xml:space="preserve">Formula:  </w:t>
      </w:r>
      <w:r>
        <w:rPr>
          <w:rFonts w:ascii="Courier New" w:cs="Courier New" w:eastAsia="Courier New" w:hAnsi="Courier New"/>
          <w:color w:val="0E7C7B"/>
          <w:sz w:val="20"/>
          <w:szCs w:val="20"/>
        </w:rPr>
        <w:t xml:space="preserve">shock_loss  =  |Normal(mean, sd)|  ×  current_biomass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900"/>
        <w:gridCol w:w="1900"/>
      </w:tblGrid>
      <w:tr>
        <w:tc>
          <w:tcPr>
            <w:tcW w:type="dxa" w:w="22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168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fishμ</w:t>
            </w:r>
          </w:p>
        </w:tc>
        <w:tc>
          <w:tcPr>
            <w:tcW w:type="dxa" w:w="168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reefμ</w:t>
            </w:r>
          </w:p>
        </w:tc>
        <w:tc>
          <w:tcPr>
            <w:tcW w:type="dxa" w:w="19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fishσ</w:t>
            </w:r>
          </w:p>
        </w:tc>
        <w:tc>
          <w:tcPr>
            <w:tcW w:type="dxa" w:w="19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reefσ</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American Samoa</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0.26</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0.28</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CNMI</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0.25</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0.28</w:t>
            </w:r>
          </w:p>
        </w:tc>
        <w:tc>
          <w:tcPr>
            <w:tcW w:type="dxa" w:w="1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c>
          <w:tcPr>
            <w:tcW w:type="dxa" w:w="1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Florida</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0.25</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0.25</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0.08</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Hawaii</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0.20</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0.22</w:t>
            </w:r>
          </w:p>
        </w:tc>
        <w:tc>
          <w:tcPr>
            <w:tcW w:type="dxa" w:w="1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0.08</w:t>
            </w:r>
          </w:p>
        </w:tc>
        <w:tc>
          <w:tcPr>
            <w:tcW w:type="dxa" w:w="1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0.08</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PRIA</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0.22</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0.30</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0.08</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Puerto Rico</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0.28</w:t>
            </w:r>
          </w:p>
        </w:tc>
        <w:tc>
          <w:tcPr>
            <w:tcW w:type="dxa" w:w="168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0.30</w:t>
            </w:r>
          </w:p>
        </w:tc>
        <w:tc>
          <w:tcPr>
            <w:tcW w:type="dxa" w:w="1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c>
          <w:tcPr>
            <w:tcW w:type="dxa" w:w="1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r>
      <w:tr>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USVI</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0.25</w:t>
            </w:r>
          </w:p>
        </w:tc>
        <w:tc>
          <w:tcPr>
            <w:tcW w:type="dxa" w:w="168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0.25</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0.10</w:t>
            </w:r>
          </w:p>
        </w:tc>
        <w:tc>
          <w:tcPr>
            <w:tcW w:type="dxa" w:w="19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right"/>
            </w:pPr>
            <w:r>
              <w:rPr>
                <w:rFonts w:ascii="Calibri" w:cs="Calibri" w:eastAsia="Calibri" w:hAnsi="Calibri"/>
                <w:i w:val="false"/>
                <w:iCs w:val="false"/>
                <w:color w:val="1A1A1A"/>
                <w:sz w:val="20"/>
                <w:szCs w:val="20"/>
              </w:rPr>
              <w:t xml:space="preserve">0.09</w:t>
            </w:r>
          </w:p>
        </w:tc>
      </w:tr>
    </w:tbl>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6.  Economic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Parameter</w:t>
            </w:r>
          </w:p>
        </w:tc>
        <w:tc>
          <w:tcPr>
            <w:tcW w:type="dxa" w:w="220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Value</w:t>
            </w:r>
          </w:p>
        </w:tc>
        <w:tc>
          <w:tcPr>
            <w:tcW w:type="dxa" w:w="5160"/>
            <w:tcBorders>
              <w:top w:val="single" w:color="C8D8E8" w:sz="1"/>
              <w:left w:val="single" w:color="C8D8E8" w:sz="1"/>
              <w:bottom w:val="single" w:color="C8D8E8" w:sz="1"/>
              <w:right w:val="single" w:color="C8D8E8"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Basis</w:t>
            </w:r>
          </w:p>
        </w:tc>
      </w:tr>
      <w:tr>
        <w:tc>
          <w:tcPr>
            <w:tcW w:type="dxa" w:w="20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p_fish</w:t>
            </w:r>
          </w:p>
        </w:tc>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$8.00 / kg</w:t>
            </w:r>
          </w:p>
        </w:tc>
        <w:tc>
          <w:tcPr>
            <w:tcW w:type="dxa" w:w="5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NOAA commercial landings average ex-vessel price for mixed reef fish (2020–2023)</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discount_rate (most)</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1.5% yr⁻¹</w:t>
            </w:r>
          </w:p>
        </w:tc>
        <w:tc>
          <w:tcPr>
            <w:tcW w:type="dxa" w:w="5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Standard social discount rate for long-horizon environmental valuation (Stern Review; OMB Circular A-4)</w:t>
            </w:r>
          </w:p>
        </w:tc>
      </w:tr>
      <w:tr>
        <w:tc>
          <w:tcPr>
            <w:tcW w:type="dxa" w:w="20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discount_rate (FL)</w:t>
            </w:r>
          </w:p>
        </w:tc>
        <w:tc>
          <w:tcPr>
            <w:tcW w:type="dxa" w:w="220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3.0% yr⁻¹</w:t>
            </w:r>
          </w:p>
        </w:tc>
        <w:tc>
          <w:tcPr>
            <w:tcW w:type="dxa" w:w="516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Higher rate reflecting commercial fishery context and opportunity cost of capital in the Florida Keys economy</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scale_to_global</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284,000 / reef_area</w:t>
            </w:r>
          </w:p>
        </w:tc>
        <w:tc>
          <w:tcPr>
            <w:tcW w:type="dxa" w:w="5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Extrapolates regional NPV loss to hypothetical global 284,000 km² reef system (Spalding et al. 2001). Diagnostic output only — does not affect figures.</w:t>
            </w:r>
          </w:p>
        </w:tc>
      </w:tr>
    </w:tbl>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7.  Caveats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2A" w:val="clear"/>
            <w:tcMar>
              <w:top w:type="dxa" w:w="100"/>
              <w:left w:type="dxa" w:w="160"/>
              <w:bottom w:type="dxa" w:w="100"/>
              <w:right w:type="dxa" w:w="160"/>
            </w:tcMar>
          </w:tcPr>
          <w:p>
            <w:r>
              <w:rPr>
                <w:rFonts w:ascii="Calibri" w:cs="Calibri" w:eastAsia="Calibri" w:hAnsi="Calibri"/>
                <w:b/>
                <w:bCs/>
                <w:color w:val="FFFFFF"/>
                <w:sz w:val="20"/>
                <w:szCs w:val="20"/>
              </w:rPr>
              <w:t xml:space="preserve">Important: Scientific Transparency</w:t>
            </w:r>
          </w:p>
        </w:tc>
      </w:tr>
      <w:tr>
        <w:tc>
          <w:tcPr>
            <w:tcW w:type="dxa" w:w="9360"/>
            <w:tcBorders>
              <w:top w:val="none" w:color="FFFFFF" w:sz="0"/>
              <w:left w:val="none" w:color="FFFFFF" w:sz="0"/>
              <w:bottom w:val="none" w:color="FFFFFF" w:sz="0"/>
              <w:right w:val="none" w:color="FFFFFF" w:sz="0"/>
            </w:tcBorders>
            <w:shd w:fill="FFF3CD" w:val="clear"/>
            <w:tcMar>
              <w:top w:type="dxa" w:w="60"/>
              <w:left w:type="dxa" w:w="160"/>
              <w:bottom w:type="dxa" w:w="60"/>
              <w:right w:type="dxa" w:w="160"/>
            </w:tcMar>
          </w:tcPr>
          <w:p>
            <w:pPr>
              <w:spacing w:after="40" w:before="0"/>
            </w:pPr>
            <w:r>
              <w:rPr>
                <w:rFonts w:ascii="Calibri" w:cs="Calibri" w:eastAsia="Calibri" w:hAnsi="Calibri"/>
                <w:color w:val="1A1A1A"/>
                <w:sz w:val="21"/>
                <w:szCs w:val="21"/>
              </w:rPr>
              <w:t xml:space="preserve">The following limitations are disclosed to support honest interpretation of model outputs. Sensitivity analyses and wider uncertainty bounds are recommended for the regions noted below.</w:t>
            </w:r>
          </w:p>
        </w:tc>
      </w:tr>
    </w:tbl>
    <w:p>
      <w:pPr>
        <w:spacing w:after="120" w:before="0"/>
      </w:pPr>
    </w:p>
    <w:p>
      <w:pPr>
        <w:pStyle w:val="Heading3"/>
        <w:spacing w:after="60" w:before="180"/>
      </w:pPr>
      <w:r>
        <w:rPr>
          <w:rFonts w:ascii="Calibri" w:cs="Calibri" w:eastAsia="Calibri" w:hAnsi="Calibri"/>
          <w:b/>
          <w:bCs/>
          <w:color w:val="C8922A"/>
          <w:sz w:val="22"/>
          <w:szCs w:val="22"/>
        </w:rPr>
        <w:t xml:space="preserve">Florida as Universal K Anchor</w:t>
      </w:r>
    </w:p>
    <w:p>
      <w:pPr>
        <w:spacing w:after="120" w:before="0"/>
      </w:pPr>
      <w:r>
        <w:rPr>
          <w:rFonts w:ascii="Calibri" w:cs="Calibri" w:eastAsia="Calibri" w:hAnsi="Calibri"/>
          <w:color w:val="1A1A1A"/>
          <w:sz w:val="22"/>
          <w:szCs w:val="22"/>
        </w:rPr>
        <w:t xml:space="preserve">All non-Florida K values are derived by scaling from a single anchor. This assumes equal fish productivity per unit reef area across Indo-Pacific, Caribbean, and remote Pacific systems — a deliberate simplification made necessary by the absence of independent absolute biomass baselines for each region.</w:t>
      </w:r>
    </w:p>
    <w:p>
      <w:pPr>
        <w:pStyle w:val="Heading3"/>
        <w:spacing w:after="60" w:before="180"/>
      </w:pPr>
      <w:r>
        <w:rPr>
          <w:rFonts w:ascii="Calibri" w:cs="Calibri" w:eastAsia="Calibri" w:hAnsi="Calibri"/>
          <w:b/>
          <w:bCs/>
          <w:color w:val="C8922A"/>
          <w:sz w:val="22"/>
          <w:szCs w:val="22"/>
        </w:rPr>
        <w:t xml:space="preserve">0.001·L³ Allometric Simplification</w:t>
      </w:r>
    </w:p>
    <w:p>
      <w:pPr>
        <w:spacing w:after="120" w:before="0"/>
      </w:pPr>
      <w:r>
        <w:rPr>
          <w:rFonts w:ascii="Calibri" w:cs="Calibri" w:eastAsia="Calibri" w:hAnsi="Calibri"/>
          <w:color w:val="1A1A1A"/>
          <w:sz w:val="22"/>
          <w:szCs w:val="22"/>
        </w:rPr>
        <w:t xml:space="preserve">A single universal a = 0.001, b = 3.0 was applied to all species. Bulky-bodied species (parrotfish, surgeonfish) are likely overestimated while elongated species (eels, needlefish) are underestimated. Species-specific length-weight parameters would improve accuracy but were beyond the scope of this project.</w:t>
      </w:r>
    </w:p>
    <w:p>
      <w:pPr>
        <w:pStyle w:val="Heading3"/>
        <w:spacing w:after="60" w:before="180"/>
      </w:pPr>
      <w:r>
        <w:rPr>
          <w:rFonts w:ascii="Calibri" w:cs="Calibri" w:eastAsia="Calibri" w:hAnsi="Calibri"/>
          <w:b/>
          <w:bCs/>
          <w:color w:val="C8922A"/>
          <w:sz w:val="22"/>
          <w:szCs w:val="22"/>
        </w:rPr>
        <w:t xml:space="preserve">Short Time Series — PRIA, Puerto Rico, USVI</w:t>
      </w:r>
    </w:p>
    <w:p>
      <w:pPr>
        <w:spacing w:after="120" w:before="0"/>
      </w:pPr>
      <w:r>
        <w:rPr>
          <w:rFonts w:ascii="Calibri" w:cs="Calibri" w:eastAsia="Calibri" w:hAnsi="Calibri"/>
          <w:color w:val="1A1A1A"/>
          <w:sz w:val="22"/>
          <w:szCs w:val="22"/>
        </w:rPr>
        <w:t xml:space="preserve">PRIA had only 2 benthic survey years available; Puerto Rico and USVI time series were also limited. Parameters for these regions rely more heavily on literature values and capping decisions. Confidence intervals from the Monte Carlo reflect stochastic simulation variability, not parameter estimation uncertainty.</w:t>
      </w:r>
    </w:p>
    <w:p>
      <w:pPr>
        <w:pStyle w:val="Heading3"/>
        <w:spacing w:after="60" w:before="180"/>
      </w:pPr>
      <w:r>
        <w:rPr>
          <w:rFonts w:ascii="Calibri" w:cs="Calibri" w:eastAsia="Calibri" w:hAnsi="Calibri"/>
          <w:b/>
          <w:bCs/>
          <w:color w:val="C8922A"/>
          <w:sz w:val="22"/>
          <w:szCs w:val="22"/>
        </w:rPr>
        <w:t xml:space="preserve">Constant Effort Assumption</w:t>
      </w:r>
    </w:p>
    <w:p>
      <w:pPr>
        <w:spacing w:after="120" w:before="0"/>
      </w:pPr>
      <w:r>
        <w:rPr>
          <w:rFonts w:ascii="Calibri" w:cs="Calibri" w:eastAsia="Calibri" w:hAnsi="Calibri"/>
          <w:color w:val="1A1A1A"/>
          <w:sz w:val="22"/>
          <w:szCs w:val="22"/>
        </w:rPr>
        <w:t xml:space="preserve">Fishing effort E is held constant over the 80-year simulation. A dynamic open-access model where effort responds to stock size and economics would be more realistic but requires additional estimated parameters not available from the data.</w:t>
      </w:r>
    </w:p>
    <w:p>
      <w:pPr>
        <w:pStyle w:val="Heading3"/>
        <w:spacing w:after="60" w:before="180"/>
      </w:pPr>
      <w:r>
        <w:rPr>
          <w:rFonts w:ascii="Calibri" w:cs="Calibri" w:eastAsia="Calibri" w:hAnsi="Calibri"/>
          <w:b/>
          <w:bCs/>
          <w:color w:val="C8922A"/>
          <w:sz w:val="22"/>
          <w:szCs w:val="22"/>
        </w:rPr>
        <w:t xml:space="preserve">Linear Reef-Fish Coupling</w:t>
      </w:r>
    </w:p>
    <w:p>
      <w:pPr>
        <w:spacing w:after="120" w:before="0"/>
      </w:pPr>
      <w:r>
        <w:rPr>
          <w:rFonts w:ascii="Calibri" w:cs="Calibri" w:eastAsia="Calibri" w:hAnsi="Calibri"/>
          <w:color w:val="1A1A1A"/>
          <w:sz w:val="22"/>
          <w:szCs w:val="22"/>
        </w:rPr>
        <w:t xml:space="preserve">Kₜ = α · R(t) assumes a linear relationship between coral cover and fish carrying capacity. Nonlinear threshold effects (coral-algae phase shifts) may produce discontinuous changes in fish productivity not captured by this formulation.</w:t>
      </w:r>
    </w:p>
    <w:p>
      <w:pPr>
        <w:pStyle w:val="Heading3"/>
        <w:spacing w:after="60" w:before="180"/>
      </w:pPr>
      <w:r>
        <w:rPr>
          <w:rFonts w:ascii="Calibri" w:cs="Calibri" w:eastAsia="Calibri" w:hAnsi="Calibri"/>
          <w:b/>
          <w:bCs/>
          <w:color w:val="C8922A"/>
          <w:sz w:val="22"/>
          <w:szCs w:val="22"/>
        </w:rPr>
        <w:t xml:space="preserve">Historical Shock Calibration</w:t>
      </w:r>
    </w:p>
    <w:p>
      <w:pPr>
        <w:spacing w:after="120" w:before="0"/>
      </w:pPr>
      <w:r>
        <w:rPr>
          <w:rFonts w:ascii="Calibri" w:cs="Calibri" w:eastAsia="Calibri" w:hAnsi="Calibri"/>
          <w:color w:val="1A1A1A"/>
          <w:sz w:val="22"/>
          <w:szCs w:val="22"/>
        </w:rPr>
        <w:t xml:space="preserve">Shock parameters represent historical baseline disturbance regimes. Future climate change is expected to increase both frequency and severity of bleaching events, meaning the model may underestimate disturbance risk under higher emissions scenarios.</w:t>
      </w:r>
    </w:p>
    <w:p>
      <w:r>
        <w:br/>
      </w:r>
    </w:p>
    <w:p>
      <w:pPr>
        <w:pStyle w:val="Heading1"/>
        <w:pBdr>
          <w:bottom w:val="single" w:color="0E7C7B" w:sz="12" w:space="2"/>
        </w:pBdr>
        <w:spacing w:after="120" w:before="360"/>
      </w:pPr>
      <w:r>
        <w:rPr>
          <w:rFonts w:ascii="Calibri" w:cs="Calibri" w:eastAsia="Calibri" w:hAnsi="Calibri"/>
          <w:b/>
          <w:bCs/>
          <w:color w:val="1B3A6B"/>
          <w:sz w:val="32"/>
          <w:szCs w:val="32"/>
        </w:rPr>
        <w:t xml:space="preserve">8.  Reproducibility</w:t>
      </w:r>
    </w:p>
    <w:p>
      <w:pPr>
        <w:spacing w:after="120" w:before="0"/>
      </w:pPr>
      <w:r>
        <w:rPr>
          <w:rFonts w:ascii="Calibri" w:cs="Calibri" w:eastAsia="Calibri" w:hAnsi="Calibri"/>
          <w:color w:val="1A1A1A"/>
          <w:sz w:val="22"/>
          <w:szCs w:val="22"/>
        </w:rPr>
        <w:t xml:space="preserve">All simulations use rng(42) (MATLAB) for full reproducibility. Running any .m file produces identical results across platforms with MATLAB R2021a or later.</w:t>
      </w:r>
    </w:p>
    <w:p>
      <w:pPr>
        <w:pStyle w:val="Heading2"/>
        <w:spacing w:after="80" w:before="240"/>
      </w:pPr>
      <w:r>
        <w:rPr>
          <w:rFonts w:ascii="Calibri" w:cs="Calibri" w:eastAsia="Calibri" w:hAnsi="Calibri"/>
          <w:b/>
          <w:bCs/>
          <w:color w:val="0E7C7B"/>
          <w:sz w:val="24"/>
          <w:szCs w:val="24"/>
        </w:rPr>
        <w:t xml:space="preserve">To Reproduce with Updated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8D8E8" w:sz="1"/>
              <w:left w:val="single" w:color="C8D8E8" w:sz="1"/>
              <w:bottom w:val="single" w:color="C8D8E8" w:sz="1"/>
              <w:right w:val="single" w:color="C8D8E8" w:sz="1"/>
            </w:tcBorders>
            <w:shd w:fill="1B3A6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1</w:t>
            </w:r>
          </w:p>
        </w:tc>
        <w:tc>
          <w:tcPr>
            <w:tcW w:type="dxa" w:w="86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Obtain NCRMP fish survey data (belt transect or SPC records) from NOAA ERDDAP or via data request to PIFSC/SEFSC</w:t>
            </w:r>
          </w:p>
        </w:tc>
      </w:tr>
      <w:tr>
        <w:tc>
          <w:tcPr>
            <w:tcW w:type="dxa" w:w="720"/>
            <w:tcBorders>
              <w:top w:val="single" w:color="C8D8E8" w:sz="1"/>
              <w:left w:val="single" w:color="C8D8E8" w:sz="1"/>
              <w:bottom w:val="single" w:color="C8D8E8" w:sz="1"/>
              <w:right w:val="single" w:color="C8D8E8" w:sz="1"/>
            </w:tcBorders>
            <w:shd w:fill="0E7C7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2</w:t>
            </w:r>
          </w:p>
        </w:tc>
        <w:tc>
          <w:tcPr>
            <w:tcW w:type="dxa" w:w="864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Apply W = 0.001 × L³ to each fish length observation and sum to region-wide totals by survey year</w:t>
            </w:r>
          </w:p>
        </w:tc>
      </w:tr>
      <w:tr>
        <w:tc>
          <w:tcPr>
            <w:tcW w:type="dxa" w:w="720"/>
            <w:tcBorders>
              <w:top w:val="single" w:color="C8D8E8" w:sz="1"/>
              <w:left w:val="single" w:color="C8D8E8" w:sz="1"/>
              <w:bottom w:val="single" w:color="C8D8E8" w:sz="1"/>
              <w:right w:val="single" w:color="C8D8E8" w:sz="1"/>
            </w:tcBorders>
            <w:shd w:fill="1B3A6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3</w:t>
            </w:r>
          </w:p>
        </w:tc>
        <w:tc>
          <w:tcPr>
            <w:tcW w:type="dxa" w:w="86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Set K = max(biomass across years), X₀ = most recent year's estimate</w:t>
            </w:r>
          </w:p>
        </w:tc>
      </w:tr>
      <w:tr>
        <w:tc>
          <w:tcPr>
            <w:tcW w:type="dxa" w:w="720"/>
            <w:tcBorders>
              <w:top w:val="single" w:color="C8D8E8" w:sz="1"/>
              <w:left w:val="single" w:color="C8D8E8" w:sz="1"/>
              <w:bottom w:val="single" w:color="C8D8E8" w:sz="1"/>
              <w:right w:val="single" w:color="C8D8E8" w:sz="1"/>
            </w:tcBorders>
            <w:shd w:fill="0E7C7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4</w:t>
            </w:r>
          </w:p>
        </w:tc>
        <w:tc>
          <w:tcPr>
            <w:tcW w:type="dxa" w:w="864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Estimate r via OLS surplus-production regression where ≥4 years are available; otherwise use r = 0.35</w:t>
            </w:r>
          </w:p>
        </w:tc>
      </w:tr>
      <w:tr>
        <w:tc>
          <w:tcPr>
            <w:tcW w:type="dxa" w:w="720"/>
            <w:tcBorders>
              <w:top w:val="single" w:color="C8D8E8" w:sz="1"/>
              <w:left w:val="single" w:color="C8D8E8" w:sz="1"/>
              <w:bottom w:val="single" w:color="C8D8E8" w:sz="1"/>
              <w:right w:val="single" w:color="C8D8E8" w:sz="1"/>
            </w:tcBorders>
            <w:shd w:fill="1B3A6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5</w:t>
            </w:r>
          </w:p>
        </w:tc>
        <w:tc>
          <w:tcPr>
            <w:tcW w:type="dxa" w:w="86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Compute σ_X = std/mean of annual biomass estimates (cap at 0.40 if CV &gt; 0.60 due to rotating survey schedules)</w:t>
            </w:r>
          </w:p>
        </w:tc>
      </w:tr>
      <w:tr>
        <w:tc>
          <w:tcPr>
            <w:tcW w:type="dxa" w:w="720"/>
            <w:tcBorders>
              <w:top w:val="single" w:color="C8D8E8" w:sz="1"/>
              <w:left w:val="single" w:color="C8D8E8" w:sz="1"/>
              <w:bottom w:val="single" w:color="C8D8E8" w:sz="1"/>
              <w:right w:val="single" w:color="C8D8E8" w:sz="1"/>
            </w:tcBorders>
            <w:shd w:fill="0E7C7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6</w:t>
            </w:r>
          </w:p>
        </w:tc>
        <w:tc>
          <w:tcPr>
            <w:tcW w:type="dxa" w:w="8640"/>
            <w:tcBorders>
              <w:top w:val="single" w:color="C8D8E8" w:sz="1"/>
              <w:left w:val="single" w:color="C8D8E8" w:sz="1"/>
              <w:bottom w:val="single" w:color="C8D8E8" w:sz="1"/>
              <w:right w:val="single" w:color="C8D8E8" w:sz="1"/>
            </w:tcBorders>
            <w:shd w:fill="D6E8F5"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Repeat steps 3–5 analogously for benthic cover data to derive Rₘₐₓ, R₀, g, δ, σ_R</w:t>
            </w:r>
          </w:p>
        </w:tc>
      </w:tr>
      <w:tr>
        <w:tc>
          <w:tcPr>
            <w:tcW w:type="dxa" w:w="720"/>
            <w:tcBorders>
              <w:top w:val="single" w:color="C8D8E8" w:sz="1"/>
              <w:left w:val="single" w:color="C8D8E8" w:sz="1"/>
              <w:bottom w:val="single" w:color="C8D8E8" w:sz="1"/>
              <w:right w:val="single" w:color="C8D8E8" w:sz="1"/>
            </w:tcBorders>
            <w:shd w:fill="1B3A6B" w:val="clear"/>
            <w:tcMar>
              <w:top w:type="dxa" w:w="70"/>
              <w:left w:type="dxa" w:w="120"/>
              <w:bottom w:type="dxa" w:w="70"/>
              <w:right w:type="dxa" w:w="120"/>
            </w:tcMar>
          </w:tcPr>
          <w:p>
            <w:pPr>
              <w:jc w:val="center"/>
            </w:pPr>
            <w:r>
              <w:rPr>
                <w:rFonts w:ascii="Calibri" w:cs="Calibri" w:eastAsia="Calibri" w:hAnsi="Calibri"/>
                <w:i w:val="false"/>
                <w:iCs w:val="false"/>
                <w:color w:val="FFFFFF"/>
                <w:sz w:val="20"/>
                <w:szCs w:val="20"/>
              </w:rPr>
              <w:t xml:space="preserve">7</w:t>
            </w:r>
          </w:p>
        </w:tc>
        <w:tc>
          <w:tcPr>
            <w:tcW w:type="dxa" w:w="864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Calibri" w:cs="Calibri" w:eastAsia="Calibri" w:hAnsi="Calibri"/>
                <w:i w:val="false"/>
                <w:iCs w:val="false"/>
                <w:color w:val="1A1A1A"/>
                <w:sz w:val="20"/>
                <w:szCs w:val="20"/>
              </w:rPr>
              <w:t xml:space="preserve">Replace parameter values in the .m scripts and re-run gordon-schaefer-combined.m</w:t>
            </w:r>
          </w:p>
        </w:tc>
      </w:tr>
    </w:tbl>
    <w:p>
      <w:pPr>
        <w:spacing w:after="200" w:before="0"/>
      </w:pPr>
    </w:p>
    <w:p>
      <w:pPr>
        <w:pBdr>
          <w:top w:val="single" w:color="0E7C7B" w:sz="6" w:space="2"/>
        </w:pBdr>
        <w:spacing w:after="0" w:before="160"/>
        <w:jc w:val="center"/>
      </w:pPr>
      <w:r>
        <w:rPr>
          <w:rFonts w:ascii="Calibri" w:cs="Calibri" w:eastAsia="Calibri" w:hAnsi="Calibri"/>
          <w:i/>
          <w:iCs/>
          <w:color w:val="8A9BB0"/>
          <w:sz w:val="18"/>
          <w:szCs w:val="18"/>
        </w:rPr>
        <w:t xml:space="preserve">Raw data files are not committed to this repository due to file size constraints.  </w:t>
      </w:r>
      <w:r>
        <w:rPr>
          <w:rFonts w:ascii="Calibri" w:cs="Calibri" w:eastAsia="Calibri" w:hAnsi="Calibri"/>
          <w:i/>
          <w:iCs/>
          <w:color w:val="8A9BB0"/>
          <w:sz w:val="18"/>
          <w:szCs w:val="18"/>
        </w:rPr>
        <w:t xml:space="preserve">All derivation steps are fully described above.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6" w:space="1"/>
      </w:pBdr>
      <w:tabs>
        <w:tab w:val="right" w:pos="9000"/>
      </w:tabs>
      <w:spacing w:after="0" w:before="80"/>
    </w:pPr>
    <w:r>
      <w:rPr>
        <w:rFonts w:ascii="Calibri" w:cs="Calibri" w:eastAsia="Calibri" w:hAnsi="Calibri"/>
        <w:color w:val="8A9BB0"/>
        <w:sz w:val="18"/>
        <w:szCs w:val="18"/>
      </w:rPr>
      <w:t xml:space="preserve">Stochastic Gordon–Schaefer Bio-Economic Model</w:t>
    </w:r>
    <w:r>
      <w:rPr>
        <w:rFonts w:ascii="Calibri" w:cs="Calibri" w:eastAsia="Calibri" w:hAnsi="Calibri"/>
        <w:sz w:val="18"/>
        <w:szCs w:val="18"/>
      </w:rPr>
      <w:t xml:space="preserve">	</w:t>
    </w:r>
    <w:r>
      <w:rPr>
        <w:rFonts w:ascii="Calibri" w:cs="Calibri" w:eastAsia="Calibri" w:hAnsi="Calibri"/>
        <w:color w:val="8A9B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1"/>
      </w:pBdr>
      <w:spacing w:after="80" w:before="0"/>
    </w:pPr>
    <w:r>
      <w:rPr>
        <w:rFonts w:ascii="Calibri" w:cs="Calibri" w:eastAsia="Calibri" w:hAnsi="Calibri"/>
        <w:color w:val="8A9BB0"/>
        <w:sz w:val="18"/>
        <w:szCs w:val="18"/>
      </w:rPr>
      <w:t xml:space="preserve">Parameter Derivation Methodology  |  US Coral Reef Fisheries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0E7C7B"/>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C89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2026-04-02T18:47:05.922Z</dcterms:created>
  <dcterms:modified xsi:type="dcterms:W3CDTF">2026-04-02T18:47:05.923Z</dcterms:modified>
</cp:coreProperties>
</file>

<file path=docProps/custom.xml><?xml version="1.0" encoding="utf-8"?>
<Properties xmlns="http://schemas.openxmlformats.org/officeDocument/2006/custom-properties" xmlns:vt="http://schemas.openxmlformats.org/officeDocument/2006/docPropsVTypes"/>
</file>