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4D25F" w14:textId="77777777" w:rsidR="00055427" w:rsidRDefault="00055427" w:rsidP="00055427">
      <w:pPr>
        <w:pStyle w:val="NormalWeb"/>
        <w:rPr>
          <w:rFonts w:ascii="Verdana" w:hAnsi="Verdana"/>
          <w:b/>
          <w:color w:val="000000"/>
          <w:sz w:val="19"/>
          <w:szCs w:val="19"/>
        </w:rPr>
      </w:pPr>
      <w:r>
        <w:rPr>
          <w:rFonts w:ascii="Verdana" w:hAnsi="Verdana"/>
          <w:b/>
          <w:color w:val="000000"/>
          <w:sz w:val="19"/>
          <w:szCs w:val="19"/>
        </w:rPr>
        <w:t xml:space="preserve">CDISC: Standards in SDTMs and </w:t>
      </w:r>
      <w:proofErr w:type="spellStart"/>
      <w:r>
        <w:rPr>
          <w:rFonts w:ascii="Verdana" w:hAnsi="Verdana"/>
          <w:b/>
          <w:color w:val="000000"/>
          <w:sz w:val="19"/>
          <w:szCs w:val="19"/>
        </w:rPr>
        <w:t>ADaMs</w:t>
      </w:r>
      <w:proofErr w:type="spellEnd"/>
      <w:r>
        <w:rPr>
          <w:rFonts w:ascii="Verdana" w:hAnsi="Verdana"/>
          <w:b/>
          <w:color w:val="000000"/>
          <w:sz w:val="19"/>
          <w:szCs w:val="19"/>
        </w:rPr>
        <w:t xml:space="preserve"> UCSD </w:t>
      </w:r>
      <w:proofErr w:type="spellStart"/>
      <w:r>
        <w:rPr>
          <w:rFonts w:ascii="Verdana" w:hAnsi="Verdana"/>
          <w:b/>
          <w:color w:val="000000"/>
          <w:sz w:val="19"/>
          <w:szCs w:val="19"/>
        </w:rPr>
        <w:t>OnLine</w:t>
      </w:r>
      <w:proofErr w:type="spellEnd"/>
      <w:r>
        <w:rPr>
          <w:rFonts w:ascii="Verdana" w:hAnsi="Verdana"/>
          <w:b/>
          <w:color w:val="000000"/>
          <w:sz w:val="19"/>
          <w:szCs w:val="19"/>
        </w:rPr>
        <w:t xml:space="preserve"> Class</w:t>
      </w:r>
    </w:p>
    <w:p w14:paraId="66D746B9" w14:textId="77777777" w:rsidR="00837262" w:rsidRDefault="00837262" w:rsidP="00837262">
      <w:pPr>
        <w:pStyle w:val="NormalWeb"/>
        <w:rPr>
          <w:rFonts w:ascii="Verdana" w:hAnsi="Verdana"/>
          <w:b/>
          <w:color w:val="000000"/>
          <w:sz w:val="19"/>
          <w:szCs w:val="19"/>
        </w:rPr>
      </w:pPr>
      <w:r>
        <w:rPr>
          <w:rFonts w:ascii="Verdana" w:hAnsi="Verdana"/>
          <w:b/>
          <w:color w:val="000000"/>
          <w:sz w:val="19"/>
          <w:szCs w:val="19"/>
        </w:rPr>
        <w:t>Questions from Lesson 3 (AE/SUPPAE/ADAE)</w:t>
      </w:r>
    </w:p>
    <w:p w14:paraId="6BC11A98" w14:textId="77777777"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1. What is an example of a non-mapping raw ADVERSE variable?  What it the name of the dataset that stores this variable?</w:t>
      </w:r>
    </w:p>
    <w:p w14:paraId="6A262EEE" w14:textId="77777777" w:rsidR="005F2A64" w:rsidRPr="005F2A64" w:rsidRDefault="005F2A64" w:rsidP="00C32E72">
      <w:pPr>
        <w:spacing w:before="100" w:beforeAutospacing="1" w:after="100" w:afterAutospacing="1" w:line="240" w:lineRule="auto"/>
        <w:rPr>
          <w:rFonts w:ascii="Verdana" w:eastAsia="Times New Roman" w:hAnsi="Verdana" w:cs="Times New Roman"/>
          <w:color w:val="FF0000"/>
          <w:sz w:val="19"/>
          <w:szCs w:val="19"/>
        </w:rPr>
      </w:pPr>
      <w:r w:rsidRPr="005F2A64">
        <w:rPr>
          <w:rFonts w:ascii="Verdana" w:eastAsia="Times New Roman" w:hAnsi="Verdana" w:cs="Times New Roman"/>
          <w:color w:val="FF0000"/>
          <w:sz w:val="19"/>
          <w:szCs w:val="19"/>
        </w:rPr>
        <w:t>A non-mapping raw ADVERSE variable would be like location of reaction (called something like AELOC1) stored in the SUPPAE dataset.</w:t>
      </w:r>
    </w:p>
    <w:p w14:paraId="55E34816" w14:textId="1EA2A28D"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2. What are the three types of variables listed when mapping AE to ADAE and CRF Map?  What is the difference in these variables?</w:t>
      </w:r>
    </w:p>
    <w:p w14:paraId="6042B79D" w14:textId="17E19C91" w:rsidR="005F2A64" w:rsidRPr="00C5256C" w:rsidRDefault="005F2A64" w:rsidP="00C32E72">
      <w:pPr>
        <w:spacing w:before="100" w:beforeAutospacing="1" w:after="100" w:afterAutospacing="1" w:line="240" w:lineRule="auto"/>
        <w:rPr>
          <w:rFonts w:ascii="Verdana" w:eastAsia="Times New Roman" w:hAnsi="Verdana" w:cs="Times New Roman"/>
          <w:color w:val="FF0000"/>
          <w:sz w:val="19"/>
          <w:szCs w:val="19"/>
        </w:rPr>
      </w:pPr>
      <w:r w:rsidRPr="00C5256C">
        <w:rPr>
          <w:rFonts w:ascii="Verdana" w:eastAsia="Times New Roman" w:hAnsi="Verdana" w:cs="Times New Roman"/>
          <w:color w:val="FF0000"/>
          <w:sz w:val="19"/>
          <w:szCs w:val="19"/>
        </w:rPr>
        <w:t>There are raw, assigned, and derived variables. Raw variables are carried over from the raw data as-is. Assigned variables are things like subject ID and study ID, which, as the name implies, are assigned automatically to each subject. Finally, derived variables are those variables which you create from other variables</w:t>
      </w:r>
      <w:r w:rsidR="00C5256C" w:rsidRPr="00C5256C">
        <w:rPr>
          <w:rFonts w:ascii="Verdana" w:eastAsia="Times New Roman" w:hAnsi="Verdana" w:cs="Times New Roman"/>
          <w:color w:val="FF0000"/>
          <w:sz w:val="19"/>
          <w:szCs w:val="19"/>
        </w:rPr>
        <w:t>, like BMI if you were measuring height and weight.</w:t>
      </w:r>
    </w:p>
    <w:p w14:paraId="0B5155DA" w14:textId="45402311"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3. How many levels are there when coding adverse terms?  Why are there many levels?  Who populates these variables?  </w:t>
      </w:r>
    </w:p>
    <w:p w14:paraId="488E2C73" w14:textId="2655A30D" w:rsidR="00C5256C" w:rsidRPr="00C5256C" w:rsidRDefault="00C5256C" w:rsidP="00C32E72">
      <w:pPr>
        <w:spacing w:before="100" w:beforeAutospacing="1" w:after="100" w:afterAutospacing="1" w:line="240" w:lineRule="auto"/>
        <w:rPr>
          <w:rFonts w:ascii="Verdana" w:eastAsia="Times New Roman" w:hAnsi="Verdana" w:cs="Times New Roman"/>
          <w:color w:val="FF0000"/>
          <w:sz w:val="19"/>
          <w:szCs w:val="19"/>
        </w:rPr>
      </w:pPr>
      <w:r w:rsidRPr="00C5256C">
        <w:rPr>
          <w:rFonts w:ascii="Verdana" w:eastAsia="Times New Roman" w:hAnsi="Verdana" w:cs="Times New Roman"/>
          <w:color w:val="FF0000"/>
          <w:sz w:val="19"/>
          <w:szCs w:val="19"/>
        </w:rPr>
        <w:t xml:space="preserve">There are 6 levels when coding adverse terms. There are so many levels because different levels of standardization/classification terms may be </w:t>
      </w:r>
      <w:proofErr w:type="gramStart"/>
      <w:r w:rsidRPr="00C5256C">
        <w:rPr>
          <w:rFonts w:ascii="Verdana" w:eastAsia="Times New Roman" w:hAnsi="Verdana" w:cs="Times New Roman"/>
          <w:color w:val="FF0000"/>
          <w:sz w:val="19"/>
          <w:szCs w:val="19"/>
        </w:rPr>
        <w:t>more or less useful</w:t>
      </w:r>
      <w:proofErr w:type="gramEnd"/>
      <w:r w:rsidRPr="00C5256C">
        <w:rPr>
          <w:rFonts w:ascii="Verdana" w:eastAsia="Times New Roman" w:hAnsi="Verdana" w:cs="Times New Roman"/>
          <w:color w:val="FF0000"/>
          <w:sz w:val="19"/>
          <w:szCs w:val="19"/>
        </w:rPr>
        <w:t xml:space="preserve"> for different projects/analyses, though there are some that are used more than others like SOC and preferred terms. These are typically populated by the analyst with help from dictionaries.</w:t>
      </w:r>
    </w:p>
    <w:p w14:paraId="4A574836" w14:textId="3E5D013D"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 xml:space="preserve">4. What are examples of paired AEXXX variables?  What is the purpose of each type, NUM and CHAR?  Are the CHAR variables </w:t>
      </w:r>
      <w:proofErr w:type="spellStart"/>
      <w:r w:rsidRPr="00C32E72">
        <w:rPr>
          <w:rFonts w:ascii="Verdana" w:eastAsia="Times New Roman" w:hAnsi="Verdana" w:cs="Times New Roman"/>
          <w:color w:val="000000"/>
          <w:sz w:val="19"/>
          <w:szCs w:val="19"/>
        </w:rPr>
        <w:t>propercase</w:t>
      </w:r>
      <w:proofErr w:type="spellEnd"/>
      <w:r w:rsidRPr="00C32E72">
        <w:rPr>
          <w:rFonts w:ascii="Verdana" w:eastAsia="Times New Roman" w:hAnsi="Verdana" w:cs="Times New Roman"/>
          <w:color w:val="000000"/>
          <w:sz w:val="19"/>
          <w:szCs w:val="19"/>
        </w:rPr>
        <w:t>, lower case or all upper case and why?</w:t>
      </w:r>
    </w:p>
    <w:p w14:paraId="110560FF" w14:textId="3ABAF2A0" w:rsidR="00C5256C" w:rsidRPr="00C5256C" w:rsidRDefault="00C5256C" w:rsidP="00C32E72">
      <w:pPr>
        <w:spacing w:before="100" w:beforeAutospacing="1" w:after="100" w:afterAutospacing="1" w:line="240" w:lineRule="auto"/>
        <w:rPr>
          <w:rFonts w:ascii="Verdana" w:eastAsia="Times New Roman" w:hAnsi="Verdana" w:cs="Times New Roman"/>
          <w:color w:val="FF0000"/>
          <w:sz w:val="19"/>
          <w:szCs w:val="19"/>
        </w:rPr>
      </w:pPr>
      <w:r w:rsidRPr="00C5256C">
        <w:rPr>
          <w:rFonts w:ascii="Verdana" w:eastAsia="Times New Roman" w:hAnsi="Verdana" w:cs="Times New Roman"/>
          <w:color w:val="FF0000"/>
          <w:sz w:val="19"/>
          <w:szCs w:val="19"/>
        </w:rPr>
        <w:t xml:space="preserve">A paired AEXX variable would be like AGE/AGEU. The NUM type is useful for arithmetic, </w:t>
      </w:r>
      <w:proofErr w:type="spellStart"/>
      <w:r w:rsidRPr="00C5256C">
        <w:rPr>
          <w:rFonts w:ascii="Verdana" w:eastAsia="Times New Roman" w:hAnsi="Verdana" w:cs="Times New Roman"/>
          <w:color w:val="FF0000"/>
          <w:sz w:val="19"/>
          <w:szCs w:val="19"/>
        </w:rPr>
        <w:t>subsetting</w:t>
      </w:r>
      <w:proofErr w:type="spellEnd"/>
      <w:r w:rsidRPr="00C5256C">
        <w:rPr>
          <w:rFonts w:ascii="Verdana" w:eastAsia="Times New Roman" w:hAnsi="Verdana" w:cs="Times New Roman"/>
          <w:color w:val="FF0000"/>
          <w:sz w:val="19"/>
          <w:szCs w:val="19"/>
        </w:rPr>
        <w:t xml:space="preserve">/filtering, and similar purposes. The CHAR type is useful for reporting/display and preserving formatting of variables. The CHAR </w:t>
      </w:r>
      <w:proofErr w:type="gramStart"/>
      <w:r w:rsidRPr="00C5256C">
        <w:rPr>
          <w:rFonts w:ascii="Verdana" w:eastAsia="Times New Roman" w:hAnsi="Verdana" w:cs="Times New Roman"/>
          <w:color w:val="FF0000"/>
          <w:sz w:val="19"/>
          <w:szCs w:val="19"/>
        </w:rPr>
        <w:t>are</w:t>
      </w:r>
      <w:proofErr w:type="gramEnd"/>
      <w:r w:rsidRPr="00C5256C">
        <w:rPr>
          <w:rFonts w:ascii="Verdana" w:eastAsia="Times New Roman" w:hAnsi="Verdana" w:cs="Times New Roman"/>
          <w:color w:val="FF0000"/>
          <w:sz w:val="19"/>
          <w:szCs w:val="19"/>
        </w:rPr>
        <w:t xml:space="preserve"> usually uppercase (like variable names) for standardization and consistency.</w:t>
      </w:r>
    </w:p>
    <w:p w14:paraId="117A2C6B" w14:textId="00ED2955"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5. Which of the four components is ANL01FL an example of?</w:t>
      </w:r>
    </w:p>
    <w:p w14:paraId="2557514F" w14:textId="2CA2442F" w:rsidR="00C5256C" w:rsidRPr="00C5256C" w:rsidRDefault="00C5256C" w:rsidP="00C32E72">
      <w:pPr>
        <w:spacing w:before="100" w:beforeAutospacing="1" w:after="100" w:afterAutospacing="1" w:line="240" w:lineRule="auto"/>
        <w:rPr>
          <w:rFonts w:ascii="Verdana" w:eastAsia="Times New Roman" w:hAnsi="Verdana" w:cs="Times New Roman"/>
          <w:color w:val="FF0000"/>
          <w:sz w:val="19"/>
          <w:szCs w:val="19"/>
        </w:rPr>
      </w:pPr>
      <w:r w:rsidRPr="00C5256C">
        <w:rPr>
          <w:rFonts w:ascii="Verdana" w:eastAsia="Times New Roman" w:hAnsi="Verdana" w:cs="Times New Roman"/>
          <w:color w:val="FF0000"/>
          <w:sz w:val="19"/>
          <w:szCs w:val="19"/>
        </w:rPr>
        <w:t>Other derived variables</w:t>
      </w:r>
    </w:p>
    <w:p w14:paraId="1706AE76" w14:textId="74AE1F78"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6. What is the AE variable name that stores the IDVAR value in SUPPAE dataset?</w:t>
      </w:r>
    </w:p>
    <w:p w14:paraId="56FA23D2" w14:textId="3CFD2F8C" w:rsidR="00C5256C" w:rsidRPr="00C5256C" w:rsidRDefault="002073C5" w:rsidP="00C32E72">
      <w:pPr>
        <w:spacing w:before="100" w:beforeAutospacing="1" w:after="100" w:afterAutospacing="1" w:line="240" w:lineRule="auto"/>
        <w:rPr>
          <w:rFonts w:ascii="Verdana" w:eastAsia="Times New Roman" w:hAnsi="Verdana" w:cs="Times New Roman"/>
          <w:color w:val="FF0000"/>
          <w:sz w:val="19"/>
          <w:szCs w:val="19"/>
        </w:rPr>
      </w:pPr>
      <w:r>
        <w:rPr>
          <w:rFonts w:ascii="Verdana" w:eastAsia="Times New Roman" w:hAnsi="Verdana" w:cs="Times New Roman"/>
          <w:color w:val="FF0000"/>
          <w:sz w:val="19"/>
          <w:szCs w:val="19"/>
        </w:rPr>
        <w:t>USUBJID</w:t>
      </w:r>
    </w:p>
    <w:p w14:paraId="04F4F466" w14:textId="4450AE51" w:rsidR="002073C5"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7. Which function is often used to remove blanks before and after text values?</w:t>
      </w:r>
    </w:p>
    <w:p w14:paraId="663C3B48" w14:textId="6875FB96" w:rsidR="002073C5" w:rsidRPr="002073C5" w:rsidRDefault="002073C5" w:rsidP="00C32E72">
      <w:pPr>
        <w:spacing w:before="100" w:beforeAutospacing="1" w:after="100" w:afterAutospacing="1" w:line="240" w:lineRule="auto"/>
        <w:rPr>
          <w:rFonts w:ascii="Verdana" w:eastAsia="Times New Roman" w:hAnsi="Verdana" w:cs="Times New Roman"/>
          <w:color w:val="FF0000"/>
          <w:sz w:val="19"/>
          <w:szCs w:val="19"/>
        </w:rPr>
      </w:pPr>
      <w:proofErr w:type="gramStart"/>
      <w:r w:rsidRPr="002073C5">
        <w:rPr>
          <w:rFonts w:ascii="Verdana" w:eastAsia="Times New Roman" w:hAnsi="Verdana" w:cs="Times New Roman"/>
          <w:color w:val="FF0000"/>
          <w:sz w:val="19"/>
          <w:szCs w:val="19"/>
        </w:rPr>
        <w:t>Left(</w:t>
      </w:r>
      <w:proofErr w:type="gramEnd"/>
      <w:r w:rsidRPr="002073C5">
        <w:rPr>
          <w:rFonts w:ascii="Verdana" w:eastAsia="Times New Roman" w:hAnsi="Verdana" w:cs="Times New Roman"/>
          <w:color w:val="FF0000"/>
          <w:sz w:val="19"/>
          <w:szCs w:val="19"/>
        </w:rPr>
        <w:t>)</w:t>
      </w:r>
    </w:p>
    <w:p w14:paraId="4B4D662F" w14:textId="1141A86D"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8. When creating AE study day variables, are there one or two macro calls to %MAKE_SDTM_</w:t>
      </w:r>
      <w:proofErr w:type="gramStart"/>
      <w:r w:rsidRPr="00C32E72">
        <w:rPr>
          <w:rFonts w:ascii="Verdana" w:eastAsia="Times New Roman" w:hAnsi="Verdana" w:cs="Times New Roman"/>
          <w:color w:val="000000"/>
          <w:sz w:val="19"/>
          <w:szCs w:val="19"/>
        </w:rPr>
        <w:t>DY(</w:t>
      </w:r>
      <w:proofErr w:type="gramEnd"/>
      <w:r w:rsidRPr="00C32E72">
        <w:rPr>
          <w:rFonts w:ascii="Verdana" w:eastAsia="Times New Roman" w:hAnsi="Verdana" w:cs="Times New Roman"/>
          <w:color w:val="000000"/>
          <w:sz w:val="19"/>
          <w:szCs w:val="19"/>
        </w:rPr>
        <w:t>) and why?</w:t>
      </w:r>
    </w:p>
    <w:p w14:paraId="1EE70589" w14:textId="74D2BD8C" w:rsidR="002073C5" w:rsidRPr="002073C5" w:rsidRDefault="002073C5" w:rsidP="00C32E72">
      <w:pPr>
        <w:spacing w:before="100" w:beforeAutospacing="1" w:after="100" w:afterAutospacing="1" w:line="240" w:lineRule="auto"/>
        <w:rPr>
          <w:rFonts w:ascii="Verdana" w:eastAsia="Times New Roman" w:hAnsi="Verdana" w:cs="Times New Roman"/>
          <w:color w:val="FF0000"/>
          <w:sz w:val="19"/>
          <w:szCs w:val="19"/>
        </w:rPr>
      </w:pPr>
      <w:r w:rsidRPr="002073C5">
        <w:rPr>
          <w:rFonts w:ascii="Verdana" w:eastAsia="Times New Roman" w:hAnsi="Verdana" w:cs="Times New Roman"/>
          <w:color w:val="FF0000"/>
          <w:sz w:val="19"/>
          <w:szCs w:val="19"/>
        </w:rPr>
        <w:t xml:space="preserve">There are 2 macro calls, one for start date and one for end </w:t>
      </w:r>
      <w:proofErr w:type="gramStart"/>
      <w:r w:rsidRPr="002073C5">
        <w:rPr>
          <w:rFonts w:ascii="Verdana" w:eastAsia="Times New Roman" w:hAnsi="Verdana" w:cs="Times New Roman"/>
          <w:color w:val="FF0000"/>
          <w:sz w:val="19"/>
          <w:szCs w:val="19"/>
        </w:rPr>
        <w:t>date</w:t>
      </w:r>
      <w:proofErr w:type="gramEnd"/>
    </w:p>
    <w:p w14:paraId="735602A5" w14:textId="60977D08"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9. Is 0 a valid study day value?  If not, then what is the value for baseline? </w:t>
      </w:r>
    </w:p>
    <w:p w14:paraId="2EA48389" w14:textId="63B6BEA1" w:rsidR="002073C5" w:rsidRPr="002073C5" w:rsidRDefault="002073C5" w:rsidP="00C32E72">
      <w:pPr>
        <w:spacing w:before="100" w:beforeAutospacing="1" w:after="100" w:afterAutospacing="1" w:line="240" w:lineRule="auto"/>
        <w:rPr>
          <w:rFonts w:ascii="Verdana" w:eastAsia="Times New Roman" w:hAnsi="Verdana" w:cs="Times New Roman"/>
          <w:color w:val="FF0000"/>
          <w:sz w:val="19"/>
          <w:szCs w:val="19"/>
        </w:rPr>
      </w:pPr>
      <w:r w:rsidRPr="002073C5">
        <w:rPr>
          <w:rFonts w:ascii="Verdana" w:eastAsia="Times New Roman" w:hAnsi="Verdana" w:cs="Times New Roman"/>
          <w:color w:val="FF0000"/>
          <w:sz w:val="19"/>
          <w:szCs w:val="19"/>
        </w:rPr>
        <w:t>No, the baseline value should always start at 1.</w:t>
      </w:r>
    </w:p>
    <w:p w14:paraId="45B07185" w14:textId="74BC0352"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10. Is it possible to use PROC SQL to create study day variables?</w:t>
      </w:r>
    </w:p>
    <w:p w14:paraId="6BD86303" w14:textId="0C23B9B1" w:rsidR="002073C5" w:rsidRPr="002073C5" w:rsidRDefault="002073C5" w:rsidP="00C32E72">
      <w:pPr>
        <w:spacing w:before="100" w:beforeAutospacing="1" w:after="100" w:afterAutospacing="1" w:line="240" w:lineRule="auto"/>
        <w:rPr>
          <w:rFonts w:ascii="Verdana" w:eastAsia="Times New Roman" w:hAnsi="Verdana" w:cs="Times New Roman"/>
          <w:color w:val="FF0000"/>
          <w:sz w:val="19"/>
          <w:szCs w:val="19"/>
        </w:rPr>
      </w:pPr>
      <w:r w:rsidRPr="002073C5">
        <w:rPr>
          <w:rFonts w:ascii="Verdana" w:eastAsia="Times New Roman" w:hAnsi="Verdana" w:cs="Times New Roman"/>
          <w:color w:val="FF0000"/>
          <w:sz w:val="19"/>
          <w:szCs w:val="19"/>
        </w:rPr>
        <w:t>Yes</w:t>
      </w:r>
    </w:p>
    <w:p w14:paraId="1CFFE5A4" w14:textId="51977153"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lastRenderedPageBreak/>
        <w:t>11. When creating the AESEQ variable, what is the important step before the DATA step?  What exactly is the AESEQ variable?</w:t>
      </w:r>
    </w:p>
    <w:p w14:paraId="39E35592" w14:textId="6B928A4D" w:rsidR="002073C5" w:rsidRPr="002073C5" w:rsidRDefault="002073C5" w:rsidP="00C32E72">
      <w:pPr>
        <w:spacing w:before="100" w:beforeAutospacing="1" w:after="100" w:afterAutospacing="1" w:line="240" w:lineRule="auto"/>
        <w:rPr>
          <w:rFonts w:ascii="Verdana" w:eastAsia="Times New Roman" w:hAnsi="Verdana" w:cs="Times New Roman"/>
          <w:color w:val="FF0000"/>
          <w:sz w:val="19"/>
          <w:szCs w:val="19"/>
        </w:rPr>
      </w:pPr>
      <w:r w:rsidRPr="002073C5">
        <w:rPr>
          <w:rFonts w:ascii="Verdana" w:eastAsia="Times New Roman" w:hAnsi="Verdana" w:cs="Times New Roman"/>
          <w:color w:val="FF0000"/>
          <w:sz w:val="19"/>
          <w:szCs w:val="19"/>
        </w:rPr>
        <w:t xml:space="preserve"> You need to sort the data first (PROC SORT) so that the AESEQ is in order. For datasets where each subject has multiple observations, the AESEQ variable shows the proper ordering/sequence of observations for each </w:t>
      </w:r>
      <w:proofErr w:type="gramStart"/>
      <w:r w:rsidRPr="002073C5">
        <w:rPr>
          <w:rFonts w:ascii="Verdana" w:eastAsia="Times New Roman" w:hAnsi="Verdana" w:cs="Times New Roman"/>
          <w:color w:val="FF0000"/>
          <w:sz w:val="19"/>
          <w:szCs w:val="19"/>
        </w:rPr>
        <w:t>subject</w:t>
      </w:r>
      <w:proofErr w:type="gramEnd"/>
    </w:p>
    <w:p w14:paraId="201994C1" w14:textId="6FD09266"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12. If the SUPPAE dataset has three records with the same IDVAR value for one patient, then when merging it back with the AE dataset, how many variables are created? Which SUPPAE variable name stores the name of the AE variables?</w:t>
      </w:r>
    </w:p>
    <w:p w14:paraId="2F8D3895" w14:textId="03038B4B" w:rsidR="002073C5" w:rsidRPr="002073C5" w:rsidRDefault="002073C5" w:rsidP="00C32E72">
      <w:pPr>
        <w:spacing w:before="100" w:beforeAutospacing="1" w:after="100" w:afterAutospacing="1" w:line="240" w:lineRule="auto"/>
        <w:rPr>
          <w:rFonts w:ascii="Verdana" w:eastAsia="Times New Roman" w:hAnsi="Verdana" w:cs="Times New Roman"/>
          <w:color w:val="FF0000"/>
          <w:sz w:val="19"/>
          <w:szCs w:val="19"/>
        </w:rPr>
      </w:pPr>
      <w:r w:rsidRPr="002073C5">
        <w:rPr>
          <w:rFonts w:ascii="Verdana" w:eastAsia="Times New Roman" w:hAnsi="Verdana" w:cs="Times New Roman"/>
          <w:color w:val="FF0000"/>
          <w:sz w:val="19"/>
          <w:szCs w:val="19"/>
        </w:rPr>
        <w:t xml:space="preserve">3 variables would be created </w:t>
      </w:r>
      <w:r>
        <w:rPr>
          <w:rFonts w:ascii="Verdana" w:eastAsia="Times New Roman" w:hAnsi="Verdana" w:cs="Times New Roman"/>
          <w:color w:val="FF0000"/>
          <w:sz w:val="19"/>
          <w:szCs w:val="19"/>
        </w:rPr>
        <w:t xml:space="preserve">corresponding to each </w:t>
      </w:r>
      <w:r w:rsidRPr="002073C5">
        <w:rPr>
          <w:rFonts w:ascii="Verdana" w:eastAsia="Times New Roman" w:hAnsi="Verdana" w:cs="Times New Roman"/>
          <w:color w:val="FF0000"/>
          <w:sz w:val="19"/>
          <w:szCs w:val="19"/>
        </w:rPr>
        <w:t>QNAM</w:t>
      </w:r>
      <w:r w:rsidR="00CF4D56">
        <w:rPr>
          <w:rFonts w:ascii="Verdana" w:eastAsia="Times New Roman" w:hAnsi="Verdana" w:cs="Times New Roman"/>
          <w:color w:val="FF0000"/>
          <w:sz w:val="19"/>
          <w:szCs w:val="19"/>
        </w:rPr>
        <w:t>, assuming they are unique</w:t>
      </w:r>
      <w:r>
        <w:rPr>
          <w:rFonts w:ascii="Verdana" w:eastAsia="Times New Roman" w:hAnsi="Verdana" w:cs="Times New Roman"/>
          <w:color w:val="FF0000"/>
          <w:sz w:val="19"/>
          <w:szCs w:val="19"/>
        </w:rPr>
        <w:t>.</w:t>
      </w:r>
    </w:p>
    <w:p w14:paraId="106C713B" w14:textId="2E3B76F2"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13. Which SAS procedure is ideal for processing SUPPAE records?</w:t>
      </w:r>
    </w:p>
    <w:p w14:paraId="3A4EE9B2" w14:textId="2246F424" w:rsidR="00CF4D56" w:rsidRPr="00CF4D56" w:rsidRDefault="00CF4D56" w:rsidP="00C32E72">
      <w:pPr>
        <w:spacing w:before="100" w:beforeAutospacing="1" w:after="100" w:afterAutospacing="1" w:line="240" w:lineRule="auto"/>
        <w:rPr>
          <w:rFonts w:ascii="Verdana" w:eastAsia="Times New Roman" w:hAnsi="Verdana" w:cs="Times New Roman"/>
          <w:color w:val="FF0000"/>
          <w:sz w:val="19"/>
          <w:szCs w:val="19"/>
        </w:rPr>
      </w:pPr>
      <w:r w:rsidRPr="00CF4D56">
        <w:rPr>
          <w:rFonts w:ascii="Verdana" w:eastAsia="Times New Roman" w:hAnsi="Verdana" w:cs="Times New Roman"/>
          <w:color w:val="FF0000"/>
          <w:sz w:val="19"/>
          <w:szCs w:val="19"/>
        </w:rPr>
        <w:t>PROC TRANSPOSE helps reshape the data for merging and is ideal for SUPPAE records.</w:t>
      </w:r>
    </w:p>
    <w:p w14:paraId="2B4091FE" w14:textId="1710DD27"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14. When merging AE and ADSL, what subset condition is important to apply and why?</w:t>
      </w:r>
    </w:p>
    <w:p w14:paraId="7D00CCFF" w14:textId="36DB5B3F" w:rsidR="00CF4D56" w:rsidRPr="00CF4D56" w:rsidRDefault="00CF4D56" w:rsidP="00C32E72">
      <w:pPr>
        <w:spacing w:before="100" w:beforeAutospacing="1" w:after="100" w:afterAutospacing="1" w:line="240" w:lineRule="auto"/>
        <w:rPr>
          <w:rFonts w:ascii="Verdana" w:eastAsia="Times New Roman" w:hAnsi="Verdana" w:cs="Times New Roman"/>
          <w:color w:val="FF0000"/>
          <w:sz w:val="19"/>
          <w:szCs w:val="19"/>
        </w:rPr>
      </w:pPr>
      <w:r w:rsidRPr="00CF4D56">
        <w:rPr>
          <w:rFonts w:ascii="Verdana" w:eastAsia="Times New Roman" w:hAnsi="Verdana" w:cs="Times New Roman"/>
          <w:color w:val="FF0000"/>
          <w:sz w:val="19"/>
          <w:szCs w:val="19"/>
        </w:rPr>
        <w:t xml:space="preserve">If subject is in AE and not ADSL, it is important to note that with </w:t>
      </w:r>
      <w:proofErr w:type="gramStart"/>
      <w:r w:rsidRPr="00CF4D56">
        <w:rPr>
          <w:rFonts w:ascii="Verdana" w:eastAsia="Times New Roman" w:hAnsi="Verdana" w:cs="Times New Roman"/>
          <w:color w:val="FF0000"/>
          <w:sz w:val="19"/>
          <w:szCs w:val="19"/>
        </w:rPr>
        <w:t>put(</w:t>
      </w:r>
      <w:proofErr w:type="gramEnd"/>
      <w:r w:rsidRPr="00CF4D56">
        <w:rPr>
          <w:rFonts w:ascii="Verdana" w:eastAsia="Times New Roman" w:hAnsi="Verdana" w:cs="Times New Roman"/>
          <w:color w:val="FF0000"/>
          <w:sz w:val="19"/>
          <w:szCs w:val="19"/>
        </w:rPr>
        <w:t>“Problem: Subject missing from ADSL?--”). This is important because we would expect all in the AE dataset to also be in the ADSL, so if there is a discrepancy it needs to be note</w:t>
      </w:r>
      <w:r w:rsidR="00DF04E0">
        <w:rPr>
          <w:rFonts w:ascii="Verdana" w:eastAsia="Times New Roman" w:hAnsi="Verdana" w:cs="Times New Roman"/>
          <w:color w:val="FF0000"/>
          <w:sz w:val="19"/>
          <w:szCs w:val="19"/>
        </w:rPr>
        <w:t>d while preserving their data.</w:t>
      </w:r>
    </w:p>
    <w:p w14:paraId="672D8188" w14:textId="18485323"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15. When converting XXDTC to XXDT variables, how many times is the %DTC2</w:t>
      </w:r>
      <w:proofErr w:type="gramStart"/>
      <w:r w:rsidRPr="00C32E72">
        <w:rPr>
          <w:rFonts w:ascii="Verdana" w:eastAsia="Times New Roman" w:hAnsi="Verdana" w:cs="Times New Roman"/>
          <w:color w:val="000000"/>
          <w:sz w:val="19"/>
          <w:szCs w:val="19"/>
        </w:rPr>
        <w:t>DT(</w:t>
      </w:r>
      <w:proofErr w:type="gramEnd"/>
      <w:r w:rsidRPr="00C32E72">
        <w:rPr>
          <w:rFonts w:ascii="Verdana" w:eastAsia="Times New Roman" w:hAnsi="Verdana" w:cs="Times New Roman"/>
          <w:color w:val="000000"/>
          <w:sz w:val="19"/>
          <w:szCs w:val="19"/>
        </w:rPr>
        <w:t>) macro called and why?</w:t>
      </w:r>
    </w:p>
    <w:p w14:paraId="29AA11A0" w14:textId="37839538" w:rsidR="00DF04E0" w:rsidRPr="00DF04E0" w:rsidRDefault="00DF04E0" w:rsidP="00C32E72">
      <w:pPr>
        <w:spacing w:before="100" w:beforeAutospacing="1" w:after="100" w:afterAutospacing="1" w:line="240" w:lineRule="auto"/>
        <w:rPr>
          <w:rFonts w:ascii="Verdana" w:eastAsia="Times New Roman" w:hAnsi="Verdana" w:cs="Times New Roman"/>
          <w:color w:val="FF0000"/>
          <w:sz w:val="19"/>
          <w:szCs w:val="19"/>
        </w:rPr>
      </w:pPr>
      <w:r w:rsidRPr="00DF04E0">
        <w:rPr>
          <w:rFonts w:ascii="Verdana" w:eastAsia="Times New Roman" w:hAnsi="Verdana" w:cs="Times New Roman"/>
          <w:color w:val="FF0000"/>
          <w:sz w:val="19"/>
          <w:szCs w:val="19"/>
        </w:rPr>
        <w:t>2 macro calls, like above, for the start and end dates.</w:t>
      </w:r>
    </w:p>
    <w:p w14:paraId="57CF2A74" w14:textId="4E00451B"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16. What is the meaning of TRTEMFL?  Why is it important?</w:t>
      </w:r>
    </w:p>
    <w:p w14:paraId="7B680CC0" w14:textId="47DE7AE1" w:rsidR="00DF04E0" w:rsidRPr="00603EF8" w:rsidRDefault="00DF04E0" w:rsidP="00DF04E0">
      <w:pPr>
        <w:tabs>
          <w:tab w:val="left" w:pos="2315"/>
        </w:tabs>
        <w:spacing w:before="100" w:beforeAutospacing="1" w:after="100" w:afterAutospacing="1" w:line="240" w:lineRule="auto"/>
        <w:rPr>
          <w:rFonts w:ascii="Verdana" w:eastAsia="Times New Roman" w:hAnsi="Verdana" w:cs="Times New Roman"/>
          <w:color w:val="FF0000"/>
          <w:sz w:val="19"/>
          <w:szCs w:val="19"/>
        </w:rPr>
      </w:pPr>
      <w:r w:rsidRPr="00603EF8">
        <w:rPr>
          <w:rFonts w:ascii="Verdana" w:eastAsia="Times New Roman" w:hAnsi="Verdana" w:cs="Times New Roman"/>
          <w:color w:val="FF0000"/>
          <w:sz w:val="19"/>
          <w:szCs w:val="19"/>
        </w:rPr>
        <w:t xml:space="preserve">Treatment </w:t>
      </w:r>
      <w:r w:rsidR="00603EF8" w:rsidRPr="00603EF8">
        <w:rPr>
          <w:rFonts w:ascii="Verdana" w:eastAsia="Times New Roman" w:hAnsi="Verdana" w:cs="Times New Roman"/>
          <w:color w:val="FF0000"/>
          <w:sz w:val="19"/>
          <w:szCs w:val="19"/>
        </w:rPr>
        <w:t>e</w:t>
      </w:r>
      <w:r w:rsidRPr="00603EF8">
        <w:rPr>
          <w:rFonts w:ascii="Verdana" w:eastAsia="Times New Roman" w:hAnsi="Verdana" w:cs="Times New Roman"/>
          <w:color w:val="FF0000"/>
          <w:sz w:val="19"/>
          <w:szCs w:val="19"/>
        </w:rPr>
        <w:t xml:space="preserve">fficacy </w:t>
      </w:r>
      <w:r w:rsidR="00603EF8" w:rsidRPr="00603EF8">
        <w:rPr>
          <w:rFonts w:ascii="Verdana" w:eastAsia="Times New Roman" w:hAnsi="Verdana" w:cs="Times New Roman"/>
          <w:color w:val="FF0000"/>
          <w:sz w:val="19"/>
          <w:szCs w:val="19"/>
        </w:rPr>
        <w:t>f</w:t>
      </w:r>
      <w:r w:rsidRPr="00603EF8">
        <w:rPr>
          <w:rFonts w:ascii="Verdana" w:eastAsia="Times New Roman" w:hAnsi="Verdana" w:cs="Times New Roman"/>
          <w:color w:val="FF0000"/>
          <w:sz w:val="19"/>
          <w:szCs w:val="19"/>
        </w:rPr>
        <w:t xml:space="preserve">lag or </w:t>
      </w:r>
      <w:r w:rsidR="00603EF8" w:rsidRPr="00603EF8">
        <w:rPr>
          <w:rFonts w:ascii="Verdana" w:eastAsia="Times New Roman" w:hAnsi="Verdana" w:cs="Times New Roman"/>
          <w:color w:val="FF0000"/>
          <w:sz w:val="19"/>
          <w:szCs w:val="19"/>
        </w:rPr>
        <w:t>t</w:t>
      </w:r>
      <w:r w:rsidRPr="00603EF8">
        <w:rPr>
          <w:rFonts w:ascii="Verdana" w:eastAsia="Times New Roman" w:hAnsi="Verdana" w:cs="Times New Roman"/>
          <w:color w:val="FF0000"/>
          <w:sz w:val="19"/>
          <w:szCs w:val="19"/>
        </w:rPr>
        <w:t xml:space="preserve">reatment </w:t>
      </w:r>
      <w:r w:rsidR="00603EF8" w:rsidRPr="00603EF8">
        <w:rPr>
          <w:rFonts w:ascii="Verdana" w:eastAsia="Times New Roman" w:hAnsi="Verdana" w:cs="Times New Roman"/>
          <w:color w:val="FF0000"/>
          <w:sz w:val="19"/>
          <w:szCs w:val="19"/>
        </w:rPr>
        <w:t>e</w:t>
      </w:r>
      <w:r w:rsidRPr="00603EF8">
        <w:rPr>
          <w:rFonts w:ascii="Verdana" w:eastAsia="Times New Roman" w:hAnsi="Verdana" w:cs="Times New Roman"/>
          <w:color w:val="FF0000"/>
          <w:sz w:val="19"/>
          <w:szCs w:val="19"/>
        </w:rPr>
        <w:t xml:space="preserve">mergent </w:t>
      </w:r>
      <w:r w:rsidR="00603EF8" w:rsidRPr="00603EF8">
        <w:rPr>
          <w:rFonts w:ascii="Verdana" w:eastAsia="Times New Roman" w:hAnsi="Verdana" w:cs="Times New Roman"/>
          <w:color w:val="FF0000"/>
          <w:sz w:val="19"/>
          <w:szCs w:val="19"/>
        </w:rPr>
        <w:t>f</w:t>
      </w:r>
      <w:r w:rsidRPr="00603EF8">
        <w:rPr>
          <w:rFonts w:ascii="Verdana" w:eastAsia="Times New Roman" w:hAnsi="Verdana" w:cs="Times New Roman"/>
          <w:color w:val="FF0000"/>
          <w:sz w:val="19"/>
          <w:szCs w:val="19"/>
        </w:rPr>
        <w:t>lag</w:t>
      </w:r>
      <w:r w:rsidRPr="00603EF8">
        <w:rPr>
          <w:rFonts w:ascii="Verdana" w:eastAsia="Times New Roman" w:hAnsi="Verdana" w:cs="Times New Roman"/>
          <w:color w:val="FF0000"/>
          <w:sz w:val="19"/>
          <w:szCs w:val="19"/>
        </w:rPr>
        <w:t xml:space="preserve"> which is important</w:t>
      </w:r>
      <w:r w:rsidR="00603EF8" w:rsidRPr="00603EF8">
        <w:rPr>
          <w:rFonts w:ascii="Verdana" w:eastAsia="Times New Roman" w:hAnsi="Verdana" w:cs="Times New Roman"/>
          <w:color w:val="FF0000"/>
          <w:sz w:val="19"/>
          <w:szCs w:val="19"/>
        </w:rPr>
        <w:t xml:space="preserve"> because it tells if a record is “t</w:t>
      </w:r>
      <w:r w:rsidR="00603EF8" w:rsidRPr="00603EF8">
        <w:rPr>
          <w:rFonts w:ascii="Verdana" w:eastAsia="Times New Roman" w:hAnsi="Verdana" w:cs="Times New Roman"/>
          <w:color w:val="FF0000"/>
          <w:sz w:val="19"/>
          <w:szCs w:val="19"/>
        </w:rPr>
        <w:t xml:space="preserve">reatment </w:t>
      </w:r>
      <w:r w:rsidR="00603EF8" w:rsidRPr="00603EF8">
        <w:rPr>
          <w:rFonts w:ascii="Verdana" w:eastAsia="Times New Roman" w:hAnsi="Verdana" w:cs="Times New Roman"/>
          <w:color w:val="FF0000"/>
          <w:sz w:val="19"/>
          <w:szCs w:val="19"/>
        </w:rPr>
        <w:t>e</w:t>
      </w:r>
      <w:r w:rsidR="00603EF8" w:rsidRPr="00603EF8">
        <w:rPr>
          <w:rFonts w:ascii="Verdana" w:eastAsia="Times New Roman" w:hAnsi="Verdana" w:cs="Times New Roman"/>
          <w:color w:val="FF0000"/>
          <w:sz w:val="19"/>
          <w:szCs w:val="19"/>
        </w:rPr>
        <w:t>mergent</w:t>
      </w:r>
      <w:r w:rsidR="00603EF8" w:rsidRPr="00603EF8">
        <w:rPr>
          <w:rFonts w:ascii="Verdana" w:eastAsia="Times New Roman" w:hAnsi="Verdana" w:cs="Times New Roman"/>
          <w:color w:val="FF0000"/>
          <w:sz w:val="19"/>
          <w:szCs w:val="19"/>
        </w:rPr>
        <w:t>” or if said AE happened on or after the first dose was given.</w:t>
      </w:r>
    </w:p>
    <w:p w14:paraId="419C7B22" w14:textId="3D1CE47A"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17. What is an example of a derived AE variable that concatenates non-missing AE variables such as AESDTH and AESLIFE?</w:t>
      </w:r>
    </w:p>
    <w:p w14:paraId="1875F4E3" w14:textId="7B03DA99" w:rsidR="00603EF8" w:rsidRPr="00603EF8" w:rsidRDefault="00603EF8" w:rsidP="00C32E72">
      <w:pPr>
        <w:spacing w:before="100" w:beforeAutospacing="1" w:after="100" w:afterAutospacing="1" w:line="240" w:lineRule="auto"/>
        <w:rPr>
          <w:rFonts w:ascii="Verdana" w:eastAsia="Times New Roman" w:hAnsi="Verdana" w:cs="Times New Roman"/>
          <w:color w:val="FF0000"/>
          <w:sz w:val="19"/>
          <w:szCs w:val="19"/>
        </w:rPr>
      </w:pPr>
      <w:r w:rsidRPr="00603EF8">
        <w:rPr>
          <w:rFonts w:ascii="Verdana" w:eastAsia="Times New Roman" w:hAnsi="Verdana" w:cs="Times New Roman"/>
          <w:color w:val="FF0000"/>
          <w:sz w:val="19"/>
          <w:szCs w:val="19"/>
        </w:rPr>
        <w:t>AESCRIT would be an example a derived variable from concatenating these.</w:t>
      </w:r>
    </w:p>
    <w:p w14:paraId="2B2C9CC5" w14:textId="3D12E4D8" w:rsidR="00C32E72" w:rsidRDefault="00C32E72" w:rsidP="00603EF8">
      <w:pPr>
        <w:tabs>
          <w:tab w:val="right" w:pos="10800"/>
        </w:tabs>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18. How may core AE tables can be produced?  What are the two main categories of these tables?</w:t>
      </w:r>
      <w:r w:rsidR="00603EF8">
        <w:rPr>
          <w:rFonts w:ascii="Verdana" w:eastAsia="Times New Roman" w:hAnsi="Verdana" w:cs="Times New Roman"/>
          <w:color w:val="000000"/>
          <w:sz w:val="19"/>
          <w:szCs w:val="19"/>
        </w:rPr>
        <w:tab/>
      </w:r>
    </w:p>
    <w:p w14:paraId="18E201D2" w14:textId="75648908" w:rsidR="00603EF8" w:rsidRPr="008D76E7" w:rsidRDefault="00603EF8" w:rsidP="008D76E7">
      <w:pPr>
        <w:tabs>
          <w:tab w:val="right" w:pos="10800"/>
        </w:tabs>
        <w:spacing w:before="100" w:beforeAutospacing="1" w:after="100" w:afterAutospacing="1" w:line="240" w:lineRule="auto"/>
        <w:rPr>
          <w:rFonts w:ascii="Verdana" w:eastAsia="Times New Roman" w:hAnsi="Verdana" w:cs="Times New Roman"/>
          <w:color w:val="FF0000"/>
          <w:sz w:val="19"/>
          <w:szCs w:val="19"/>
        </w:rPr>
      </w:pPr>
      <w:r w:rsidRPr="008D76E7">
        <w:rPr>
          <w:rFonts w:ascii="Verdana" w:eastAsia="Times New Roman" w:hAnsi="Verdana" w:cs="Times New Roman"/>
          <w:color w:val="FF0000"/>
          <w:sz w:val="19"/>
          <w:szCs w:val="19"/>
        </w:rPr>
        <w:t>There are 10 core AE tables that can be produced, but the main 2 categories are</w:t>
      </w:r>
      <w:r w:rsidR="008D76E7" w:rsidRPr="008D76E7">
        <w:rPr>
          <w:rFonts w:ascii="Verdana" w:eastAsia="Times New Roman" w:hAnsi="Verdana" w:cs="Times New Roman"/>
          <w:color w:val="FF0000"/>
          <w:sz w:val="19"/>
          <w:szCs w:val="19"/>
        </w:rPr>
        <w:t xml:space="preserve"> 1)</w:t>
      </w:r>
      <w:r w:rsidRPr="008D76E7">
        <w:rPr>
          <w:rFonts w:ascii="Verdana" w:eastAsia="Times New Roman" w:hAnsi="Verdana" w:cs="Times New Roman"/>
          <w:color w:val="FF0000"/>
          <w:sz w:val="19"/>
          <w:szCs w:val="19"/>
        </w:rPr>
        <w:t xml:space="preserve"> </w:t>
      </w:r>
      <w:r w:rsidR="008D76E7" w:rsidRPr="008D76E7">
        <w:rPr>
          <w:rFonts w:ascii="Verdana" w:eastAsia="Times New Roman" w:hAnsi="Verdana" w:cs="Times New Roman"/>
          <w:color w:val="FF0000"/>
          <w:sz w:val="19"/>
          <w:szCs w:val="19"/>
        </w:rPr>
        <w:t>By System</w:t>
      </w:r>
      <w:r w:rsidR="008D76E7" w:rsidRPr="008D76E7">
        <w:rPr>
          <w:rFonts w:ascii="Verdana" w:eastAsia="Times New Roman" w:hAnsi="Verdana" w:cs="Times New Roman"/>
          <w:color w:val="FF0000"/>
          <w:sz w:val="19"/>
          <w:szCs w:val="19"/>
        </w:rPr>
        <w:t xml:space="preserve"> </w:t>
      </w:r>
      <w:r w:rsidR="008D76E7" w:rsidRPr="008D76E7">
        <w:rPr>
          <w:rFonts w:ascii="Verdana" w:eastAsia="Times New Roman" w:hAnsi="Verdana" w:cs="Times New Roman"/>
          <w:color w:val="FF0000"/>
          <w:sz w:val="19"/>
          <w:szCs w:val="19"/>
        </w:rPr>
        <w:t>Organ Class and</w:t>
      </w:r>
      <w:r w:rsidR="008D76E7" w:rsidRPr="008D76E7">
        <w:rPr>
          <w:rFonts w:ascii="Verdana" w:eastAsia="Times New Roman" w:hAnsi="Verdana" w:cs="Times New Roman"/>
          <w:color w:val="FF0000"/>
          <w:sz w:val="19"/>
          <w:szCs w:val="19"/>
        </w:rPr>
        <w:t xml:space="preserve"> </w:t>
      </w:r>
      <w:r w:rsidR="008D76E7" w:rsidRPr="008D76E7">
        <w:rPr>
          <w:rFonts w:ascii="Verdana" w:eastAsia="Times New Roman" w:hAnsi="Verdana" w:cs="Times New Roman"/>
          <w:color w:val="FF0000"/>
          <w:sz w:val="19"/>
          <w:szCs w:val="19"/>
        </w:rPr>
        <w:t>Preferred Term</w:t>
      </w:r>
      <w:r w:rsidR="008D76E7" w:rsidRPr="008D76E7">
        <w:rPr>
          <w:rFonts w:ascii="Verdana" w:eastAsia="Times New Roman" w:hAnsi="Verdana" w:cs="Times New Roman"/>
          <w:color w:val="FF0000"/>
          <w:sz w:val="19"/>
          <w:szCs w:val="19"/>
        </w:rPr>
        <w:t xml:space="preserve"> and 2)</w:t>
      </w:r>
      <w:r w:rsidR="008D76E7" w:rsidRPr="008D76E7">
        <w:rPr>
          <w:color w:val="FF0000"/>
        </w:rPr>
        <w:t xml:space="preserve"> </w:t>
      </w:r>
      <w:r w:rsidR="008D76E7" w:rsidRPr="008D76E7">
        <w:rPr>
          <w:rFonts w:ascii="Verdana" w:eastAsia="Times New Roman" w:hAnsi="Verdana" w:cs="Times New Roman"/>
          <w:color w:val="FF0000"/>
          <w:sz w:val="19"/>
          <w:szCs w:val="19"/>
        </w:rPr>
        <w:t>By System</w:t>
      </w:r>
      <w:r w:rsidR="008D76E7" w:rsidRPr="008D76E7">
        <w:rPr>
          <w:rFonts w:ascii="Verdana" w:eastAsia="Times New Roman" w:hAnsi="Verdana" w:cs="Times New Roman"/>
          <w:color w:val="FF0000"/>
          <w:sz w:val="19"/>
          <w:szCs w:val="19"/>
        </w:rPr>
        <w:t xml:space="preserve"> </w:t>
      </w:r>
      <w:r w:rsidR="008D76E7" w:rsidRPr="008D76E7">
        <w:rPr>
          <w:rFonts w:ascii="Verdana" w:eastAsia="Times New Roman" w:hAnsi="Verdana" w:cs="Times New Roman"/>
          <w:color w:val="FF0000"/>
          <w:sz w:val="19"/>
          <w:szCs w:val="19"/>
        </w:rPr>
        <w:t>Organ Class,</w:t>
      </w:r>
      <w:r w:rsidR="008D76E7" w:rsidRPr="008D76E7">
        <w:rPr>
          <w:rFonts w:ascii="Verdana" w:eastAsia="Times New Roman" w:hAnsi="Verdana" w:cs="Times New Roman"/>
          <w:color w:val="FF0000"/>
          <w:sz w:val="19"/>
          <w:szCs w:val="19"/>
        </w:rPr>
        <w:t xml:space="preserve"> </w:t>
      </w:r>
      <w:r w:rsidR="008D76E7" w:rsidRPr="008D76E7">
        <w:rPr>
          <w:rFonts w:ascii="Verdana" w:eastAsia="Times New Roman" w:hAnsi="Verdana" w:cs="Times New Roman"/>
          <w:color w:val="FF0000"/>
          <w:sz w:val="19"/>
          <w:szCs w:val="19"/>
        </w:rPr>
        <w:t>Preferred Term</w:t>
      </w:r>
      <w:r w:rsidR="008D76E7" w:rsidRPr="008D76E7">
        <w:rPr>
          <w:rFonts w:ascii="Verdana" w:eastAsia="Times New Roman" w:hAnsi="Verdana" w:cs="Times New Roman"/>
          <w:color w:val="FF0000"/>
          <w:sz w:val="19"/>
          <w:szCs w:val="19"/>
        </w:rPr>
        <w:t xml:space="preserve">, </w:t>
      </w:r>
      <w:r w:rsidR="008D76E7" w:rsidRPr="008D76E7">
        <w:rPr>
          <w:rFonts w:ascii="Verdana" w:eastAsia="Times New Roman" w:hAnsi="Verdana" w:cs="Times New Roman"/>
          <w:color w:val="FF0000"/>
          <w:sz w:val="19"/>
          <w:szCs w:val="19"/>
        </w:rPr>
        <w:t>and Severity</w:t>
      </w:r>
    </w:p>
    <w:p w14:paraId="69870E1A" w14:textId="2CE9ED05"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19. What factor cases additional AE tables to be created?</w:t>
      </w:r>
    </w:p>
    <w:p w14:paraId="2536AF10" w14:textId="4DC042AA" w:rsidR="008D76E7" w:rsidRPr="008D76E7" w:rsidRDefault="008D76E7" w:rsidP="00C32E72">
      <w:pPr>
        <w:spacing w:before="100" w:beforeAutospacing="1" w:after="100" w:afterAutospacing="1" w:line="240" w:lineRule="auto"/>
        <w:rPr>
          <w:rFonts w:ascii="Verdana" w:eastAsia="Times New Roman" w:hAnsi="Verdana" w:cs="Times New Roman"/>
          <w:color w:val="FF0000"/>
          <w:sz w:val="19"/>
          <w:szCs w:val="19"/>
        </w:rPr>
      </w:pPr>
      <w:r w:rsidRPr="008D76E7">
        <w:rPr>
          <w:rFonts w:ascii="Verdana" w:eastAsia="Times New Roman" w:hAnsi="Verdana" w:cs="Times New Roman"/>
          <w:color w:val="FF0000"/>
          <w:sz w:val="19"/>
          <w:szCs w:val="19"/>
        </w:rPr>
        <w:t>Having additional by-variables or populations to subset.</w:t>
      </w:r>
    </w:p>
    <w:p w14:paraId="7D34E1CB" w14:textId="63CA4F65" w:rsidR="00C32E72" w:rsidRDefault="00C32E72" w:rsidP="00C32E72">
      <w:pPr>
        <w:spacing w:before="100" w:beforeAutospacing="1" w:after="100" w:afterAutospacing="1" w:line="240" w:lineRule="auto"/>
        <w:rPr>
          <w:rFonts w:ascii="Verdana" w:eastAsia="Times New Roman" w:hAnsi="Verdana" w:cs="Times New Roman"/>
          <w:color w:val="000000"/>
          <w:sz w:val="19"/>
          <w:szCs w:val="19"/>
        </w:rPr>
      </w:pPr>
      <w:r w:rsidRPr="00C32E72">
        <w:rPr>
          <w:rFonts w:ascii="Verdana" w:eastAsia="Times New Roman" w:hAnsi="Verdana" w:cs="Times New Roman"/>
          <w:color w:val="000000"/>
          <w:sz w:val="19"/>
          <w:szCs w:val="19"/>
        </w:rPr>
        <w:t>20. What are the key variables to make sure you have the correct SUBJECT and SOC counts? </w:t>
      </w:r>
    </w:p>
    <w:p w14:paraId="6354B526" w14:textId="10551247" w:rsidR="008D76E7" w:rsidRPr="008D76E7" w:rsidRDefault="008D76E7" w:rsidP="00C32E72">
      <w:pPr>
        <w:spacing w:before="100" w:beforeAutospacing="1" w:after="100" w:afterAutospacing="1" w:line="240" w:lineRule="auto"/>
        <w:rPr>
          <w:rFonts w:ascii="Verdana" w:eastAsia="Times New Roman" w:hAnsi="Verdana" w:cs="Times New Roman"/>
          <w:color w:val="FF0000"/>
          <w:sz w:val="19"/>
          <w:szCs w:val="19"/>
        </w:rPr>
      </w:pPr>
      <w:r w:rsidRPr="008D76E7">
        <w:rPr>
          <w:rFonts w:ascii="Verdana" w:eastAsia="Times New Roman" w:hAnsi="Verdana" w:cs="Times New Roman"/>
          <w:color w:val="FF0000"/>
          <w:sz w:val="19"/>
          <w:szCs w:val="19"/>
        </w:rPr>
        <w:t>SUBJECT</w:t>
      </w:r>
      <w:r w:rsidRPr="008D76E7">
        <w:rPr>
          <w:rFonts w:ascii="Verdana" w:eastAsia="Times New Roman" w:hAnsi="Verdana" w:cs="Times New Roman"/>
          <w:color w:val="FF0000"/>
          <w:sz w:val="19"/>
          <w:szCs w:val="19"/>
        </w:rPr>
        <w:t xml:space="preserve"> and </w:t>
      </w:r>
      <w:r w:rsidRPr="008D76E7">
        <w:rPr>
          <w:rFonts w:ascii="Verdana" w:eastAsia="Times New Roman" w:hAnsi="Verdana" w:cs="Times New Roman"/>
          <w:color w:val="FF0000"/>
          <w:sz w:val="19"/>
          <w:szCs w:val="19"/>
        </w:rPr>
        <w:t>SOC</w:t>
      </w:r>
    </w:p>
    <w:p w14:paraId="70C72D97" w14:textId="77777777" w:rsidR="00055427" w:rsidRDefault="00055427" w:rsidP="00055427">
      <w:pPr>
        <w:pStyle w:val="NormalWeb"/>
        <w:rPr>
          <w:rFonts w:ascii="Verdana" w:hAnsi="Verdana"/>
          <w:b/>
          <w:color w:val="000000"/>
          <w:sz w:val="19"/>
          <w:szCs w:val="19"/>
        </w:rPr>
      </w:pPr>
    </w:p>
    <w:p w14:paraId="242CFC02" w14:textId="77777777" w:rsidR="00055427" w:rsidRPr="001107FE" w:rsidRDefault="00055427" w:rsidP="00055427">
      <w:pPr>
        <w:pStyle w:val="NormalWeb"/>
        <w:rPr>
          <w:rFonts w:ascii="Verdana" w:hAnsi="Verdana"/>
          <w:b/>
          <w:color w:val="000000"/>
          <w:sz w:val="19"/>
          <w:szCs w:val="19"/>
        </w:rPr>
      </w:pPr>
    </w:p>
    <w:p w14:paraId="6CCC9FD5" w14:textId="77777777" w:rsidR="00055427" w:rsidRDefault="00055427"/>
    <w:sectPr w:rsidR="00055427" w:rsidSect="001107FE">
      <w:footerReference w:type="even" r:id="rId7"/>
      <w:footerReference w:type="default" r:id="rId8"/>
      <w:footerReference w:type="firs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38E88" w14:textId="77777777" w:rsidR="008D372E" w:rsidRDefault="008D372E" w:rsidP="00CF4D56">
      <w:pPr>
        <w:spacing w:after="0" w:line="240" w:lineRule="auto"/>
      </w:pPr>
      <w:r>
        <w:separator/>
      </w:r>
    </w:p>
  </w:endnote>
  <w:endnote w:type="continuationSeparator" w:id="0">
    <w:p w14:paraId="02780F60" w14:textId="77777777" w:rsidR="008D372E" w:rsidRDefault="008D372E" w:rsidP="00CF4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6C1A5" w14:textId="5739ED54" w:rsidR="00CF4D56" w:rsidRDefault="00CF4D56">
    <w:pPr>
      <w:pStyle w:val="Footer"/>
    </w:pPr>
    <w:r>
      <w:rPr>
        <w:noProof/>
      </w:rPr>
      <mc:AlternateContent>
        <mc:Choice Requires="wps">
          <w:drawing>
            <wp:anchor distT="0" distB="0" distL="0" distR="0" simplePos="0" relativeHeight="251659264" behindDoc="0" locked="0" layoutInCell="1" allowOverlap="1" wp14:anchorId="645281B6" wp14:editId="29C4F604">
              <wp:simplePos x="635" y="635"/>
              <wp:positionH relativeFrom="page">
                <wp:align>left</wp:align>
              </wp:positionH>
              <wp:positionV relativeFrom="page">
                <wp:align>bottom</wp:align>
              </wp:positionV>
              <wp:extent cx="443865" cy="443865"/>
              <wp:effectExtent l="0" t="0" r="14605" b="0"/>
              <wp:wrapNone/>
              <wp:docPr id="2" name="Text Box 2"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B20DB1" w14:textId="79C43F5A" w:rsidR="00CF4D56" w:rsidRPr="00CF4D56" w:rsidRDefault="00CF4D56" w:rsidP="00CF4D56">
                          <w:pPr>
                            <w:spacing w:after="0"/>
                            <w:rPr>
                              <w:rFonts w:ascii="Calibri" w:eastAsia="Calibri" w:hAnsi="Calibri" w:cs="Calibri"/>
                              <w:noProof/>
                              <w:color w:val="000000"/>
                              <w:sz w:val="20"/>
                              <w:szCs w:val="20"/>
                            </w:rPr>
                          </w:pPr>
                          <w:r w:rsidRPr="00CF4D56">
                            <w:rPr>
                              <w:rFonts w:ascii="Calibri" w:eastAsia="Calibri" w:hAnsi="Calibri" w:cs="Calibri"/>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45281B6" id="_x0000_t202" coordsize="21600,21600" o:spt="202" path="m,l,21600r21600,l21600,xe">
              <v:stroke joinstyle="miter"/>
              <v:path gradientshapeok="t" o:connecttype="rect"/>
            </v:shapetype>
            <v:shape id="Text Box 2" o:spid="_x0000_s1026" type="#_x0000_t202" alt="Confidential-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fill o:detectmouseclick="t"/>
              <v:textbox style="mso-fit-shape-to-text:t" inset="20pt,0,0,15pt">
                <w:txbxContent>
                  <w:p w14:paraId="70B20DB1" w14:textId="79C43F5A" w:rsidR="00CF4D56" w:rsidRPr="00CF4D56" w:rsidRDefault="00CF4D56" w:rsidP="00CF4D56">
                    <w:pPr>
                      <w:spacing w:after="0"/>
                      <w:rPr>
                        <w:rFonts w:ascii="Calibri" w:eastAsia="Calibri" w:hAnsi="Calibri" w:cs="Calibri"/>
                        <w:noProof/>
                        <w:color w:val="000000"/>
                        <w:sz w:val="20"/>
                        <w:szCs w:val="20"/>
                      </w:rPr>
                    </w:pPr>
                    <w:r w:rsidRPr="00CF4D56">
                      <w:rPr>
                        <w:rFonts w:ascii="Calibri" w:eastAsia="Calibri" w:hAnsi="Calibri" w:cs="Calibri"/>
                        <w:noProof/>
                        <w:color w:val="000000"/>
                        <w:sz w:val="20"/>
                        <w:szCs w:val="20"/>
                      </w:rPr>
                      <w:t>Confidential-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7E5C7" w14:textId="28B570F1" w:rsidR="00CF4D56" w:rsidRDefault="00CF4D56">
    <w:pPr>
      <w:pStyle w:val="Footer"/>
    </w:pPr>
    <w:r>
      <w:rPr>
        <w:noProof/>
      </w:rPr>
      <mc:AlternateContent>
        <mc:Choice Requires="wps">
          <w:drawing>
            <wp:anchor distT="0" distB="0" distL="0" distR="0" simplePos="0" relativeHeight="251660288" behindDoc="0" locked="0" layoutInCell="1" allowOverlap="1" wp14:anchorId="53BAA896" wp14:editId="40ED1DB0">
              <wp:simplePos x="457200" y="9432388"/>
              <wp:positionH relativeFrom="page">
                <wp:align>left</wp:align>
              </wp:positionH>
              <wp:positionV relativeFrom="page">
                <wp:align>bottom</wp:align>
              </wp:positionV>
              <wp:extent cx="443865" cy="443865"/>
              <wp:effectExtent l="0" t="0" r="14605" b="0"/>
              <wp:wrapNone/>
              <wp:docPr id="3" name="Text Box 3"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7C9A3CD" w14:textId="7D9DA93D" w:rsidR="00CF4D56" w:rsidRPr="00CF4D56" w:rsidRDefault="00CF4D56" w:rsidP="00CF4D56">
                          <w:pPr>
                            <w:spacing w:after="0"/>
                            <w:rPr>
                              <w:rFonts w:ascii="Calibri" w:eastAsia="Calibri" w:hAnsi="Calibri" w:cs="Calibri"/>
                              <w:noProof/>
                              <w:color w:val="000000"/>
                              <w:sz w:val="20"/>
                              <w:szCs w:val="20"/>
                            </w:rPr>
                          </w:pPr>
                          <w:r w:rsidRPr="00CF4D56">
                            <w:rPr>
                              <w:rFonts w:ascii="Calibri" w:eastAsia="Calibri" w:hAnsi="Calibri" w:cs="Calibri"/>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BAA896" id="_x0000_t202" coordsize="21600,21600" o:spt="202" path="m,l,21600r21600,l21600,xe">
              <v:stroke joinstyle="miter"/>
              <v:path gradientshapeok="t" o:connecttype="rect"/>
            </v:shapetype>
            <v:shape id="Text Box 3" o:spid="_x0000_s1027" type="#_x0000_t202" alt="Confidential-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fill o:detectmouseclick="t"/>
              <v:textbox style="mso-fit-shape-to-text:t" inset="20pt,0,0,15pt">
                <w:txbxContent>
                  <w:p w14:paraId="27C9A3CD" w14:textId="7D9DA93D" w:rsidR="00CF4D56" w:rsidRPr="00CF4D56" w:rsidRDefault="00CF4D56" w:rsidP="00CF4D56">
                    <w:pPr>
                      <w:spacing w:after="0"/>
                      <w:rPr>
                        <w:rFonts w:ascii="Calibri" w:eastAsia="Calibri" w:hAnsi="Calibri" w:cs="Calibri"/>
                        <w:noProof/>
                        <w:color w:val="000000"/>
                        <w:sz w:val="20"/>
                        <w:szCs w:val="20"/>
                      </w:rPr>
                    </w:pPr>
                    <w:r w:rsidRPr="00CF4D56">
                      <w:rPr>
                        <w:rFonts w:ascii="Calibri" w:eastAsia="Calibri" w:hAnsi="Calibri" w:cs="Calibri"/>
                        <w:noProof/>
                        <w:color w:val="000000"/>
                        <w:sz w:val="20"/>
                        <w:szCs w:val="20"/>
                      </w:rPr>
                      <w:t>Confidential-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86D97" w14:textId="697C4DDD" w:rsidR="00CF4D56" w:rsidRDefault="00CF4D56">
    <w:pPr>
      <w:pStyle w:val="Footer"/>
    </w:pPr>
    <w:r>
      <w:rPr>
        <w:noProof/>
      </w:rPr>
      <mc:AlternateContent>
        <mc:Choice Requires="wps">
          <w:drawing>
            <wp:anchor distT="0" distB="0" distL="0" distR="0" simplePos="0" relativeHeight="251658240" behindDoc="0" locked="0" layoutInCell="1" allowOverlap="1" wp14:anchorId="60C4177C" wp14:editId="09D642D9">
              <wp:simplePos x="635" y="635"/>
              <wp:positionH relativeFrom="page">
                <wp:align>left</wp:align>
              </wp:positionH>
              <wp:positionV relativeFrom="page">
                <wp:align>bottom</wp:align>
              </wp:positionV>
              <wp:extent cx="443865" cy="443865"/>
              <wp:effectExtent l="0" t="0" r="14605" b="0"/>
              <wp:wrapNone/>
              <wp:docPr id="1" name="Text Box 1"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62590B" w14:textId="6BFEC6BF" w:rsidR="00CF4D56" w:rsidRPr="00CF4D56" w:rsidRDefault="00CF4D56" w:rsidP="00CF4D56">
                          <w:pPr>
                            <w:spacing w:after="0"/>
                            <w:rPr>
                              <w:rFonts w:ascii="Calibri" w:eastAsia="Calibri" w:hAnsi="Calibri" w:cs="Calibri"/>
                              <w:noProof/>
                              <w:color w:val="000000"/>
                              <w:sz w:val="20"/>
                              <w:szCs w:val="20"/>
                            </w:rPr>
                          </w:pPr>
                          <w:r w:rsidRPr="00CF4D56">
                            <w:rPr>
                              <w:rFonts w:ascii="Calibri" w:eastAsia="Calibri" w:hAnsi="Calibri" w:cs="Calibri"/>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C4177C" id="_x0000_t202" coordsize="21600,21600" o:spt="202" path="m,l,21600r21600,l21600,xe">
              <v:stroke joinstyle="miter"/>
              <v:path gradientshapeok="t" o:connecttype="rect"/>
            </v:shapetype>
            <v:shape id="Text Box 1" o:spid="_x0000_s1028" type="#_x0000_t202" alt="Confidential- Oracle Internal"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2462590B" w14:textId="6BFEC6BF" w:rsidR="00CF4D56" w:rsidRPr="00CF4D56" w:rsidRDefault="00CF4D56" w:rsidP="00CF4D56">
                    <w:pPr>
                      <w:spacing w:after="0"/>
                      <w:rPr>
                        <w:rFonts w:ascii="Calibri" w:eastAsia="Calibri" w:hAnsi="Calibri" w:cs="Calibri"/>
                        <w:noProof/>
                        <w:color w:val="000000"/>
                        <w:sz w:val="20"/>
                        <w:szCs w:val="20"/>
                      </w:rPr>
                    </w:pPr>
                    <w:r w:rsidRPr="00CF4D56">
                      <w:rPr>
                        <w:rFonts w:ascii="Calibri" w:eastAsia="Calibri" w:hAnsi="Calibri" w:cs="Calibri"/>
                        <w:noProof/>
                        <w:color w:val="000000"/>
                        <w:sz w:val="20"/>
                        <w:szCs w:val="20"/>
                      </w:rPr>
                      <w:t>Confidential-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DB799" w14:textId="77777777" w:rsidR="008D372E" w:rsidRDefault="008D372E" w:rsidP="00CF4D56">
      <w:pPr>
        <w:spacing w:after="0" w:line="240" w:lineRule="auto"/>
      </w:pPr>
      <w:r>
        <w:separator/>
      </w:r>
    </w:p>
  </w:footnote>
  <w:footnote w:type="continuationSeparator" w:id="0">
    <w:p w14:paraId="4A1B5F60" w14:textId="77777777" w:rsidR="008D372E" w:rsidRDefault="008D372E" w:rsidP="00CF4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2A039A"/>
    <w:multiLevelType w:val="hybridMultilevel"/>
    <w:tmpl w:val="6D60903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42ED4F37"/>
    <w:multiLevelType w:val="hybridMultilevel"/>
    <w:tmpl w:val="FAE6F7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32546289">
    <w:abstractNumId w:val="0"/>
  </w:num>
  <w:num w:numId="2" w16cid:durableId="1020621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7FE"/>
    <w:rsid w:val="00055427"/>
    <w:rsid w:val="001107FE"/>
    <w:rsid w:val="001816BE"/>
    <w:rsid w:val="002073C5"/>
    <w:rsid w:val="00357B07"/>
    <w:rsid w:val="004C0C76"/>
    <w:rsid w:val="004E2E99"/>
    <w:rsid w:val="005F2A64"/>
    <w:rsid w:val="00603EF8"/>
    <w:rsid w:val="00837262"/>
    <w:rsid w:val="008D372E"/>
    <w:rsid w:val="008D76E7"/>
    <w:rsid w:val="00B7702F"/>
    <w:rsid w:val="00C32E72"/>
    <w:rsid w:val="00C5256C"/>
    <w:rsid w:val="00CF4D56"/>
    <w:rsid w:val="00DF0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274C"/>
  <w15:docId w15:val="{01C308AA-A044-4B6B-814B-4F5CD42EE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07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styleexcinlinelarger">
    <w:name w:val="contstyleexcinlinelarger"/>
    <w:basedOn w:val="DefaultParagraphFont"/>
    <w:rsid w:val="001107FE"/>
  </w:style>
  <w:style w:type="paragraph" w:styleId="NoSpacing">
    <w:name w:val="No Spacing"/>
    <w:uiPriority w:val="1"/>
    <w:qFormat/>
    <w:rsid w:val="001816BE"/>
    <w:pPr>
      <w:spacing w:after="0" w:line="240" w:lineRule="auto"/>
    </w:pPr>
  </w:style>
  <w:style w:type="paragraph" w:styleId="ListParagraph">
    <w:name w:val="List Paragraph"/>
    <w:basedOn w:val="Normal"/>
    <w:uiPriority w:val="34"/>
    <w:qFormat/>
    <w:rsid w:val="001816BE"/>
    <w:pPr>
      <w:ind w:left="720"/>
      <w:contextualSpacing/>
    </w:pPr>
    <w:rPr>
      <w:lang w:val="en-IN"/>
    </w:rPr>
  </w:style>
  <w:style w:type="paragraph" w:styleId="Footer">
    <w:name w:val="footer"/>
    <w:basedOn w:val="Normal"/>
    <w:link w:val="FooterChar"/>
    <w:uiPriority w:val="99"/>
    <w:unhideWhenUsed/>
    <w:rsid w:val="00CF4D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971038">
      <w:bodyDiv w:val="1"/>
      <w:marLeft w:val="0"/>
      <w:marRight w:val="0"/>
      <w:marTop w:val="0"/>
      <w:marBottom w:val="0"/>
      <w:divBdr>
        <w:top w:val="none" w:sz="0" w:space="0" w:color="auto"/>
        <w:left w:val="none" w:sz="0" w:space="0" w:color="auto"/>
        <w:bottom w:val="none" w:sz="0" w:space="0" w:color="auto"/>
        <w:right w:val="none" w:sz="0" w:space="0" w:color="auto"/>
      </w:divBdr>
    </w:div>
    <w:div w:id="904679013">
      <w:bodyDiv w:val="1"/>
      <w:marLeft w:val="0"/>
      <w:marRight w:val="0"/>
      <w:marTop w:val="0"/>
      <w:marBottom w:val="0"/>
      <w:divBdr>
        <w:top w:val="none" w:sz="0" w:space="0" w:color="auto"/>
        <w:left w:val="none" w:sz="0" w:space="0" w:color="auto"/>
        <w:bottom w:val="none" w:sz="0" w:space="0" w:color="auto"/>
        <w:right w:val="none" w:sz="0" w:space="0" w:color="auto"/>
      </w:divBdr>
    </w:div>
    <w:div w:id="140522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3e58186-1c1b-4537-900b-8707ad116850}"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Corey Neff</cp:lastModifiedBy>
  <cp:revision>2</cp:revision>
  <dcterms:created xsi:type="dcterms:W3CDTF">2026-01-30T21:15:00Z</dcterms:created>
  <dcterms:modified xsi:type="dcterms:W3CDTF">2026-01-30T21:15:00Z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#000000,10,Calibri</vt:lpwstr>
  </property>
  <property fmtid="{D5CDD505-2E9C-101B-9397-08002B2CF9AE}" pid="4" name="ClassificationContentMarkingFooterText">
    <vt:lpwstr>Confidential- Oracle Internal</vt:lpwstr>
  </property>
</Properties>
</file>