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3123B" w:rsidRDefault="0093123B" w:rsidP="0093123B">
      <w:pPr>
        <w:pStyle w:val="NormalWeb"/>
        <w:rPr>
          <w:rFonts w:ascii="Verdana" w:hAnsi="Verdana"/>
          <w:b/>
          <w:color w:val="000000"/>
          <w:sz w:val="19"/>
          <w:szCs w:val="19"/>
        </w:rPr>
      </w:pPr>
      <w:r>
        <w:rPr>
          <w:rFonts w:ascii="Verdana" w:hAnsi="Verdana"/>
          <w:b/>
          <w:color w:val="000000"/>
          <w:sz w:val="19"/>
          <w:szCs w:val="19"/>
        </w:rPr>
        <w:t xml:space="preserve">Questions from Lesson </w:t>
      </w:r>
      <w:r w:rsidR="008A20CC">
        <w:rPr>
          <w:rFonts w:ascii="Verdana" w:hAnsi="Verdana"/>
          <w:b/>
          <w:color w:val="000000"/>
          <w:sz w:val="19"/>
          <w:szCs w:val="19"/>
        </w:rPr>
        <w:t>9</w:t>
      </w:r>
      <w:r>
        <w:rPr>
          <w:rFonts w:ascii="Verdana" w:hAnsi="Verdana"/>
          <w:b/>
          <w:color w:val="000000"/>
          <w:sz w:val="19"/>
          <w:szCs w:val="19"/>
        </w:rPr>
        <w:t xml:space="preserve"> (</w:t>
      </w:r>
      <w:r w:rsidR="008A20CC" w:rsidRPr="008A20CC">
        <w:rPr>
          <w:rFonts w:ascii="Verdana" w:hAnsi="Verdana"/>
          <w:b/>
          <w:color w:val="000000"/>
          <w:sz w:val="19"/>
          <w:szCs w:val="19"/>
        </w:rPr>
        <w:t>Understanding Oncology Domains</w:t>
      </w:r>
      <w:r>
        <w:rPr>
          <w:rFonts w:ascii="Verdana" w:hAnsi="Verdana"/>
          <w:b/>
          <w:color w:val="000000"/>
          <w:sz w:val="19"/>
          <w:szCs w:val="19"/>
        </w:rPr>
        <w:t>)</w:t>
      </w:r>
    </w:p>
    <w:p w:rsidR="0093123B" w:rsidRDefault="005D4105" w:rsidP="0093123B">
      <w:pPr>
        <w:pStyle w:val="NormalWeb"/>
        <w:numPr>
          <w:ilvl w:val="0"/>
          <w:numId w:val="1"/>
        </w:numPr>
        <w:rPr>
          <w:rFonts w:ascii="Verdana" w:hAnsi="Verdana"/>
          <w:color w:val="000000"/>
          <w:sz w:val="19"/>
          <w:szCs w:val="19"/>
        </w:rPr>
      </w:pPr>
      <w:r>
        <w:rPr>
          <w:rFonts w:ascii="Verdana" w:hAnsi="Verdana"/>
          <w:color w:val="000000"/>
          <w:sz w:val="19"/>
          <w:szCs w:val="19"/>
        </w:rPr>
        <w:t>What are the three oncology domains?</w:t>
      </w:r>
    </w:p>
    <w:p w:rsidR="001E689B" w:rsidRPr="00DF64C4" w:rsidRDefault="00DF64C4" w:rsidP="001E689B">
      <w:pPr>
        <w:pStyle w:val="NormalWeb"/>
        <w:ind w:left="360"/>
        <w:rPr>
          <w:rFonts w:ascii="Verdana" w:hAnsi="Verdana"/>
          <w:color w:val="FF0000"/>
          <w:sz w:val="19"/>
          <w:szCs w:val="19"/>
        </w:rPr>
      </w:pPr>
      <w:r w:rsidRPr="00DF64C4">
        <w:rPr>
          <w:rFonts w:ascii="Verdana" w:hAnsi="Verdana"/>
          <w:color w:val="FF0000"/>
          <w:sz w:val="19"/>
          <w:szCs w:val="19"/>
        </w:rPr>
        <w:t>TU (Tumor Identification), TR (Tumor Results), and RS (Disease Response)</w:t>
      </w:r>
    </w:p>
    <w:p w:rsidR="005D4105" w:rsidRDefault="005D4105" w:rsidP="0093123B">
      <w:pPr>
        <w:pStyle w:val="NormalWeb"/>
        <w:numPr>
          <w:ilvl w:val="0"/>
          <w:numId w:val="1"/>
        </w:numPr>
        <w:rPr>
          <w:rFonts w:ascii="Verdana" w:hAnsi="Verdana"/>
          <w:color w:val="000000"/>
          <w:sz w:val="19"/>
          <w:szCs w:val="19"/>
        </w:rPr>
      </w:pPr>
      <w:r>
        <w:rPr>
          <w:rFonts w:ascii="Verdana" w:hAnsi="Verdana"/>
          <w:color w:val="000000"/>
          <w:sz w:val="19"/>
          <w:szCs w:val="19"/>
        </w:rPr>
        <w:t>What is the difference between target and non-target lesion?</w:t>
      </w:r>
    </w:p>
    <w:p w:rsidR="00DF64C4" w:rsidRPr="00DF64C4" w:rsidRDefault="00DF64C4" w:rsidP="00DF64C4">
      <w:pPr>
        <w:pStyle w:val="NormalWeb"/>
        <w:ind w:firstLine="360"/>
        <w:rPr>
          <w:rFonts w:ascii="Verdana" w:hAnsi="Verdana"/>
          <w:color w:val="FF0000"/>
          <w:sz w:val="19"/>
          <w:szCs w:val="19"/>
        </w:rPr>
      </w:pPr>
      <w:r>
        <w:rPr>
          <w:rFonts w:ascii="Verdana" w:hAnsi="Verdana"/>
          <w:color w:val="FF0000"/>
          <w:sz w:val="19"/>
          <w:szCs w:val="19"/>
        </w:rPr>
        <w:t xml:space="preserve">Tumors are divided into target and non-target lesions. </w:t>
      </w:r>
      <w:r w:rsidRPr="00DF64C4">
        <w:rPr>
          <w:rFonts w:ascii="Verdana" w:hAnsi="Verdana"/>
          <w:color w:val="FF0000"/>
          <w:sz w:val="19"/>
          <w:szCs w:val="19"/>
        </w:rPr>
        <w:t xml:space="preserve">A target lesion </w:t>
      </w:r>
      <w:r w:rsidR="00B4115A">
        <w:rPr>
          <w:rFonts w:ascii="Verdana" w:hAnsi="Verdana"/>
          <w:color w:val="FF0000"/>
          <w:sz w:val="19"/>
          <w:szCs w:val="19"/>
        </w:rPr>
        <w:t>is a potentially</w:t>
      </w:r>
      <w:r>
        <w:rPr>
          <w:rFonts w:ascii="Verdana" w:hAnsi="Verdana"/>
          <w:color w:val="FF0000"/>
          <w:sz w:val="19"/>
          <w:szCs w:val="19"/>
        </w:rPr>
        <w:t xml:space="preserve"> larger</w:t>
      </w:r>
      <w:r w:rsidR="00B4115A">
        <w:rPr>
          <w:rFonts w:ascii="Verdana" w:hAnsi="Verdana"/>
          <w:color w:val="FF0000"/>
          <w:sz w:val="19"/>
          <w:szCs w:val="19"/>
        </w:rPr>
        <w:t>/significant</w:t>
      </w:r>
      <w:r>
        <w:rPr>
          <w:rFonts w:ascii="Verdana" w:hAnsi="Verdana"/>
          <w:color w:val="FF0000"/>
          <w:sz w:val="19"/>
          <w:szCs w:val="19"/>
        </w:rPr>
        <w:t xml:space="preserve"> lesion that </w:t>
      </w:r>
      <w:r w:rsidR="00B4115A">
        <w:rPr>
          <w:rFonts w:ascii="Verdana" w:hAnsi="Verdana"/>
          <w:color w:val="FF0000"/>
          <w:sz w:val="19"/>
          <w:szCs w:val="19"/>
        </w:rPr>
        <w:t xml:space="preserve">can be </w:t>
      </w:r>
      <w:r>
        <w:rPr>
          <w:rFonts w:ascii="Verdana" w:hAnsi="Verdana"/>
          <w:color w:val="FF0000"/>
          <w:sz w:val="19"/>
          <w:szCs w:val="19"/>
        </w:rPr>
        <w:t>quantitative</w:t>
      </w:r>
      <w:r w:rsidR="00B4115A">
        <w:rPr>
          <w:rFonts w:ascii="Verdana" w:hAnsi="Verdana"/>
          <w:color w:val="FF0000"/>
          <w:sz w:val="19"/>
          <w:szCs w:val="19"/>
        </w:rPr>
        <w:t>ly measured</w:t>
      </w:r>
      <w:r>
        <w:rPr>
          <w:rFonts w:ascii="Verdana" w:hAnsi="Verdana"/>
          <w:color w:val="FF0000"/>
          <w:sz w:val="19"/>
          <w:szCs w:val="19"/>
        </w:rPr>
        <w:t xml:space="preserve"> </w:t>
      </w:r>
      <w:r w:rsidR="00B4115A">
        <w:rPr>
          <w:rFonts w:ascii="Verdana" w:hAnsi="Verdana"/>
          <w:color w:val="FF0000"/>
          <w:sz w:val="19"/>
          <w:szCs w:val="19"/>
        </w:rPr>
        <w:t>(as with</w:t>
      </w:r>
      <w:r w:rsidRPr="00DF64C4">
        <w:rPr>
          <w:rFonts w:ascii="Verdana" w:hAnsi="Verdana"/>
          <w:color w:val="FF0000"/>
          <w:sz w:val="19"/>
          <w:szCs w:val="19"/>
        </w:rPr>
        <w:t xml:space="preserve"> size, etc.</w:t>
      </w:r>
      <w:r w:rsidR="00B4115A">
        <w:rPr>
          <w:rFonts w:ascii="Verdana" w:hAnsi="Verdana"/>
          <w:color w:val="FF0000"/>
          <w:sz w:val="19"/>
          <w:szCs w:val="19"/>
        </w:rPr>
        <w:t xml:space="preserve">). </w:t>
      </w:r>
      <w:r w:rsidRPr="00DF64C4">
        <w:rPr>
          <w:rFonts w:ascii="Verdana" w:hAnsi="Verdana"/>
          <w:color w:val="FF0000"/>
          <w:sz w:val="19"/>
          <w:szCs w:val="19"/>
        </w:rPr>
        <w:t>Non-target lesio</w:t>
      </w:r>
      <w:r w:rsidR="00B4115A">
        <w:rPr>
          <w:rFonts w:ascii="Verdana" w:hAnsi="Verdana"/>
          <w:color w:val="FF0000"/>
          <w:sz w:val="19"/>
          <w:szCs w:val="19"/>
        </w:rPr>
        <w:t>ns are potentially less significant and ar</w:t>
      </w:r>
      <w:r>
        <w:rPr>
          <w:rFonts w:ascii="Verdana" w:hAnsi="Verdana"/>
          <w:color w:val="FF0000"/>
          <w:sz w:val="19"/>
          <w:szCs w:val="19"/>
        </w:rPr>
        <w:t>en’t tracked quantitatively</w:t>
      </w:r>
      <w:r w:rsidR="00B4115A">
        <w:rPr>
          <w:rFonts w:ascii="Verdana" w:hAnsi="Verdana"/>
          <w:color w:val="FF0000"/>
          <w:sz w:val="19"/>
          <w:szCs w:val="19"/>
        </w:rPr>
        <w:t xml:space="preserve">, but </w:t>
      </w:r>
      <w:r>
        <w:rPr>
          <w:rFonts w:ascii="Verdana" w:hAnsi="Verdana"/>
          <w:color w:val="FF0000"/>
          <w:sz w:val="19"/>
          <w:szCs w:val="19"/>
        </w:rPr>
        <w:t>instead merely qualitatively (e.g. present/not present)</w:t>
      </w:r>
    </w:p>
    <w:p w:rsidR="005D4105" w:rsidRDefault="005D4105" w:rsidP="00B4115A">
      <w:pPr>
        <w:pStyle w:val="NormalWeb"/>
        <w:numPr>
          <w:ilvl w:val="0"/>
          <w:numId w:val="1"/>
        </w:numPr>
        <w:rPr>
          <w:rFonts w:ascii="Verdana" w:hAnsi="Verdana"/>
          <w:color w:val="000000"/>
          <w:sz w:val="19"/>
          <w:szCs w:val="19"/>
        </w:rPr>
      </w:pPr>
      <w:r>
        <w:rPr>
          <w:rFonts w:ascii="Verdana" w:hAnsi="Verdana"/>
          <w:color w:val="000000"/>
          <w:sz w:val="19"/>
          <w:szCs w:val="19"/>
        </w:rPr>
        <w:t>What is the overall best and worst response values?</w:t>
      </w:r>
    </w:p>
    <w:p w:rsidR="001E689B" w:rsidRPr="00B4115A" w:rsidRDefault="00B4115A" w:rsidP="001E689B">
      <w:pPr>
        <w:pStyle w:val="NormalWeb"/>
        <w:rPr>
          <w:rFonts w:ascii="Verdana" w:hAnsi="Verdana"/>
          <w:color w:val="FF0000"/>
          <w:sz w:val="19"/>
          <w:szCs w:val="19"/>
        </w:rPr>
      </w:pPr>
      <w:r w:rsidRPr="00B4115A">
        <w:rPr>
          <w:rFonts w:ascii="Verdana" w:hAnsi="Verdana"/>
          <w:color w:val="FF0000"/>
          <w:sz w:val="19"/>
          <w:szCs w:val="19"/>
        </w:rPr>
        <w:t xml:space="preserve">The best and worst </w:t>
      </w:r>
      <w:r>
        <w:rPr>
          <w:rFonts w:ascii="Verdana" w:hAnsi="Verdana"/>
          <w:color w:val="FF0000"/>
          <w:sz w:val="19"/>
          <w:szCs w:val="19"/>
        </w:rPr>
        <w:t xml:space="preserve">response values </w:t>
      </w:r>
      <w:r w:rsidRPr="00B4115A">
        <w:rPr>
          <w:rFonts w:ascii="Verdana" w:hAnsi="Verdana"/>
          <w:color w:val="FF0000"/>
          <w:sz w:val="19"/>
          <w:szCs w:val="19"/>
        </w:rPr>
        <w:t>are CR (complete response) and PD (progressive disease)</w:t>
      </w:r>
      <w:r>
        <w:rPr>
          <w:rFonts w:ascii="Verdana" w:hAnsi="Verdana"/>
          <w:color w:val="FF0000"/>
          <w:sz w:val="19"/>
          <w:szCs w:val="19"/>
        </w:rPr>
        <w:t>, respectively.</w:t>
      </w:r>
    </w:p>
    <w:p w:rsidR="005D4105" w:rsidRDefault="005D4105" w:rsidP="0093123B">
      <w:pPr>
        <w:pStyle w:val="NormalWeb"/>
        <w:numPr>
          <w:ilvl w:val="0"/>
          <w:numId w:val="1"/>
        </w:numPr>
        <w:rPr>
          <w:rFonts w:ascii="Verdana" w:hAnsi="Verdana"/>
          <w:color w:val="000000"/>
          <w:sz w:val="19"/>
          <w:szCs w:val="19"/>
        </w:rPr>
      </w:pPr>
      <w:r>
        <w:rPr>
          <w:rFonts w:ascii="Verdana" w:hAnsi="Verdana"/>
          <w:color w:val="000000"/>
          <w:sz w:val="19"/>
          <w:szCs w:val="19"/>
        </w:rPr>
        <w:t>Which other sdtm is RS most similar to in regards to variable names?</w:t>
      </w:r>
    </w:p>
    <w:p w:rsidR="007A37A9" w:rsidRDefault="00480EEC" w:rsidP="007A37A9">
      <w:pPr>
        <w:pStyle w:val="NormalWeb"/>
        <w:rPr>
          <w:rFonts w:ascii="Verdana" w:hAnsi="Verdana"/>
          <w:color w:val="000000"/>
          <w:sz w:val="19"/>
          <w:szCs w:val="19"/>
        </w:rPr>
      </w:pPr>
      <w:r>
        <w:rPr>
          <w:rFonts w:ascii="Verdana" w:hAnsi="Verdana"/>
          <w:color w:val="000000"/>
          <w:sz w:val="19"/>
          <w:szCs w:val="19"/>
        </w:rPr>
        <w:t>I think RS is most similar to the TR domain in terms of variables names. Both have similar controlled terminology leading to similar naming patterns, e.g. RSTESTCD vs. TRTESTCD, RSTEST vs. TRTEST. Though the relationship is many to one, they are similar on the surface.</w:t>
      </w:r>
    </w:p>
    <w:p w:rsidR="001E689B" w:rsidRDefault="001E689B" w:rsidP="001E689B">
      <w:pPr>
        <w:pStyle w:val="NormalWeb"/>
        <w:rPr>
          <w:rFonts w:ascii="Verdana" w:hAnsi="Verdana"/>
          <w:color w:val="000000"/>
          <w:sz w:val="19"/>
          <w:szCs w:val="19"/>
        </w:rPr>
      </w:pPr>
    </w:p>
    <w:p w:rsidR="00FA3FB0" w:rsidRDefault="00FA3FB0"/>
    <w:sectPr w:rsidR="00FA3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D0673A"/>
    <w:multiLevelType w:val="hybridMultilevel"/>
    <w:tmpl w:val="2C3EC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251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123B"/>
    <w:rsid w:val="00184FB6"/>
    <w:rsid w:val="001E689B"/>
    <w:rsid w:val="00480EEC"/>
    <w:rsid w:val="005D4105"/>
    <w:rsid w:val="007A37A9"/>
    <w:rsid w:val="007C7868"/>
    <w:rsid w:val="008A20CC"/>
    <w:rsid w:val="0093123B"/>
    <w:rsid w:val="00B4115A"/>
    <w:rsid w:val="00DF64C4"/>
    <w:rsid w:val="00F94EFC"/>
    <w:rsid w:val="00FA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3C06F"/>
  <w15:docId w15:val="{BDA4A25B-BD1E-42BF-9915-E130286D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23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E68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Corey Neff</cp:lastModifiedBy>
  <cp:revision>9</cp:revision>
  <dcterms:created xsi:type="dcterms:W3CDTF">2014-02-17T15:28:00Z</dcterms:created>
  <dcterms:modified xsi:type="dcterms:W3CDTF">2026-03-06T17:38:00Z</dcterms:modified>
</cp:coreProperties>
</file>