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376F88">
            <w:pPr>
              <w:rPr>
                <w:rFonts w:ascii="Arial" w:hAnsi="Arial" w:cs="Arial"/>
              </w:rPr>
            </w:pPr>
            <w:r>
              <w:rPr>
                <w:rFonts w:ascii="Arial" w:hAnsi="Arial" w:cs="Arial"/>
              </w:rPr>
              <w:t>02 (Working)</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376F88" w:rsidP="00376F88">
            <w:pPr>
              <w:rPr>
                <w:rFonts w:ascii="Arial" w:hAnsi="Arial" w:cs="Arial"/>
              </w:rPr>
            </w:pPr>
            <w:r>
              <w:rPr>
                <w:rFonts w:ascii="Arial" w:hAnsi="Arial" w:cs="Arial"/>
              </w:rPr>
              <w:t xml:space="preserve">23 August </w:t>
            </w:r>
            <w:r w:rsidR="001115A6">
              <w:rPr>
                <w:rFonts w:ascii="Arial" w:hAnsi="Arial" w:cs="Arial"/>
              </w:rPr>
              <w:t>2018</w:t>
            </w:r>
            <w:r>
              <w:rPr>
                <w:rFonts w:ascii="Arial" w:hAnsi="Arial" w:cs="Arial"/>
              </w:rPr>
              <w:t xml:space="preserve"> ongoing</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70595F" w:rsidP="00376F88">
            <w:pPr>
              <w:rPr>
                <w:rFonts w:ascii="Arial" w:hAnsi="Arial" w:cs="Arial"/>
              </w:rPr>
            </w:pPr>
            <w:r>
              <w:rPr>
                <w:rFonts w:ascii="Arial" w:hAnsi="Arial" w:cs="Arial"/>
              </w:rPr>
              <w:t xml:space="preserve">01 </w:t>
            </w:r>
            <w:r w:rsidR="00376F88">
              <w:rPr>
                <w:rFonts w:ascii="Arial" w:hAnsi="Arial" w:cs="Arial"/>
              </w:rPr>
              <w:t>/</w:t>
            </w:r>
            <w:r>
              <w:rPr>
                <w:rFonts w:ascii="Arial" w:hAnsi="Arial" w:cs="Arial"/>
              </w:rPr>
              <w:t xml:space="preserve"> 20180622</w:t>
            </w:r>
          </w:p>
        </w:tc>
      </w:tr>
      <w:tr w:rsidR="001115A6" w:rsidTr="001115A6">
        <w:tc>
          <w:tcPr>
            <w:tcW w:w="4508" w:type="dxa"/>
          </w:tcPr>
          <w:p w:rsidR="001115A6" w:rsidRDefault="0070595F">
            <w:pPr>
              <w:rPr>
                <w:rFonts w:ascii="Arial" w:hAnsi="Arial" w:cs="Arial"/>
              </w:rPr>
            </w:pPr>
            <w:r>
              <w:rPr>
                <w:rFonts w:ascii="Arial" w:hAnsi="Arial" w:cs="Arial"/>
              </w:rPr>
              <w:t xml:space="preserve">Accepted </w:t>
            </w:r>
            <w:r w:rsidR="001115A6">
              <w:rPr>
                <w:rFonts w:ascii="Arial" w:hAnsi="Arial" w:cs="Arial"/>
              </w:rPr>
              <w:t>Changes this version</w:t>
            </w:r>
            <w:r>
              <w:rPr>
                <w:rFonts w:ascii="Arial" w:hAnsi="Arial" w:cs="Arial"/>
              </w:rPr>
              <w:t>:</w:t>
            </w:r>
          </w:p>
        </w:tc>
        <w:tc>
          <w:tcPr>
            <w:tcW w:w="4508" w:type="dxa"/>
          </w:tcPr>
          <w:p w:rsidR="001115A6" w:rsidRDefault="0070595F">
            <w:pPr>
              <w:rPr>
                <w:rFonts w:ascii="Arial" w:hAnsi="Arial" w:cs="Arial"/>
              </w:rPr>
            </w:pPr>
            <w:r>
              <w:rPr>
                <w:rFonts w:ascii="Arial" w:hAnsi="Arial" w:cs="Arial"/>
              </w:rPr>
              <w:t>Notes on Solvates and Hydrates</w:t>
            </w:r>
          </w:p>
          <w:p w:rsidR="0070595F" w:rsidRDefault="0070595F">
            <w:pPr>
              <w:rPr>
                <w:rFonts w:ascii="Arial" w:hAnsi="Arial" w:cs="Arial"/>
              </w:rPr>
            </w:pPr>
            <w:r>
              <w:rPr>
                <w:rFonts w:ascii="Arial" w:hAnsi="Arial" w:cs="Arial"/>
              </w:rPr>
              <w:t>Multi-use pen example in Strength 1c</w:t>
            </w:r>
          </w:p>
          <w:p w:rsidR="0070595F" w:rsidRDefault="0070595F">
            <w:pPr>
              <w:rPr>
                <w:rFonts w:ascii="Arial" w:hAnsi="Arial" w:cs="Arial"/>
              </w:rPr>
            </w:pPr>
            <w:r>
              <w:rPr>
                <w:rFonts w:ascii="Arial" w:hAnsi="Arial" w:cs="Arial"/>
              </w:rPr>
              <w:t>New section on Pens and Syringes</w:t>
            </w:r>
          </w:p>
          <w:p w:rsidR="000A0767" w:rsidRDefault="000A0767">
            <w:pPr>
              <w:rPr>
                <w:rFonts w:ascii="Arial" w:hAnsi="Arial" w:cs="Arial"/>
              </w:rPr>
            </w:pPr>
            <w:r>
              <w:rPr>
                <w:rFonts w:ascii="Arial" w:hAnsi="Arial" w:cs="Arial"/>
              </w:rPr>
              <w:t>New section on Lotions</w:t>
            </w:r>
          </w:p>
          <w:p w:rsidR="0070595F" w:rsidRDefault="000A0767" w:rsidP="00376F88">
            <w:pPr>
              <w:rPr>
                <w:rFonts w:ascii="Arial" w:hAnsi="Arial" w:cs="Arial"/>
              </w:rPr>
            </w:pPr>
            <w:r>
              <w:rPr>
                <w:rFonts w:ascii="Arial" w:hAnsi="Arial" w:cs="Arial"/>
              </w:rPr>
              <w:t>New section on Insulin naming</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lastRenderedPageBreak/>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70595F" w:rsidRDefault="002519F1" w:rsidP="002519F1">
      <w:pPr>
        <w:pStyle w:val="Heading2"/>
        <w:rPr>
          <w:color w:val="auto"/>
        </w:rPr>
      </w:pPr>
      <w:r w:rsidRPr="0070595F">
        <w:rPr>
          <w:color w:val="auto"/>
        </w:rPr>
        <w:t>Further Notes on Solvates and Hydrates in the NTP</w:t>
      </w:r>
    </w:p>
    <w:p w:rsidR="000A4110" w:rsidRPr="0070595F" w:rsidRDefault="002519F1" w:rsidP="002519F1">
      <w:pPr>
        <w:rPr>
          <w:rFonts w:ascii="Arial" w:hAnsi="Arial" w:cs="Arial"/>
          <w:sz w:val="21"/>
          <w:szCs w:val="21"/>
          <w:shd w:val="clear" w:color="auto" w:fill="FFFFFF"/>
        </w:rPr>
      </w:pPr>
      <w:r w:rsidRPr="0070595F">
        <w:rPr>
          <w:rFonts w:ascii="Arial" w:hAnsi="Arial" w:cs="Arial"/>
        </w:rPr>
        <w:t>The Editorial Guidelines state that “w</w:t>
      </w:r>
      <w:r w:rsidRPr="0070595F">
        <w:rPr>
          <w:rFonts w:ascii="Arial" w:hAnsi="Arial" w:cs="Arial"/>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70595F" w:rsidRDefault="002519F1" w:rsidP="002519F1">
      <w:pPr>
        <w:rPr>
          <w:rFonts w:ascii="Arial" w:hAnsi="Arial" w:cs="Arial"/>
          <w:sz w:val="21"/>
          <w:szCs w:val="21"/>
          <w:shd w:val="clear" w:color="auto" w:fill="FFFFFF"/>
        </w:rPr>
      </w:pPr>
    </w:p>
    <w:p w:rsidR="002519F1" w:rsidRPr="0070595F" w:rsidRDefault="002519F1" w:rsidP="002519F1">
      <w:pPr>
        <w:rPr>
          <w:rFonts w:ascii="Arial" w:hAnsi="Arial" w:cs="Arial"/>
        </w:rPr>
      </w:pPr>
      <w:r w:rsidRPr="0070595F">
        <w:rPr>
          <w:rFonts w:ascii="Arial" w:hAnsi="Arial" w:cs="Arial"/>
        </w:rPr>
        <w:t xml:space="preserve">The </w:t>
      </w:r>
      <w:proofErr w:type="spellStart"/>
      <w:r w:rsidRPr="0070595F">
        <w:rPr>
          <w:rFonts w:ascii="Arial" w:hAnsi="Arial" w:cs="Arial"/>
        </w:rPr>
        <w:t>ntp_ing</w:t>
      </w:r>
      <w:proofErr w:type="spellEnd"/>
      <w:r w:rsidRPr="0070595F">
        <w:rPr>
          <w:rFonts w:ascii="Arial" w:hAnsi="Arial" w:cs="Arial"/>
        </w:rPr>
        <w:t xml:space="preserve"> field in the Ingredient Stem table described above will have the substance name for the NTP which should not have </w:t>
      </w:r>
      <w:r w:rsidRPr="0070595F">
        <w:rPr>
          <w:rFonts w:ascii="Arial" w:hAnsi="Arial" w:cs="Arial"/>
          <w:i/>
        </w:rPr>
        <w:t>any</w:t>
      </w:r>
      <w:r w:rsidRPr="0070595F">
        <w:rPr>
          <w:rFonts w:ascii="Arial" w:hAnsi="Arial" w:cs="Arial"/>
        </w:rPr>
        <w:t xml:space="preserve"> solvation/hydration information.  Some substances have both a solvate and a hydrate; both should be removed for the NTP precise ingredient substance (which </w:t>
      </w:r>
      <w:r w:rsidRPr="0070595F">
        <w:rPr>
          <w:rFonts w:ascii="Arial" w:hAnsi="Arial" w:cs="Arial"/>
        </w:rPr>
        <w:lastRenderedPageBreak/>
        <w:t>usually means that the NTP precise ingredient substance is equivalent to the basis of strength substance.</w:t>
      </w:r>
    </w:p>
    <w:p w:rsidR="002519F1" w:rsidRPr="0070595F" w:rsidRDefault="002519F1" w:rsidP="002519F1">
      <w:pPr>
        <w:rPr>
          <w:rFonts w:ascii="Arial" w:hAnsi="Arial" w:cs="Arial"/>
          <w:b/>
        </w:rPr>
      </w:pPr>
      <w:r w:rsidRPr="0070595F">
        <w:rPr>
          <w:rFonts w:ascii="Arial" w:hAnsi="Arial" w:cs="Arial"/>
          <w:b/>
        </w:rPr>
        <w:t>For example:</w:t>
      </w:r>
    </w:p>
    <w:p w:rsidR="002519F1" w:rsidRPr="0070595F" w:rsidRDefault="002519F1" w:rsidP="002519F1">
      <w:pPr>
        <w:rPr>
          <w:rFonts w:ascii="Arial" w:hAnsi="Arial" w:cs="Arial"/>
        </w:rPr>
      </w:pPr>
      <w:r w:rsidRPr="0070595F">
        <w:rPr>
          <w:rFonts w:ascii="Arial" w:hAnsi="Arial" w:cs="Arial"/>
        </w:rPr>
        <w:t xml:space="preserve">DIN 02278499 DOM-AZITHROMYCIN (azithromycin (azithromycin monohydrate </w:t>
      </w:r>
      <w:proofErr w:type="spellStart"/>
      <w:r w:rsidRPr="0070595F">
        <w:rPr>
          <w:rFonts w:ascii="Arial" w:hAnsi="Arial" w:cs="Arial"/>
        </w:rPr>
        <w:t>hemiethanolate</w:t>
      </w:r>
      <w:proofErr w:type="spellEnd"/>
      <w:r w:rsidRPr="0070595F">
        <w:rPr>
          <w:rFonts w:ascii="Arial" w:hAnsi="Arial" w:cs="Arial"/>
        </w:rPr>
        <w:t>) 250 mg oral tablet) DOMINION PHARMACAL</w:t>
      </w:r>
    </w:p>
    <w:p w:rsidR="0096767B" w:rsidRPr="0070595F" w:rsidRDefault="002519F1" w:rsidP="002519F1">
      <w:pPr>
        <w:rPr>
          <w:rFonts w:ascii="Arial" w:hAnsi="Arial" w:cs="Arial"/>
        </w:rPr>
      </w:pPr>
      <w:r w:rsidRPr="0070595F">
        <w:rPr>
          <w:rFonts w:ascii="Arial" w:hAnsi="Arial" w:cs="Arial"/>
        </w:rPr>
        <w:t xml:space="preserve">The precise ingredient substance is both a monohydrate and a </w:t>
      </w:r>
      <w:proofErr w:type="spellStart"/>
      <w:r w:rsidRPr="0070595F">
        <w:rPr>
          <w:rFonts w:ascii="Arial" w:hAnsi="Arial" w:cs="Arial"/>
        </w:rPr>
        <w:t>hemiethanolate</w:t>
      </w:r>
      <w:proofErr w:type="spellEnd"/>
      <w:r w:rsidRPr="0070595F">
        <w:rPr>
          <w:rFonts w:ascii="Arial" w:hAnsi="Arial" w:cs="Arial"/>
        </w:rPr>
        <w:t xml:space="preserve"> </w:t>
      </w:r>
      <w:r w:rsidR="0096767B" w:rsidRPr="0070595F">
        <w:rPr>
          <w:rFonts w:ascii="Arial" w:hAnsi="Arial" w:cs="Arial"/>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70595F">
        <w:rPr>
          <w:rFonts w:ascii="Arial" w:hAnsi="Arial" w:cs="Arial"/>
        </w:rPr>
        <w:t>ntp_ing</w:t>
      </w:r>
      <w:proofErr w:type="spellEnd"/>
      <w:r w:rsidR="0096767B" w:rsidRPr="0070595F">
        <w:rPr>
          <w:rFonts w:ascii="Arial" w:hAnsi="Arial" w:cs="Arial"/>
        </w:rPr>
        <w:t xml:space="preserve"> should be (just) “azithromycin” as shown below:</w:t>
      </w:r>
    </w:p>
    <w:p w:rsidR="0096767B" w:rsidRPr="0070595F" w:rsidRDefault="0096767B" w:rsidP="002519F1">
      <w:pPr>
        <w:rPr>
          <w:rFonts w:ascii="Arial" w:hAnsi="Arial" w:cs="Arial"/>
        </w:rPr>
      </w:pPr>
    </w:p>
    <w:p w:rsidR="0096767B" w:rsidRPr="0070595F" w:rsidRDefault="0096767B" w:rsidP="002519F1">
      <w:pPr>
        <w:rPr>
          <w:rFonts w:ascii="Arial" w:hAnsi="Arial" w:cs="Arial"/>
        </w:rPr>
      </w:pPr>
      <w:r w:rsidRPr="0070595F">
        <w:rPr>
          <w:noProof/>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70595F" w:rsidRDefault="0096767B" w:rsidP="002519F1">
      <w:pPr>
        <w:rPr>
          <w:rFonts w:ascii="Arial" w:hAnsi="Arial" w:cs="Arial"/>
        </w:rPr>
      </w:pPr>
    </w:p>
    <w:p w:rsidR="002519F1" w:rsidRPr="0070595F" w:rsidRDefault="0096767B" w:rsidP="002519F1">
      <w:pPr>
        <w:rPr>
          <w:rFonts w:ascii="Arial" w:hAnsi="Arial" w:cs="Arial"/>
        </w:rPr>
      </w:pPr>
      <w:r w:rsidRPr="0070595F">
        <w:rPr>
          <w:rFonts w:ascii="Arial" w:hAnsi="Arial" w:cs="Arial"/>
        </w:rPr>
        <w:t>This will give an NTP of “azithromycin 250 mg oral tablet” to be associated with</w:t>
      </w:r>
      <w:r w:rsidR="0070595F">
        <w:rPr>
          <w:rFonts w:ascii="Arial" w:hAnsi="Arial" w:cs="Arial"/>
        </w:rPr>
        <w:t xml:space="preserve"> the DOM-AZITHROMYCIN product. </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lastRenderedPageBreak/>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Pr="0070595F" w:rsidRDefault="00656C8C" w:rsidP="002563AF">
      <w:pPr>
        <w:rPr>
          <w:rFonts w:ascii="Arial" w:hAnsi="Arial" w:cs="Arial"/>
        </w:rPr>
      </w:pPr>
      <w:r w:rsidRPr="0070595F">
        <w:rPr>
          <w:rFonts w:ascii="Arial" w:hAnsi="Arial" w:cs="Arial"/>
        </w:rPr>
        <w:t>Some multi-use pen products also use Pattern 1C as the pen has the equivalent to a metered dose delivery that “bounds” the presentation of the product to the patient.  For these products, the addition of the container (p</w:t>
      </w:r>
      <w:r w:rsidR="005B153D" w:rsidRPr="0070595F">
        <w:rPr>
          <w:rFonts w:ascii="Arial" w:hAnsi="Arial" w:cs="Arial"/>
        </w:rPr>
        <w:t>re-filled</w:t>
      </w:r>
      <w:r w:rsidRPr="0070595F">
        <w:rPr>
          <w:rFonts w:ascii="Arial" w:hAnsi="Arial" w:cs="Arial"/>
        </w:rPr>
        <w:t xml:space="preserve"> pen) is added to the NTP formal name.</w:t>
      </w:r>
    </w:p>
    <w:p w:rsidR="00656C8C" w:rsidRPr="0070595F" w:rsidRDefault="00656C8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Example</w:t>
            </w:r>
          </w:p>
        </w:tc>
        <w:tc>
          <w:tcPr>
            <w:tcW w:w="6011" w:type="dxa"/>
            <w:gridSpan w:val="2"/>
          </w:tcPr>
          <w:p w:rsidR="00656C8C" w:rsidRPr="0070595F" w:rsidRDefault="00656C8C" w:rsidP="00656C8C">
            <w:pPr>
              <w:rPr>
                <w:rFonts w:ascii="Arial" w:hAnsi="Arial" w:cs="Arial"/>
                <w:b/>
                <w:bCs/>
              </w:rPr>
            </w:pPr>
            <w:r w:rsidRPr="0070595F">
              <w:rPr>
                <w:rFonts w:ascii="Arial" w:hAnsi="Arial" w:cs="Arial"/>
                <w:b/>
                <w:bCs/>
              </w:rPr>
              <w:t>Exenatide 5 mcg per actuation solution for injection pen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Unit of Presentation</w:t>
            </w:r>
          </w:p>
        </w:tc>
        <w:tc>
          <w:tcPr>
            <w:tcW w:w="3005" w:type="dxa"/>
          </w:tcPr>
          <w:p w:rsidR="00656C8C" w:rsidRPr="0070595F" w:rsidRDefault="00656C8C" w:rsidP="0070595F">
            <w:pPr>
              <w:rPr>
                <w:rFonts w:ascii="Arial" w:hAnsi="Arial" w:cs="Arial"/>
              </w:rPr>
            </w:pPr>
            <w:r w:rsidRPr="0070595F">
              <w:rPr>
                <w:rFonts w:ascii="Arial" w:hAnsi="Arial" w:cs="Arial"/>
              </w:rPr>
              <w:t>Actuation</w:t>
            </w:r>
          </w:p>
        </w:tc>
        <w:tc>
          <w:tcPr>
            <w:tcW w:w="3006" w:type="dxa"/>
          </w:tcPr>
          <w:p w:rsidR="00656C8C" w:rsidRPr="0070595F" w:rsidRDefault="00656C8C" w:rsidP="0070595F">
            <w:pPr>
              <w:rPr>
                <w:rFonts w:ascii="Arial" w:hAnsi="Arial" w:cs="Arial"/>
              </w:rPr>
            </w:pPr>
            <w:r w:rsidRPr="0070595F">
              <w:rPr>
                <w:rFonts w:ascii="Arial" w:hAnsi="Arial" w:cs="Arial"/>
              </w:rPr>
              <w:t>Actuation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Presentation strength (logical)</w:t>
            </w:r>
          </w:p>
        </w:tc>
        <w:tc>
          <w:tcPr>
            <w:tcW w:w="3005" w:type="dxa"/>
          </w:tcPr>
          <w:p w:rsidR="00656C8C" w:rsidRPr="0070595F" w:rsidRDefault="00656C8C" w:rsidP="0070595F">
            <w:pPr>
              <w:rPr>
                <w:rFonts w:ascii="Arial" w:hAnsi="Arial" w:cs="Arial"/>
              </w:rPr>
            </w:pPr>
            <w:r w:rsidRPr="0070595F">
              <w:rPr>
                <w:rFonts w:ascii="Arial" w:hAnsi="Arial" w:cs="Arial"/>
              </w:rPr>
              <w:t>Mass amount per 1 unit of presentation</w:t>
            </w:r>
          </w:p>
        </w:tc>
        <w:tc>
          <w:tcPr>
            <w:tcW w:w="3006" w:type="dxa"/>
          </w:tcPr>
          <w:p w:rsidR="00656C8C" w:rsidRPr="0070595F" w:rsidRDefault="00656C8C" w:rsidP="0070595F">
            <w:pPr>
              <w:rPr>
                <w:rFonts w:ascii="Arial" w:hAnsi="Arial" w:cs="Arial"/>
              </w:rPr>
            </w:pPr>
            <w:r w:rsidRPr="0070595F">
              <w:rPr>
                <w:rFonts w:ascii="Arial" w:hAnsi="Arial" w:cs="Arial"/>
              </w:rPr>
              <w:t>5 mcg per actuation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Presentation strength (usual description)</w:t>
            </w:r>
          </w:p>
        </w:tc>
        <w:tc>
          <w:tcPr>
            <w:tcW w:w="3005" w:type="dxa"/>
          </w:tcPr>
          <w:p w:rsidR="00656C8C" w:rsidRPr="0070595F" w:rsidRDefault="00656C8C" w:rsidP="0070595F">
            <w:pPr>
              <w:rPr>
                <w:rFonts w:ascii="Arial" w:hAnsi="Arial" w:cs="Arial"/>
              </w:rPr>
            </w:pPr>
            <w:r w:rsidRPr="0070595F">
              <w:rPr>
                <w:rFonts w:ascii="Arial" w:hAnsi="Arial" w:cs="Arial"/>
              </w:rPr>
              <w:t>Mass amount, with the “per” or explicit</w:t>
            </w:r>
          </w:p>
        </w:tc>
        <w:tc>
          <w:tcPr>
            <w:tcW w:w="3006" w:type="dxa"/>
          </w:tcPr>
          <w:p w:rsidR="00656C8C" w:rsidRPr="0070595F" w:rsidRDefault="00656C8C" w:rsidP="0070595F">
            <w:pPr>
              <w:rPr>
                <w:rFonts w:ascii="Arial" w:hAnsi="Arial" w:cs="Arial"/>
              </w:rPr>
            </w:pPr>
            <w:r w:rsidRPr="0070595F">
              <w:rPr>
                <w:rFonts w:ascii="Arial" w:hAnsi="Arial" w:cs="Arial"/>
              </w:rPr>
              <w:t>5 mcg per actuation</w:t>
            </w:r>
          </w:p>
        </w:tc>
      </w:tr>
      <w:tr w:rsidR="0070595F" w:rsidRPr="0070595F" w:rsidTr="0070595F">
        <w:tc>
          <w:tcPr>
            <w:tcW w:w="3005" w:type="dxa"/>
          </w:tcPr>
          <w:p w:rsidR="00656C8C" w:rsidRPr="0070595F" w:rsidRDefault="00656C8C" w:rsidP="0070595F">
            <w:pPr>
              <w:rPr>
                <w:rFonts w:ascii="Arial" w:hAnsi="Arial" w:cs="Arial"/>
                <w:b/>
              </w:rPr>
            </w:pPr>
            <w:r w:rsidRPr="0070595F">
              <w:rPr>
                <w:rFonts w:ascii="Arial" w:hAnsi="Arial" w:cs="Arial"/>
                <w:b/>
              </w:rPr>
              <w:t>Concentration strength (for information only)</w:t>
            </w:r>
          </w:p>
        </w:tc>
        <w:tc>
          <w:tcPr>
            <w:tcW w:w="6011" w:type="dxa"/>
            <w:gridSpan w:val="2"/>
          </w:tcPr>
          <w:p w:rsidR="00656C8C" w:rsidRPr="0070595F" w:rsidRDefault="00656C8C" w:rsidP="00656C8C">
            <w:pPr>
              <w:rPr>
                <w:rFonts w:ascii="Arial" w:hAnsi="Arial" w:cs="Arial"/>
              </w:rPr>
            </w:pPr>
            <w:r w:rsidRPr="0070595F">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xml:space="preserve">.  For the presentation strength, the volume of the unit of presentation provides the </w:t>
      </w:r>
      <w:r w:rsidR="00621C5F">
        <w:rPr>
          <w:rFonts w:ascii="Arial" w:hAnsi="Arial" w:cs="Arial"/>
        </w:rPr>
        <w:lastRenderedPageBreak/>
        <w:t>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lastRenderedPageBreak/>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lastRenderedPageBreak/>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lastRenderedPageBreak/>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lastRenderedPageBreak/>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BC3F14" w:rsidRDefault="00BC3F14" w:rsidP="002563AF">
      <w:pPr>
        <w:rPr>
          <w:rFonts w:ascii="Arial" w:hAnsi="Arial" w:cs="Arial"/>
        </w:rPr>
      </w:pPr>
    </w:p>
    <w:p w:rsidR="00BC3F14" w:rsidRDefault="00BC3F14" w:rsidP="00BC3F14">
      <w:pPr>
        <w:pStyle w:val="Heading2"/>
      </w:pPr>
      <w:r>
        <w:t xml:space="preserve">Overage (or Shortfall) and description of Strength </w:t>
      </w:r>
    </w:p>
    <w:p w:rsidR="00BC3F14" w:rsidRPr="00FA756C" w:rsidRDefault="00FA756C" w:rsidP="00BC3F14">
      <w:pPr>
        <w:rPr>
          <w:rFonts w:ascii="Arial" w:hAnsi="Arial" w:cs="Arial"/>
          <w:color w:val="FF0000"/>
        </w:rPr>
      </w:pPr>
      <w:r w:rsidRPr="00FA756C">
        <w:rPr>
          <w:rFonts w:ascii="Arial" w:hAnsi="Arial" w:cs="Arial"/>
          <w:color w:val="FF0000"/>
        </w:rPr>
        <w:t>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strength, particularly presentation strength, any overage should not be taken into account.  Mostly, the DPD description of strength disregards overage, but occasionally an overage strength has been described; for example (at the time of writing) for</w:t>
      </w:r>
    </w:p>
    <w:p w:rsidR="00FA756C" w:rsidRPr="00FA756C" w:rsidRDefault="00FA756C" w:rsidP="00FA756C">
      <w:pPr>
        <w:ind w:firstLine="720"/>
        <w:rPr>
          <w:rFonts w:ascii="Arial" w:hAnsi="Arial" w:cs="Arial"/>
          <w:color w:val="FF0000"/>
        </w:rPr>
      </w:pPr>
      <w:r w:rsidRPr="00FA756C">
        <w:rPr>
          <w:rFonts w:ascii="Arial" w:hAnsi="Arial" w:cs="Arial"/>
          <w:color w:val="FF0000"/>
        </w:rPr>
        <w:t>DIN 02215187, CAVERJECT sterile powder where the strength is described as 23.2 mcg per vial, rather than as the clinically relevant strength of 20 mcg per vial, as the monograph states.</w:t>
      </w:r>
    </w:p>
    <w:p w:rsidR="002F4F07" w:rsidRPr="00FA756C" w:rsidRDefault="00FA756C" w:rsidP="00BC3F14">
      <w:pPr>
        <w:rPr>
          <w:rFonts w:ascii="Arial" w:hAnsi="Arial" w:cs="Arial"/>
          <w:color w:val="FF0000"/>
        </w:rPr>
      </w:pPr>
      <w:r w:rsidRPr="00FA756C">
        <w:rPr>
          <w:rFonts w:ascii="Arial" w:hAnsi="Arial" w:cs="Arial"/>
          <w:color w:val="FF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FA756C" w:rsidRPr="00FA756C" w:rsidRDefault="00FA756C" w:rsidP="00BC3F14">
      <w:pPr>
        <w:rPr>
          <w:rFonts w:ascii="Arial" w:hAnsi="Arial" w:cs="Arial"/>
          <w:color w:val="FF0000"/>
        </w:rPr>
      </w:pPr>
    </w:p>
    <w:p w:rsidR="00BC3F14" w:rsidRPr="00FA756C" w:rsidRDefault="00FA756C" w:rsidP="00BC3F14">
      <w:pPr>
        <w:rPr>
          <w:rFonts w:ascii="Arial" w:hAnsi="Arial" w:cs="Arial"/>
          <w:color w:val="FF0000"/>
        </w:rPr>
      </w:pPr>
      <w:r w:rsidRPr="00FA756C">
        <w:rPr>
          <w:rFonts w:ascii="Arial" w:hAnsi="Arial" w:cs="Arial"/>
          <w:color w:val="FF0000"/>
        </w:rPr>
        <w:t>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50 mcg dose quantity.  In this case, the stated ‘shortfall’ should be disregarded and the clinically relevant strength be used in the NTP.  The DPD strength is 50 mg per 1 mL, so no change is required.</w:t>
      </w:r>
      <w:r w:rsidRPr="00FA756C">
        <w:rPr>
          <w:rFonts w:ascii="Arial" w:hAnsi="Arial" w:cs="Arial"/>
          <w:color w:val="FF0000"/>
        </w:rPr>
        <w:br/>
        <w:t>[JMJ 20180823]</w:t>
      </w:r>
    </w:p>
    <w:p w:rsidR="002563AF" w:rsidRDefault="002563AF" w:rsidP="00FA78FA">
      <w:pPr>
        <w:pStyle w:val="Heading1"/>
      </w:pPr>
      <w:r>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lastRenderedPageBreak/>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lastRenderedPageBreak/>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lastRenderedPageBreak/>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lastRenderedPageBreak/>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lastRenderedPageBreak/>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w:t>
            </w:r>
            <w:r>
              <w:rPr>
                <w:rFonts w:ascii="Calibri" w:hAnsi="Calibri"/>
                <w:color w:val="000000"/>
                <w:sz w:val="22"/>
                <w:szCs w:val="22"/>
              </w:rPr>
              <w:lastRenderedPageBreak/>
              <w:t xml:space="preserve">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lastRenderedPageBreak/>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6B625A" w:rsidRDefault="006B625A" w:rsidP="006B625A">
      <w:pPr>
        <w:pStyle w:val="Heading1"/>
      </w:pPr>
      <w:r>
        <w:t xml:space="preserve"> “Black List”</w:t>
      </w:r>
      <w:r>
        <w:t xml:space="preserve"> File</w:t>
      </w:r>
    </w:p>
    <w:p w:rsidR="006B625A" w:rsidRDefault="006B625A" w:rsidP="006B625A">
      <w:pPr>
        <w:pStyle w:val="Heading3"/>
      </w:pPr>
      <w:r>
        <w:t>Purpose</w:t>
      </w:r>
    </w:p>
    <w:p w:rsidR="006B625A" w:rsidRPr="006B625A" w:rsidRDefault="006B625A" w:rsidP="006B625A">
      <w:pPr>
        <w:rPr>
          <w:rFonts w:ascii="Arial" w:hAnsi="Arial" w:cs="Arial"/>
          <w:color w:val="FF0000"/>
        </w:rPr>
      </w:pPr>
      <w:bookmarkStart w:id="1" w:name="_GoBack"/>
      <w:r w:rsidRPr="006B625A">
        <w:rPr>
          <w:rFonts w:ascii="Arial" w:hAnsi="Arial" w:cs="Arial"/>
          <w:color w:val="FF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6B625A" w:rsidRPr="006B625A" w:rsidRDefault="006B625A" w:rsidP="006B625A">
      <w:pPr>
        <w:rPr>
          <w:rFonts w:ascii="Arial" w:hAnsi="Arial" w:cs="Arial"/>
          <w:color w:val="FF0000"/>
        </w:rPr>
      </w:pPr>
      <w:r w:rsidRPr="006B625A">
        <w:rPr>
          <w:rFonts w:ascii="Arial" w:hAnsi="Arial" w:cs="Arial"/>
          <w:color w:val="FF0000"/>
        </w:rPr>
        <w:lastRenderedPageBreak/>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6B625A" w:rsidRPr="006B625A" w:rsidRDefault="006B625A" w:rsidP="006B625A">
      <w:pPr>
        <w:rPr>
          <w:rFonts w:ascii="Arial" w:hAnsi="Arial" w:cs="Arial"/>
          <w:color w:val="FF0000"/>
        </w:rPr>
      </w:pPr>
      <w:r w:rsidRPr="006B625A">
        <w:rPr>
          <w:rFonts w:ascii="Arial" w:hAnsi="Arial" w:cs="Arial"/>
          <w:color w:val="FF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6B625A" w:rsidRPr="006B625A" w:rsidRDefault="006B625A" w:rsidP="006B625A">
      <w:pPr>
        <w:rPr>
          <w:rFonts w:ascii="Arial" w:hAnsi="Arial" w:cs="Arial"/>
          <w:color w:val="FF0000"/>
        </w:rPr>
      </w:pPr>
      <w:r w:rsidRPr="006B625A">
        <w:rPr>
          <w:rFonts w:ascii="Arial" w:hAnsi="Arial" w:cs="Arial"/>
          <w:b/>
          <w:color w:val="FF0000"/>
        </w:rPr>
        <w:t>For example:</w:t>
      </w:r>
      <w:r w:rsidRPr="006B625A">
        <w:rPr>
          <w:rFonts w:ascii="Arial" w:hAnsi="Arial" w:cs="Arial"/>
          <w:color w:val="FF0000"/>
        </w:rPr>
        <w:t xml:space="preserve"> </w:t>
      </w:r>
      <w:r w:rsidRPr="006B625A">
        <w:rPr>
          <w:rFonts w:ascii="Arial" w:hAnsi="Arial" w:cs="Arial"/>
          <w:color w:val="FF0000"/>
        </w:rPr>
        <w:br/>
        <w:t xml:space="preserve">MOSASPRAY (DIN 02455870) changed to a ‘marketed’ status in DPD </w:t>
      </w:r>
      <w:proofErr w:type="spellStart"/>
      <w:r w:rsidRPr="006B625A">
        <w:rPr>
          <w:rFonts w:ascii="Arial" w:hAnsi="Arial" w:cs="Arial"/>
          <w:color w:val="FF0000"/>
        </w:rPr>
        <w:t>some time</w:t>
      </w:r>
      <w:proofErr w:type="spellEnd"/>
      <w:r w:rsidRPr="006B625A">
        <w:rPr>
          <w:rFonts w:ascii="Arial" w:hAnsi="Arial" w:cs="Arial"/>
          <w:color w:val="FF0000"/>
        </w:rPr>
        <w:t xml:space="preserve"> after the main set of mometasone products were released.  The Editorial Guidelines pattern for description of strength for metered dose nasal sprays is “per actuation” whereas MOSASPRAY had its strength data entered as “50MCG/SPRAY” generating an NTP of</w:t>
      </w:r>
      <w:r w:rsidRPr="006B625A">
        <w:rPr>
          <w:rFonts w:ascii="Arial" w:hAnsi="Arial" w:cs="Arial"/>
          <w:color w:val="FF0000"/>
        </w:rPr>
        <w:br/>
        <w:t xml:space="preserve">                            mometasone furoate 50 mcg per spray nasal spray</w:t>
      </w:r>
      <w:r w:rsidRPr="006B625A">
        <w:rPr>
          <w:rFonts w:ascii="Arial" w:hAnsi="Arial" w:cs="Arial"/>
          <w:color w:val="FF0000"/>
        </w:rPr>
        <w:br/>
        <w:t xml:space="preserve">instead of </w:t>
      </w:r>
      <w:r w:rsidRPr="006B625A">
        <w:rPr>
          <w:rFonts w:ascii="Arial" w:hAnsi="Arial" w:cs="Arial"/>
          <w:color w:val="FF0000"/>
        </w:rPr>
        <w:br/>
        <w:t xml:space="preserve">                            mometasone furoate 50 mcg per actuation nasal spray</w:t>
      </w:r>
      <w:r w:rsidRPr="006B625A">
        <w:rPr>
          <w:rFonts w:ascii="Arial" w:hAnsi="Arial" w:cs="Arial"/>
          <w:color w:val="FF0000"/>
        </w:rPr>
        <w:br/>
        <w:t>which matches with the three other existing MPs and the existing NTP (9006259).</w:t>
      </w:r>
    </w:p>
    <w:p w:rsidR="006B625A" w:rsidRPr="006B625A" w:rsidRDefault="006B625A" w:rsidP="006B625A">
      <w:pPr>
        <w:rPr>
          <w:rFonts w:ascii="Arial" w:hAnsi="Arial" w:cs="Arial"/>
          <w:color w:val="FF0000"/>
        </w:rPr>
      </w:pPr>
      <w:r w:rsidRPr="006B625A">
        <w:rPr>
          <w:rFonts w:ascii="Arial" w:hAnsi="Arial" w:cs="Arial"/>
          <w:color w:val="FF0000"/>
        </w:rPr>
        <w:t xml:space="preserve">Therefore, the MOSASPRAY product needed to be suppressed so that neither it nor its incorrect NTP were released until the DPD data could be changed to give the correct NTP through the generation.  To do this, the MOSASPRAY </w:t>
      </w:r>
      <w:proofErr w:type="spellStart"/>
      <w:r w:rsidRPr="006B625A">
        <w:rPr>
          <w:rFonts w:ascii="Arial" w:hAnsi="Arial" w:cs="Arial"/>
          <w:color w:val="FF0000"/>
        </w:rPr>
        <w:t>drug_code</w:t>
      </w:r>
      <w:proofErr w:type="spellEnd"/>
      <w:r w:rsidRPr="006B625A">
        <w:rPr>
          <w:rFonts w:ascii="Arial" w:hAnsi="Arial" w:cs="Arial"/>
          <w:color w:val="FF0000"/>
        </w:rPr>
        <w:t xml:space="preserve"> was included on the Black List, using its </w:t>
      </w:r>
      <w:proofErr w:type="spellStart"/>
      <w:r w:rsidRPr="006B625A">
        <w:rPr>
          <w:rFonts w:ascii="Arial" w:hAnsi="Arial" w:cs="Arial"/>
          <w:color w:val="FF0000"/>
        </w:rPr>
        <w:t>drug_code</w:t>
      </w:r>
      <w:proofErr w:type="spellEnd"/>
      <w:r w:rsidRPr="006B625A">
        <w:rPr>
          <w:rFonts w:ascii="Arial" w:hAnsi="Arial" w:cs="Arial"/>
          <w:color w:val="FF0000"/>
        </w:rPr>
        <w:t xml:space="preserve"> of 94272.</w:t>
      </w:r>
    </w:p>
    <w:bookmarkEnd w:id="1"/>
    <w:p w:rsidR="006B625A" w:rsidRDefault="006B625A" w:rsidP="006B625A">
      <w:pPr>
        <w:rPr>
          <w:rFonts w:ascii="Arial" w:hAnsi="Arial" w:cs="Arial"/>
        </w:rPr>
      </w:pPr>
    </w:p>
    <w:p w:rsidR="006B625A" w:rsidRPr="006B625A" w:rsidRDefault="006B625A" w:rsidP="006B625A">
      <w:pPr>
        <w:pStyle w:val="Heading3"/>
      </w:pPr>
      <w:r>
        <w:t>Black List File Details</w:t>
      </w:r>
    </w:p>
    <w:p w:rsidR="006B625A" w:rsidRPr="006B625A" w:rsidRDefault="006B625A" w:rsidP="006B625A">
      <w:pPr>
        <w:rPr>
          <w:rFonts w:ascii="Arial" w:hAnsi="Arial" w:cs="Arial"/>
          <w:color w:val="FF0000"/>
        </w:rPr>
      </w:pPr>
      <w:r w:rsidRPr="006B625A">
        <w:rPr>
          <w:rFonts w:ascii="Arial" w:hAnsi="Arial" w:cs="Arial"/>
          <w:color w:val="FF0000"/>
        </w:rPr>
        <w:t xml:space="preserve">The Black List file [ccdd-mp-blacklist-draft.csv] is found in the </w:t>
      </w:r>
      <w:proofErr w:type="spellStart"/>
      <w:r w:rsidRPr="006B625A">
        <w:rPr>
          <w:rFonts w:ascii="Arial" w:hAnsi="Arial" w:cs="Arial"/>
          <w:color w:val="FF0000"/>
        </w:rPr>
        <w:t>src</w:t>
      </w:r>
      <w:proofErr w:type="spellEnd"/>
      <w:r w:rsidRPr="006B625A">
        <w:rPr>
          <w:rFonts w:ascii="Arial" w:hAnsi="Arial" w:cs="Arial"/>
          <w:color w:val="FF0000"/>
        </w:rPr>
        <w:t xml:space="preserve"> folder on GitHub:</w:t>
      </w:r>
    </w:p>
    <w:p w:rsidR="006B625A" w:rsidRDefault="006B625A" w:rsidP="006B625A">
      <w:r>
        <w:rPr>
          <w:noProof/>
        </w:rPr>
        <w:drawing>
          <wp:inline distT="0" distB="0" distL="0" distR="0" wp14:anchorId="18AC253A" wp14:editId="1F1CD001">
            <wp:extent cx="5731510" cy="4126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lis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26230"/>
                    </a:xfrm>
                    <a:prstGeom prst="rect">
                      <a:avLst/>
                    </a:prstGeom>
                  </pic:spPr>
                </pic:pic>
              </a:graphicData>
            </a:graphic>
          </wp:inline>
        </w:drawing>
      </w:r>
    </w:p>
    <w:p w:rsidR="006B625A" w:rsidRDefault="006B625A" w:rsidP="006B625A">
      <w:pPr>
        <w:rPr>
          <w:rFonts w:ascii="Arial" w:hAnsi="Arial" w:cs="Arial"/>
          <w:color w:val="FF0000"/>
        </w:rPr>
      </w:pPr>
    </w:p>
    <w:p w:rsidR="006B625A" w:rsidRPr="006B625A" w:rsidRDefault="006B625A" w:rsidP="006B625A">
      <w:pPr>
        <w:rPr>
          <w:rFonts w:ascii="Arial" w:hAnsi="Arial" w:cs="Arial"/>
          <w:color w:val="FF0000"/>
        </w:rPr>
      </w:pPr>
      <w:r>
        <w:rPr>
          <w:rFonts w:ascii="Arial" w:hAnsi="Arial" w:cs="Arial"/>
          <w:color w:val="FF0000"/>
        </w:rPr>
        <w:t>T</w:t>
      </w:r>
      <w:r w:rsidRPr="006B625A">
        <w:rPr>
          <w:rFonts w:ascii="Arial" w:hAnsi="Arial" w:cs="Arial"/>
          <w:color w:val="FF0000"/>
        </w:rPr>
        <w:t xml:space="preserve">he structure of the “Black List” is a flat list of DPD </w:t>
      </w:r>
      <w:proofErr w:type="spellStart"/>
      <w:r w:rsidRPr="006B625A">
        <w:rPr>
          <w:rFonts w:ascii="Arial" w:hAnsi="Arial" w:cs="Arial"/>
          <w:color w:val="FF0000"/>
        </w:rPr>
        <w:t>drug_codes</w:t>
      </w:r>
      <w:proofErr w:type="spellEnd"/>
      <w:r w:rsidRPr="006B625A">
        <w:rPr>
          <w:rFonts w:ascii="Arial" w:hAnsi="Arial" w:cs="Arial"/>
          <w:color w:val="FF0000"/>
        </w:rPr>
        <w:t xml:space="preserve"> (NOT DINs) with each one on a separate line, enclosed in double quotes:</w:t>
      </w:r>
    </w:p>
    <w:p w:rsidR="006B625A" w:rsidRDefault="006B625A" w:rsidP="006B625A">
      <w:r>
        <w:rPr>
          <w:noProof/>
        </w:rPr>
        <w:lastRenderedPageBreak/>
        <w:drawing>
          <wp:inline distT="0" distB="0" distL="0" distR="0" wp14:anchorId="2F64771A" wp14:editId="3C39F7E3">
            <wp:extent cx="5731510" cy="2426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6335"/>
                    </a:xfrm>
                    <a:prstGeom prst="rect">
                      <a:avLst/>
                    </a:prstGeom>
                  </pic:spPr>
                </pic:pic>
              </a:graphicData>
            </a:graphic>
          </wp:inline>
        </w:drawing>
      </w:r>
    </w:p>
    <w:p w:rsidR="006B625A" w:rsidRPr="006B625A" w:rsidRDefault="006B625A" w:rsidP="006B625A">
      <w:pPr>
        <w:rPr>
          <w:rFonts w:ascii="Arial" w:hAnsi="Arial" w:cs="Arial"/>
          <w:color w:val="FF0000"/>
        </w:rPr>
      </w:pPr>
      <w:r w:rsidRPr="006B625A">
        <w:rPr>
          <w:rFonts w:ascii="Arial" w:hAnsi="Arial" w:cs="Arial"/>
          <w:color w:val="FF0000"/>
        </w:rPr>
        <w:t xml:space="preserve">The </w:t>
      </w:r>
      <w:proofErr w:type="spellStart"/>
      <w:r w:rsidRPr="006B625A">
        <w:rPr>
          <w:rFonts w:ascii="Arial" w:hAnsi="Arial" w:cs="Arial"/>
          <w:color w:val="FF0000"/>
        </w:rPr>
        <w:t>drug_code</w:t>
      </w:r>
      <w:proofErr w:type="spellEnd"/>
      <w:r w:rsidRPr="006B625A">
        <w:rPr>
          <w:rFonts w:ascii="Arial" w:hAnsi="Arial" w:cs="Arial"/>
          <w:color w:val="FF0000"/>
        </w:rPr>
        <w:t xml:space="preserve"> for any product to be added to the Black List must be obtained from the DPD, either by direct request of HC staff or by look-up in the DPD QRYM_DRUG_PRODUCT files.</w:t>
      </w:r>
    </w:p>
    <w:p w:rsidR="006B625A" w:rsidRPr="006B625A" w:rsidRDefault="006B625A" w:rsidP="006B625A">
      <w:pPr>
        <w:rPr>
          <w:rFonts w:ascii="Arial" w:hAnsi="Arial" w:cs="Arial"/>
          <w:color w:val="FF0000"/>
        </w:rPr>
      </w:pPr>
    </w:p>
    <w:p w:rsidR="006B625A" w:rsidRPr="006B625A" w:rsidRDefault="006B625A" w:rsidP="006B625A">
      <w:pPr>
        <w:rPr>
          <w:rFonts w:ascii="Arial" w:hAnsi="Arial" w:cs="Arial"/>
          <w:color w:val="FF0000"/>
        </w:rPr>
      </w:pPr>
      <w:r w:rsidRPr="006B625A">
        <w:rPr>
          <w:rFonts w:ascii="Arial" w:hAnsi="Arial" w:cs="Arial"/>
          <w:color w:val="FF0000"/>
        </w:rPr>
        <w:t>Note: The Black List can be used for active (marketed) and inactive (cancelled post market or dormant) products; particularly for the latter products may stay on the Black List indefinitely as it is not always possible or sensible to ask for DPD data change for a product that is no longer available for clinical use.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6A509B" w:rsidRPr="0070595F" w:rsidRDefault="006A509B" w:rsidP="006A509B">
      <w:pPr>
        <w:pStyle w:val="Heading2"/>
      </w:pPr>
      <w:r w:rsidRPr="0070595F">
        <w:t>Pens and Syringes</w:t>
      </w:r>
    </w:p>
    <w:p w:rsidR="006A509B" w:rsidRPr="0070595F" w:rsidRDefault="006A509B" w:rsidP="006A509B">
      <w:pPr>
        <w:rPr>
          <w:rFonts w:ascii="Arial" w:hAnsi="Arial" w:cs="Arial"/>
        </w:rPr>
      </w:pPr>
      <w:r w:rsidRPr="0070595F">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6A509B" w:rsidRPr="0070595F" w:rsidRDefault="006A509B" w:rsidP="0070595F">
      <w:pPr>
        <w:pStyle w:val="Heading3"/>
      </w:pPr>
      <w:r w:rsidRPr="0070595F">
        <w:lastRenderedPageBreak/>
        <w:t>Syringe as a Unit of Presentation</w:t>
      </w:r>
    </w:p>
    <w:p w:rsidR="006A509B" w:rsidRPr="0070595F" w:rsidRDefault="006A509B" w:rsidP="006A509B">
      <w:pPr>
        <w:rPr>
          <w:rFonts w:ascii="Arial" w:hAnsi="Arial" w:cs="Arial"/>
        </w:rPr>
      </w:pPr>
      <w:r w:rsidRPr="0070595F">
        <w:rPr>
          <w:rFonts w:ascii="Arial" w:hAnsi="Arial" w:cs="Arial"/>
        </w:rPr>
        <w:t xml:space="preserve">A </w:t>
      </w:r>
      <w:r w:rsidRPr="0070595F">
        <w:rPr>
          <w:rFonts w:ascii="Arial" w:hAnsi="Arial" w:cs="Arial"/>
          <w:b/>
        </w:rPr>
        <w:t>syringe</w:t>
      </w:r>
      <w:r w:rsidRPr="0070595F">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6A509B" w:rsidRPr="0070595F" w:rsidRDefault="006A509B" w:rsidP="006A509B">
      <w:pPr>
        <w:rPr>
          <w:rFonts w:ascii="Arial" w:hAnsi="Arial" w:cs="Arial"/>
        </w:rPr>
      </w:pPr>
      <w:r w:rsidRPr="0070595F">
        <w:rPr>
          <w:rFonts w:ascii="Arial" w:hAnsi="Arial" w:cs="Arial"/>
          <w:noProof/>
          <w:lang w:eastAsia="en-GB"/>
        </w:rPr>
        <w:drawing>
          <wp:inline distT="0" distB="0" distL="0" distR="0" wp14:anchorId="5AB94FE9" wp14:editId="123B8127">
            <wp:extent cx="2752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inge.png"/>
                    <pic:cNvPicPr/>
                  </pic:nvPicPr>
                  <pic:blipFill>
                    <a:blip r:embed="rId8">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6A509B" w:rsidRPr="0070595F" w:rsidRDefault="006A509B" w:rsidP="006A509B">
      <w:pPr>
        <w:rPr>
          <w:rFonts w:ascii="Arial" w:hAnsi="Arial" w:cs="Arial"/>
        </w:rPr>
      </w:pPr>
    </w:p>
    <w:p w:rsidR="006A509B" w:rsidRPr="0070595F" w:rsidRDefault="006A509B" w:rsidP="006A509B">
      <w:pPr>
        <w:rPr>
          <w:rFonts w:ascii="Arial" w:hAnsi="Arial" w:cs="Arial"/>
        </w:rPr>
      </w:pPr>
    </w:p>
    <w:p w:rsidR="006A509B" w:rsidRPr="0070595F" w:rsidRDefault="006A509B" w:rsidP="006A509B">
      <w:pPr>
        <w:rPr>
          <w:rFonts w:ascii="Arial" w:hAnsi="Arial" w:cs="Arial"/>
        </w:rPr>
      </w:pPr>
      <w:r w:rsidRPr="0070595F">
        <w:rPr>
          <w:rFonts w:ascii="Arial" w:hAnsi="Arial" w:cs="Arial"/>
        </w:rPr>
        <w:t>A syringe unit of presentation is most likely to be single use only.</w:t>
      </w:r>
    </w:p>
    <w:p w:rsidR="006A509B" w:rsidRPr="0070595F" w:rsidRDefault="006A509B" w:rsidP="006A509B">
      <w:pPr>
        <w:rPr>
          <w:rFonts w:ascii="Arial" w:hAnsi="Arial" w:cs="Arial"/>
        </w:rPr>
      </w:pPr>
    </w:p>
    <w:p w:rsidR="006A509B" w:rsidRPr="0070595F" w:rsidRDefault="006A509B" w:rsidP="006A509B">
      <w:pPr>
        <w:rPr>
          <w:rFonts w:ascii="Arial" w:hAnsi="Arial" w:cs="Arial"/>
        </w:rPr>
      </w:pPr>
      <w:r w:rsidRPr="0070595F">
        <w:rPr>
          <w:rFonts w:ascii="Arial" w:hAnsi="Arial" w:cs="Arial"/>
        </w:rPr>
        <w:t>When used as a unit of presentation, the term should be “syringe”.  When used as a container description, EDQM recommends the term “pre-filled syringe” to distinguish the two concepts.</w:t>
      </w:r>
    </w:p>
    <w:p w:rsidR="006A509B" w:rsidRPr="0070595F" w:rsidRDefault="006A509B" w:rsidP="006A509B">
      <w:pPr>
        <w:rPr>
          <w:rFonts w:ascii="Arial" w:hAnsi="Arial" w:cs="Arial"/>
        </w:rPr>
      </w:pPr>
    </w:p>
    <w:p w:rsidR="006A509B" w:rsidRPr="0070595F" w:rsidRDefault="006A509B" w:rsidP="006A509B">
      <w:pPr>
        <w:rPr>
          <w:rFonts w:asciiTheme="majorHAnsi" w:hAnsiTheme="majorHAnsi" w:cs="Arial"/>
          <w:color w:val="1F4E79" w:themeColor="accent1" w:themeShade="80"/>
          <w:sz w:val="22"/>
        </w:rPr>
      </w:pPr>
      <w:r w:rsidRPr="0070595F">
        <w:rPr>
          <w:rFonts w:asciiTheme="majorHAnsi" w:hAnsiTheme="majorHAnsi" w:cs="Arial"/>
          <w:color w:val="1F4E79" w:themeColor="accent1" w:themeShade="80"/>
          <w:sz w:val="22"/>
        </w:rPr>
        <w:t>Describing strength for products presented in a syringe</w:t>
      </w:r>
    </w:p>
    <w:p w:rsidR="006A509B" w:rsidRPr="0070595F" w:rsidRDefault="006A509B" w:rsidP="006A509B">
      <w:pPr>
        <w:rPr>
          <w:rFonts w:ascii="Arial" w:hAnsi="Arial" w:cs="Arial"/>
        </w:rPr>
      </w:pPr>
      <w:r w:rsidRPr="0070595F">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6A509B" w:rsidRPr="0070595F" w:rsidRDefault="006A509B" w:rsidP="006A509B">
      <w:pPr>
        <w:rPr>
          <w:rFonts w:ascii="Arial" w:hAnsi="Arial" w:cs="Arial"/>
        </w:rPr>
      </w:pPr>
      <w:r w:rsidRPr="0070595F">
        <w:rPr>
          <w:rFonts w:ascii="Arial" w:hAnsi="Arial" w:cs="Arial"/>
        </w:rPr>
        <w:t xml:space="preserve">For example: </w:t>
      </w:r>
    </w:p>
    <w:p w:rsidR="006A509B" w:rsidRPr="0070595F" w:rsidRDefault="006A509B" w:rsidP="006A509B">
      <w:pPr>
        <w:ind w:left="720"/>
        <w:rPr>
          <w:rFonts w:ascii="Arial" w:hAnsi="Arial" w:cs="Arial"/>
        </w:rPr>
      </w:pPr>
      <w:proofErr w:type="spellStart"/>
      <w:r w:rsidRPr="0070595F">
        <w:rPr>
          <w:rFonts w:ascii="Arial" w:hAnsi="Arial" w:cs="Arial"/>
        </w:rPr>
        <w:t>dalteparin</w:t>
      </w:r>
      <w:proofErr w:type="spellEnd"/>
      <w:r w:rsidRPr="0070595F">
        <w:rPr>
          <w:rFonts w:ascii="Arial" w:hAnsi="Arial" w:cs="Arial"/>
        </w:rPr>
        <w:t xml:space="preserve"> sodium 5000 unit per 0.2 mL solution for injection syringe</w:t>
      </w:r>
    </w:p>
    <w:p w:rsidR="006A509B" w:rsidRPr="0070595F" w:rsidRDefault="006A509B" w:rsidP="006A509B">
      <w:pPr>
        <w:ind w:left="720"/>
        <w:rPr>
          <w:rFonts w:ascii="Arial" w:hAnsi="Arial" w:cs="Arial"/>
        </w:rPr>
      </w:pPr>
      <w:r w:rsidRPr="0070595F">
        <w:rPr>
          <w:rFonts w:ascii="Arial" w:hAnsi="Arial" w:cs="Arial"/>
        </w:rPr>
        <w:t>furosemide 40 mg per 4 mL solution for injection syringe</w:t>
      </w:r>
    </w:p>
    <w:p w:rsidR="006A509B" w:rsidRPr="006A509B" w:rsidRDefault="006A509B" w:rsidP="006A509B">
      <w:pPr>
        <w:ind w:left="720"/>
        <w:rPr>
          <w:rFonts w:ascii="Arial" w:hAnsi="Arial" w:cs="Arial"/>
          <w:color w:val="FF0000"/>
        </w:rPr>
      </w:pPr>
    </w:p>
    <w:p w:rsidR="006A509B" w:rsidRPr="0070595F" w:rsidRDefault="006A509B" w:rsidP="006A509B">
      <w:pPr>
        <w:rPr>
          <w:rFonts w:asciiTheme="majorHAnsi" w:hAnsiTheme="majorHAnsi" w:cs="Arial"/>
          <w:color w:val="1F4E79" w:themeColor="accent1" w:themeShade="80"/>
          <w:sz w:val="22"/>
        </w:rPr>
      </w:pPr>
      <w:r w:rsidRPr="0070595F">
        <w:rPr>
          <w:rFonts w:asciiTheme="majorHAnsi" w:hAnsiTheme="majorHAnsi" w:cs="Arial"/>
          <w:color w:val="1F4E79" w:themeColor="accent1" w:themeShade="80"/>
          <w:sz w:val="22"/>
        </w:rPr>
        <w:t>Auto-injectors</w:t>
      </w:r>
    </w:p>
    <w:p w:rsidR="00AD4695" w:rsidRPr="0070595F" w:rsidRDefault="00AD4695" w:rsidP="00AD4695">
      <w:pPr>
        <w:rPr>
          <w:rFonts w:ascii="Arial" w:hAnsi="Arial" w:cs="Arial"/>
        </w:rPr>
      </w:pPr>
      <w:r w:rsidRPr="0070595F">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AD4695" w:rsidRPr="0070595F" w:rsidRDefault="00AD4695" w:rsidP="0070595F">
      <w:pPr>
        <w:rPr>
          <w:rFonts w:ascii="Arial" w:hAnsi="Arial" w:cs="Arial"/>
        </w:rPr>
      </w:pPr>
    </w:p>
    <w:p w:rsidR="00AD4695" w:rsidRPr="0070595F" w:rsidRDefault="00AD4695" w:rsidP="0070595F">
      <w:pPr>
        <w:rPr>
          <w:rFonts w:ascii="Arial" w:hAnsi="Arial" w:cs="Arial"/>
        </w:rPr>
      </w:pPr>
      <w:r w:rsidRPr="0070595F">
        <w:rPr>
          <w:rFonts w:ascii="Arial" w:hAnsi="Arial" w:cs="Arial"/>
        </w:rPr>
        <w:t xml:space="preserve">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w:t>
      </w:r>
      <w:r w:rsidR="003F49EB" w:rsidRPr="0070595F">
        <w:rPr>
          <w:rFonts w:ascii="Arial" w:hAnsi="Arial" w:cs="Arial"/>
        </w:rPr>
        <w:t>“</w:t>
      </w:r>
      <w:r w:rsidRPr="0070595F">
        <w:rPr>
          <w:rFonts w:ascii="Arial" w:hAnsi="Arial" w:cs="Arial"/>
        </w:rPr>
        <w:t>syringe</w:t>
      </w:r>
      <w:r w:rsidR="003F49EB" w:rsidRPr="0070595F">
        <w:rPr>
          <w:rFonts w:ascii="Arial" w:hAnsi="Arial" w:cs="Arial"/>
        </w:rPr>
        <w:t>”</w:t>
      </w:r>
      <w:r w:rsidRPr="0070595F">
        <w:rPr>
          <w:rFonts w:ascii="Arial" w:hAnsi="Arial" w:cs="Arial"/>
        </w:rPr>
        <w:t xml:space="preserve"> as this is the intimate container that presents the medication inside the autoinjector device.  Prescribers that specifically wish a patient to receive an autoinjector product should prescribe by brand name.</w:t>
      </w:r>
    </w:p>
    <w:p w:rsidR="00AD4695" w:rsidRDefault="00AD4695" w:rsidP="00AD4695">
      <w:pPr>
        <w:rPr>
          <w:rFonts w:ascii="Arial" w:hAnsi="Arial" w:cs="Arial"/>
          <w:color w:val="FF0000"/>
        </w:rPr>
      </w:pPr>
    </w:p>
    <w:p w:rsidR="006A509B" w:rsidRPr="0070595F" w:rsidRDefault="006A509B" w:rsidP="00AD4695">
      <w:pPr>
        <w:rPr>
          <w:rFonts w:ascii="Arial" w:hAnsi="Arial" w:cs="Arial"/>
        </w:rPr>
      </w:pPr>
      <w:r w:rsidRPr="0070595F">
        <w:rPr>
          <w:rFonts w:ascii="Arial" w:hAnsi="Arial" w:cs="Arial"/>
        </w:rPr>
        <w:t xml:space="preserve">For example: </w:t>
      </w:r>
    </w:p>
    <w:p w:rsidR="006A509B" w:rsidRPr="0070595F" w:rsidRDefault="006A509B" w:rsidP="006A509B">
      <w:pPr>
        <w:ind w:left="720"/>
        <w:rPr>
          <w:rFonts w:ascii="Arial" w:hAnsi="Arial" w:cs="Arial"/>
        </w:rPr>
      </w:pPr>
      <w:r w:rsidRPr="0070595F">
        <w:rPr>
          <w:rFonts w:ascii="Arial" w:hAnsi="Arial" w:cs="Arial"/>
        </w:rPr>
        <w:t>sumatriptan (sumatriptan succinate) 6 mg per 0.5 mL solution for injection syringe</w:t>
      </w:r>
    </w:p>
    <w:p w:rsidR="006A509B" w:rsidRPr="006A509B" w:rsidRDefault="006A509B" w:rsidP="006A509B">
      <w:pPr>
        <w:rPr>
          <w:rFonts w:ascii="Arial" w:hAnsi="Arial" w:cs="Arial"/>
          <w:color w:val="FF0000"/>
        </w:rPr>
      </w:pPr>
    </w:p>
    <w:p w:rsidR="006A509B" w:rsidRPr="000A0767" w:rsidRDefault="006A509B" w:rsidP="000A0767">
      <w:pPr>
        <w:pStyle w:val="Heading3"/>
      </w:pPr>
      <w:r w:rsidRPr="000A0767">
        <w:t>Pen as a Unit of Presentation</w:t>
      </w:r>
    </w:p>
    <w:p w:rsidR="006A509B" w:rsidRPr="000A0767" w:rsidRDefault="006A509B" w:rsidP="006A509B">
      <w:pPr>
        <w:rPr>
          <w:rFonts w:ascii="Arial" w:hAnsi="Arial" w:cs="Arial"/>
        </w:rPr>
      </w:pPr>
      <w:r w:rsidRPr="000A0767">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0FD6710A" wp14:editId="30BB4521">
            <wp:extent cx="3505689"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 car.png"/>
                    <pic:cNvPicPr/>
                  </pic:nvPicPr>
                  <pic:blipFill>
                    <a:blip r:embed="rId9">
                      <a:extLst>
                        <a:ext uri="{28A0092B-C50C-407E-A947-70E740481C1C}">
                          <a14:useLocalDpi xmlns:a14="http://schemas.microsoft.com/office/drawing/2010/main" val="0"/>
                        </a:ext>
                      </a:extLst>
                    </a:blip>
                    <a:stretch>
                      <a:fillRect/>
                    </a:stretch>
                  </pic:blipFill>
                  <pic:spPr>
                    <a:xfrm>
                      <a:off x="0" y="0"/>
                      <a:ext cx="3505689" cy="2857899"/>
                    </a:xfrm>
                    <a:prstGeom prst="rect">
                      <a:avLst/>
                    </a:prstGeom>
                  </pic:spPr>
                </pic:pic>
              </a:graphicData>
            </a:graphic>
          </wp:inline>
        </w:drawing>
      </w:r>
    </w:p>
    <w:p w:rsidR="006A509B" w:rsidRPr="000A0767" w:rsidRDefault="006A509B" w:rsidP="006A509B">
      <w:pPr>
        <w:rPr>
          <w:rFonts w:ascii="Arial" w:hAnsi="Arial" w:cs="Arial"/>
        </w:rPr>
      </w:pPr>
      <w:r w:rsidRPr="000A0767">
        <w:rPr>
          <w:rFonts w:ascii="Arial" w:hAnsi="Arial" w:cs="Arial"/>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6A509B" w:rsidRPr="000A0767" w:rsidRDefault="006A509B" w:rsidP="006A509B">
      <w:pPr>
        <w:rPr>
          <w:rFonts w:ascii="Arial" w:hAnsi="Arial" w:cs="Arial"/>
        </w:rPr>
      </w:pPr>
      <w:r w:rsidRPr="000A0767">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6A509B" w:rsidRPr="000A0767" w:rsidRDefault="006A509B" w:rsidP="006A509B">
      <w:pPr>
        <w:rPr>
          <w:rFonts w:ascii="Arial" w:hAnsi="Arial" w:cs="Arial"/>
        </w:rPr>
      </w:pPr>
    </w:p>
    <w:p w:rsidR="006A509B" w:rsidRPr="000A0767" w:rsidRDefault="006A509B" w:rsidP="006A509B">
      <w:pPr>
        <w:rPr>
          <w:rFonts w:ascii="Arial" w:hAnsi="Arial" w:cs="Arial"/>
        </w:rPr>
      </w:pPr>
      <w:r w:rsidRPr="000A0767">
        <w:rPr>
          <w:rFonts w:ascii="Arial" w:hAnsi="Arial" w:cs="Arial"/>
        </w:rPr>
        <w:t>When used as a unit of presentation, the term should be “pen”.  When used as a container description, EDQM recommends the term “pre-filled pen” to distinguish the two concepts.</w:t>
      </w:r>
    </w:p>
    <w:p w:rsidR="006A509B" w:rsidRPr="000A0767" w:rsidRDefault="006A509B" w:rsidP="006A509B">
      <w:pPr>
        <w:rPr>
          <w:rFonts w:asciiTheme="majorHAnsi" w:hAnsiTheme="majorHAnsi" w:cs="Arial"/>
          <w:sz w:val="22"/>
        </w:rPr>
      </w:pPr>
    </w:p>
    <w:p w:rsidR="006A509B" w:rsidRPr="000A0767" w:rsidRDefault="006A509B" w:rsidP="006A509B">
      <w:pPr>
        <w:rPr>
          <w:rFonts w:asciiTheme="majorHAnsi" w:hAnsiTheme="majorHAnsi" w:cs="Arial"/>
          <w:color w:val="1F4E79" w:themeColor="accent1" w:themeShade="80"/>
          <w:sz w:val="22"/>
        </w:rPr>
      </w:pPr>
      <w:r w:rsidRPr="000A0767">
        <w:rPr>
          <w:rFonts w:asciiTheme="majorHAnsi" w:hAnsiTheme="majorHAnsi" w:cs="Arial"/>
          <w:color w:val="1F4E79" w:themeColor="accent1" w:themeShade="80"/>
          <w:sz w:val="22"/>
        </w:rPr>
        <w:t>Describing strength for products presented in a syringe</w:t>
      </w:r>
    </w:p>
    <w:p w:rsidR="006A509B" w:rsidRPr="000A0767" w:rsidRDefault="006A509B" w:rsidP="006A509B">
      <w:pPr>
        <w:rPr>
          <w:rFonts w:asciiTheme="majorHAnsi" w:hAnsiTheme="majorHAnsi" w:cs="Arial"/>
          <w:color w:val="1F4E79" w:themeColor="accent1" w:themeShade="80"/>
          <w:sz w:val="22"/>
        </w:rPr>
      </w:pPr>
      <w:r w:rsidRPr="000A0767">
        <w:rPr>
          <w:rFonts w:asciiTheme="majorHAnsi" w:hAnsiTheme="majorHAnsi" w:cs="Arial"/>
          <w:color w:val="1F4E79" w:themeColor="accent1" w:themeShade="80"/>
          <w:sz w:val="22"/>
        </w:rPr>
        <w:t>Pens with a variable dosage</w:t>
      </w:r>
    </w:p>
    <w:p w:rsidR="006A509B" w:rsidRPr="000A0767" w:rsidRDefault="006A509B" w:rsidP="006A509B">
      <w:pPr>
        <w:rPr>
          <w:rFonts w:ascii="Arial" w:hAnsi="Arial" w:cs="Arial"/>
        </w:rPr>
      </w:pPr>
      <w:r w:rsidRPr="000A0767">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6A509B" w:rsidRPr="000A0767" w:rsidRDefault="006A509B" w:rsidP="006A509B">
      <w:pPr>
        <w:rPr>
          <w:rFonts w:ascii="Arial" w:hAnsi="Arial" w:cs="Arial"/>
        </w:rPr>
      </w:pPr>
      <w:r w:rsidRPr="000A0767">
        <w:rPr>
          <w:rFonts w:ascii="Arial" w:hAnsi="Arial" w:cs="Arial"/>
        </w:rPr>
        <w:t>For example:</w:t>
      </w:r>
    </w:p>
    <w:p w:rsidR="006A509B" w:rsidRPr="000A0767" w:rsidRDefault="006A509B" w:rsidP="006A509B">
      <w:pPr>
        <w:ind w:left="720"/>
        <w:rPr>
          <w:rFonts w:ascii="Arial" w:hAnsi="Arial" w:cs="Arial"/>
        </w:rPr>
      </w:pPr>
      <w:r w:rsidRPr="000A0767">
        <w:rPr>
          <w:rFonts w:ascii="Arial" w:hAnsi="Arial" w:cs="Arial"/>
        </w:rPr>
        <w:t>insulin lispro 100 unit per mL solution for injection 3 mL pen</w:t>
      </w:r>
    </w:p>
    <w:p w:rsidR="006A509B" w:rsidRPr="000A0767" w:rsidRDefault="006A509B" w:rsidP="006A509B">
      <w:pPr>
        <w:ind w:left="720"/>
        <w:rPr>
          <w:rFonts w:ascii="Arial" w:hAnsi="Arial" w:cs="Arial"/>
        </w:rPr>
      </w:pPr>
      <w:r w:rsidRPr="000A0767">
        <w:rPr>
          <w:rFonts w:ascii="Arial" w:hAnsi="Arial" w:cs="Arial"/>
        </w:rPr>
        <w:t>insulin glargine 300 unit per mL solution for injection 1.5 mL pen</w:t>
      </w:r>
    </w:p>
    <w:p w:rsidR="006A509B" w:rsidRPr="000A0767" w:rsidRDefault="006A509B" w:rsidP="006A509B">
      <w:pPr>
        <w:rPr>
          <w:rFonts w:ascii="Arial" w:hAnsi="Arial" w:cs="Arial"/>
        </w:rPr>
      </w:pPr>
    </w:p>
    <w:p w:rsidR="006A509B" w:rsidRPr="000A0767" w:rsidRDefault="006A509B" w:rsidP="006A509B">
      <w:pPr>
        <w:rPr>
          <w:rFonts w:asciiTheme="majorHAnsi" w:hAnsiTheme="majorHAnsi" w:cs="Arial"/>
          <w:sz w:val="22"/>
        </w:rPr>
      </w:pPr>
      <w:r w:rsidRPr="000A0767">
        <w:rPr>
          <w:rFonts w:asciiTheme="majorHAnsi" w:hAnsiTheme="majorHAnsi" w:cs="Arial"/>
          <w:sz w:val="22"/>
        </w:rPr>
        <w:t>Pens with a single dosage</w:t>
      </w:r>
    </w:p>
    <w:p w:rsidR="006A509B" w:rsidRPr="000A0767" w:rsidRDefault="006A509B" w:rsidP="006A509B">
      <w:pPr>
        <w:rPr>
          <w:rFonts w:ascii="Arial" w:hAnsi="Arial" w:cs="Arial"/>
          <w:u w:val="single"/>
        </w:rPr>
      </w:pPr>
      <w:r w:rsidRPr="000A0767">
        <w:rPr>
          <w:rFonts w:ascii="Arial" w:hAnsi="Arial" w:cs="Arial"/>
          <w:u w:val="single"/>
        </w:rPr>
        <w:t>Single use pens</w:t>
      </w:r>
    </w:p>
    <w:p w:rsidR="006A509B" w:rsidRPr="000A0767" w:rsidRDefault="006A509B" w:rsidP="006A509B">
      <w:pPr>
        <w:rPr>
          <w:rFonts w:ascii="Arial" w:hAnsi="Arial" w:cs="Arial"/>
        </w:rPr>
      </w:pPr>
      <w:r w:rsidRPr="000A0767">
        <w:rPr>
          <w:rFonts w:ascii="Arial" w:hAnsi="Arial" w:cs="Arial"/>
        </w:rPr>
        <w:t>For those pens that are single use, presentation strength is appropriate; for example:</w:t>
      </w:r>
    </w:p>
    <w:p w:rsidR="006A509B" w:rsidRPr="000A0767" w:rsidRDefault="006A509B" w:rsidP="006A509B">
      <w:pPr>
        <w:ind w:left="720"/>
        <w:rPr>
          <w:rFonts w:ascii="Arial" w:hAnsi="Arial" w:cs="Arial"/>
        </w:rPr>
      </w:pPr>
      <w:r w:rsidRPr="000A0767">
        <w:rPr>
          <w:rFonts w:ascii="Arial" w:hAnsi="Arial" w:cs="Arial"/>
        </w:rPr>
        <w:t>adalimumab 40 mg per 0.4 mL solution for injection pen</w:t>
      </w:r>
    </w:p>
    <w:p w:rsidR="006A509B" w:rsidRPr="000A0767" w:rsidRDefault="006A509B" w:rsidP="006A509B">
      <w:pPr>
        <w:ind w:left="720"/>
        <w:rPr>
          <w:rFonts w:ascii="Arial" w:hAnsi="Arial" w:cs="Arial"/>
        </w:rPr>
      </w:pPr>
      <w:r w:rsidRPr="000A0767">
        <w:rPr>
          <w:rFonts w:ascii="Arial" w:hAnsi="Arial" w:cs="Arial"/>
        </w:rPr>
        <w:t>alirocumab 150 mg per 1 mL solution for injection pen</w:t>
      </w:r>
    </w:p>
    <w:p w:rsidR="00500F18" w:rsidRPr="000A0767" w:rsidRDefault="00500F18" w:rsidP="006A509B">
      <w:pPr>
        <w:rPr>
          <w:rFonts w:ascii="Arial" w:hAnsi="Arial" w:cs="Arial"/>
          <w:u w:val="single"/>
        </w:rPr>
      </w:pPr>
    </w:p>
    <w:p w:rsidR="00500F18" w:rsidRPr="000A0767" w:rsidRDefault="006A509B" w:rsidP="00500F18">
      <w:pPr>
        <w:rPr>
          <w:rFonts w:ascii="Arial" w:hAnsi="Arial" w:cs="Arial"/>
          <w:u w:val="single"/>
        </w:rPr>
      </w:pPr>
      <w:r w:rsidRPr="000A0767">
        <w:rPr>
          <w:rFonts w:ascii="Arial" w:hAnsi="Arial" w:cs="Arial"/>
          <w:u w:val="single"/>
        </w:rPr>
        <w:t>Multiple use pens</w:t>
      </w:r>
      <w:r w:rsidR="00500F18" w:rsidRPr="000A0767">
        <w:rPr>
          <w:rFonts w:ascii="Arial" w:hAnsi="Arial" w:cs="Arial"/>
          <w:u w:val="single"/>
        </w:rPr>
        <w:br/>
      </w:r>
    </w:p>
    <w:p w:rsidR="00296696" w:rsidRPr="000A0767" w:rsidRDefault="006A509B" w:rsidP="00296696">
      <w:pPr>
        <w:rPr>
          <w:rFonts w:ascii="Arial" w:hAnsi="Arial" w:cs="Arial"/>
          <w:sz w:val="24"/>
          <w:szCs w:val="24"/>
        </w:rPr>
      </w:pPr>
      <w:r w:rsidRPr="000A0767">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w:t>
      </w:r>
      <w:r w:rsidR="005B153D" w:rsidRPr="000A0767">
        <w:rPr>
          <w:rFonts w:ascii="Arial" w:hAnsi="Arial" w:cs="Arial"/>
        </w:rPr>
        <w:t>pre-filled</w:t>
      </w:r>
      <w:r w:rsidRPr="000A0767">
        <w:rPr>
          <w:rFonts w:ascii="Arial" w:hAnsi="Arial" w:cs="Arial"/>
        </w:rPr>
        <w:t xml:space="preserve"> pen” as this is truly a description of the container added to help the user.</w:t>
      </w:r>
    </w:p>
    <w:p w:rsidR="006A509B" w:rsidRPr="000A0767" w:rsidRDefault="006A509B" w:rsidP="00296696">
      <w:pPr>
        <w:rPr>
          <w:rFonts w:ascii="Arial" w:hAnsi="Arial" w:cs="Arial"/>
        </w:rPr>
      </w:pPr>
      <w:r w:rsidRPr="000A0767">
        <w:rPr>
          <w:rFonts w:ascii="Arial" w:hAnsi="Arial" w:cs="Arial"/>
        </w:rPr>
        <w:t>For example:</w:t>
      </w:r>
    </w:p>
    <w:p w:rsidR="006A509B" w:rsidRPr="000A0767" w:rsidRDefault="006A509B" w:rsidP="006A509B">
      <w:pPr>
        <w:ind w:left="720"/>
        <w:rPr>
          <w:rFonts w:ascii="Arial" w:hAnsi="Arial" w:cs="Arial"/>
        </w:rPr>
      </w:pPr>
      <w:r w:rsidRPr="000A0767">
        <w:rPr>
          <w:rFonts w:ascii="Arial" w:hAnsi="Arial" w:cs="Arial"/>
        </w:rPr>
        <w:t>exenatide 5 mcg per actuation solution for injection p</w:t>
      </w:r>
      <w:r w:rsidR="005B153D" w:rsidRPr="000A0767">
        <w:rPr>
          <w:rFonts w:ascii="Arial" w:hAnsi="Arial" w:cs="Arial"/>
        </w:rPr>
        <w:t xml:space="preserve">re-filled </w:t>
      </w:r>
      <w:r w:rsidRPr="000A0767">
        <w:rPr>
          <w:rFonts w:ascii="Arial" w:hAnsi="Arial" w:cs="Arial"/>
        </w:rPr>
        <w:t>pen</w:t>
      </w:r>
    </w:p>
    <w:p w:rsidR="006A509B" w:rsidRPr="000A0767" w:rsidRDefault="006A509B" w:rsidP="006A509B">
      <w:pPr>
        <w:ind w:left="720"/>
        <w:rPr>
          <w:rFonts w:ascii="Arial" w:hAnsi="Arial" w:cs="Arial"/>
        </w:rPr>
      </w:pPr>
      <w:proofErr w:type="spellStart"/>
      <w:r w:rsidRPr="000A0767">
        <w:rPr>
          <w:rFonts w:ascii="Arial" w:hAnsi="Arial" w:cs="Arial"/>
        </w:rPr>
        <w:t>lixisenatide</w:t>
      </w:r>
      <w:proofErr w:type="spellEnd"/>
      <w:r w:rsidRPr="000A0767">
        <w:rPr>
          <w:rFonts w:ascii="Arial" w:hAnsi="Arial" w:cs="Arial"/>
        </w:rPr>
        <w:t xml:space="preserve"> 20 mcg per actuation solution for injection p</w:t>
      </w:r>
      <w:r w:rsidR="005B153D" w:rsidRPr="000A0767">
        <w:rPr>
          <w:rFonts w:ascii="Arial" w:hAnsi="Arial" w:cs="Arial"/>
        </w:rPr>
        <w:t xml:space="preserve">re-filled </w:t>
      </w:r>
      <w:r w:rsidRPr="000A0767">
        <w:rPr>
          <w:rFonts w:ascii="Arial" w:hAnsi="Arial" w:cs="Arial"/>
        </w:rPr>
        <w:t>pen</w:t>
      </w:r>
    </w:p>
    <w:p w:rsidR="002563AF" w:rsidRDefault="002563AF" w:rsidP="002563AF">
      <w:pPr>
        <w:rPr>
          <w:rFonts w:ascii="Arial" w:hAnsi="Arial" w:cs="Arial"/>
        </w:rPr>
      </w:pPr>
    </w:p>
    <w:p w:rsidR="000A0767" w:rsidRDefault="000A0767" w:rsidP="000A0767">
      <w:pPr>
        <w:pStyle w:val="Heading3"/>
      </w:pPr>
      <w:r>
        <w:lastRenderedPageBreak/>
        <w:t>Dual Chamber Products</w:t>
      </w:r>
    </w:p>
    <w:p w:rsidR="000A0767" w:rsidRDefault="000A0767" w:rsidP="000A0767">
      <w:r>
        <w:rPr>
          <w:noProof/>
          <w:lang w:eastAsia="en-GB"/>
        </w:rPr>
        <w:drawing>
          <wp:inline distT="0" distB="0" distL="0" distR="0" wp14:anchorId="48EAC76D" wp14:editId="71F188E5">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14:anchorId="5A1DB366" wp14:editId="407833C9">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A0767" w:rsidRDefault="000A0767" w:rsidP="000A0767">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A0767" w:rsidRDefault="000A0767" w:rsidP="000A0767">
      <w:pPr>
        <w:rPr>
          <w:rFonts w:ascii="Arial" w:hAnsi="Arial" w:cs="Arial"/>
        </w:rPr>
      </w:pPr>
    </w:p>
    <w:p w:rsidR="000A0767" w:rsidRDefault="000A0767" w:rsidP="000A0767">
      <w:pPr>
        <w:rPr>
          <w:rFonts w:ascii="Arial" w:hAnsi="Arial" w:cs="Arial"/>
        </w:rPr>
      </w:pPr>
      <w:r>
        <w:rPr>
          <w:rFonts w:ascii="Arial" w:hAnsi="Arial" w:cs="Arial"/>
        </w:rPr>
        <w:t>In CCDD, products specifically supplied with a diluent are considered combination products and are described using the following format:</w:t>
      </w:r>
    </w:p>
    <w:p w:rsidR="000A0767" w:rsidRDefault="000A0767" w:rsidP="000A0767">
      <w:pPr>
        <w:rPr>
          <w:rFonts w:ascii="Arial" w:hAnsi="Arial" w:cs="Arial"/>
        </w:rPr>
      </w:pPr>
      <w:r>
        <w:rPr>
          <w:rFonts w:ascii="Arial" w:hAnsi="Arial" w:cs="Arial"/>
        </w:rPr>
        <w:t>&lt;substance&gt; &lt;strength per vial&gt; &lt;dose form) with diluent solution</w:t>
      </w:r>
    </w:p>
    <w:p w:rsidR="000A0767" w:rsidRDefault="000A0767" w:rsidP="000A0767">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A0767" w:rsidRDefault="000A0767" w:rsidP="000A0767">
      <w:pPr>
        <w:rPr>
          <w:rFonts w:ascii="Arial" w:hAnsi="Arial" w:cs="Arial"/>
        </w:rPr>
      </w:pPr>
    </w:p>
    <w:p w:rsidR="000A0767" w:rsidRDefault="000A0767" w:rsidP="000A0767">
      <w:pPr>
        <w:rPr>
          <w:rFonts w:ascii="Arial" w:hAnsi="Arial" w:cs="Arial"/>
        </w:rPr>
      </w:pPr>
      <w:r>
        <w:rPr>
          <w:rFonts w:ascii="Arial" w:hAnsi="Arial" w:cs="Arial"/>
        </w:rPr>
        <w:t>Dual chamber products are also considered combination products, but are described using the following pattern:</w:t>
      </w:r>
    </w:p>
    <w:p w:rsidR="000A0767" w:rsidRDefault="000A0767" w:rsidP="000A0767">
      <w:pPr>
        <w:rPr>
          <w:rFonts w:ascii="Arial" w:hAnsi="Arial" w:cs="Arial"/>
        </w:rPr>
      </w:pPr>
      <w:r>
        <w:rPr>
          <w:rFonts w:ascii="Arial" w:hAnsi="Arial" w:cs="Arial"/>
        </w:rPr>
        <w:t>&lt;substance&gt; &lt;strength&gt; &lt;dose form) with diluent solution per vial</w:t>
      </w:r>
    </w:p>
    <w:p w:rsidR="000A0767" w:rsidRDefault="000A0767" w:rsidP="000A0767">
      <w:pPr>
        <w:rPr>
          <w:rFonts w:ascii="Arial" w:hAnsi="Arial" w:cs="Arial"/>
        </w:rPr>
      </w:pPr>
      <w:r>
        <w:rPr>
          <w:rFonts w:ascii="Arial" w:hAnsi="Arial" w:cs="Arial"/>
        </w:rPr>
        <w:t xml:space="preserve">Example: </w:t>
      </w:r>
      <w:r w:rsidRPr="00D4098C">
        <w:rPr>
          <w:rFonts w:ascii="Arial" w:hAnsi="Arial" w:cs="Arial"/>
        </w:rPr>
        <w:t>hydrocortisone (hydrocortisone sodium succinate) 1 g powder for solution for injection with diluent solution per vial</w:t>
      </w:r>
    </w:p>
    <w:p w:rsidR="000A0767" w:rsidRDefault="000A0767" w:rsidP="000A0767">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0A0767" w:rsidRDefault="000A0767" w:rsidP="000A0767">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0A0767" w:rsidRDefault="000A0767" w:rsidP="000A0767">
      <w:pPr>
        <w:rPr>
          <w:rFonts w:ascii="Arial" w:hAnsi="Arial" w:cs="Arial"/>
        </w:rPr>
      </w:pPr>
    </w:p>
    <w:p w:rsidR="00F06CDD" w:rsidRDefault="00F06CDD" w:rsidP="005D2B5E">
      <w:pPr>
        <w:pStyle w:val="Heading2"/>
      </w:pPr>
      <w:r>
        <w:t>Film coated tablets – not included in CCDD dose forms</w:t>
      </w:r>
    </w:p>
    <w:p w:rsidR="009F043A" w:rsidRDefault="009F043A" w:rsidP="009F043A"/>
    <w:p w:rsidR="009F043A" w:rsidRPr="000A0767" w:rsidRDefault="009F043A" w:rsidP="009F043A">
      <w:pPr>
        <w:pStyle w:val="Heading2"/>
      </w:pPr>
      <w:r w:rsidRPr="000A0767">
        <w:t>Lotions</w:t>
      </w:r>
    </w:p>
    <w:p w:rsidR="009F043A" w:rsidRPr="000A0767" w:rsidRDefault="009F043A" w:rsidP="009F043A">
      <w:pPr>
        <w:rPr>
          <w:rFonts w:ascii="Arial" w:hAnsi="Arial" w:cs="Arial"/>
        </w:rPr>
      </w:pPr>
      <w:r w:rsidRPr="000A0767">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A0767" w:rsidRDefault="009F043A" w:rsidP="009F043A">
      <w:pPr>
        <w:rPr>
          <w:rFonts w:ascii="Arial" w:hAnsi="Arial" w:cs="Arial"/>
        </w:rPr>
      </w:pPr>
    </w:p>
    <w:p w:rsidR="009F043A" w:rsidRPr="000A0767" w:rsidRDefault="009F043A" w:rsidP="009F043A">
      <w:pPr>
        <w:rPr>
          <w:rFonts w:ascii="Arial" w:hAnsi="Arial" w:cs="Arial"/>
        </w:rPr>
      </w:pPr>
      <w:r w:rsidRPr="000A0767">
        <w:rPr>
          <w:rFonts w:ascii="Arial" w:hAnsi="Arial" w:cs="Arial"/>
        </w:rPr>
        <w:t>The Merriam-Webster medical dictionary defines a lotion as “</w:t>
      </w:r>
      <w:r w:rsidRPr="000A0767">
        <w:rPr>
          <w:rFonts w:ascii="Arial" w:hAnsi="Arial" w:cs="Arial"/>
          <w:i/>
        </w:rPr>
        <w:t>a liquid usually aqueous medicinal preparation containing one or more insoluble substances and applied externally for skin disorders</w:t>
      </w:r>
      <w:r w:rsidRPr="000A0767">
        <w:rPr>
          <w:rFonts w:ascii="Arial" w:hAnsi="Arial" w:cs="Arial"/>
        </w:rPr>
        <w:t>”.  This definition hints at the problem; products called “lotions” must be either:</w:t>
      </w:r>
    </w:p>
    <w:p w:rsidR="009F043A" w:rsidRPr="000A0767" w:rsidRDefault="009F043A" w:rsidP="009F043A">
      <w:pPr>
        <w:pStyle w:val="ListParagraph"/>
        <w:numPr>
          <w:ilvl w:val="0"/>
          <w:numId w:val="6"/>
        </w:numPr>
        <w:rPr>
          <w:rFonts w:ascii="Arial" w:hAnsi="Arial" w:cs="Arial"/>
          <w:sz w:val="20"/>
        </w:rPr>
      </w:pPr>
      <w:r w:rsidRPr="000A0767">
        <w:rPr>
          <w:rFonts w:ascii="Arial" w:hAnsi="Arial" w:cs="Arial"/>
          <w:sz w:val="20"/>
        </w:rPr>
        <w:t xml:space="preserve">a </w:t>
      </w:r>
      <w:r w:rsidRPr="000A0767">
        <w:rPr>
          <w:rFonts w:ascii="Arial" w:hAnsi="Arial" w:cs="Arial"/>
          <w:b/>
          <w:sz w:val="20"/>
        </w:rPr>
        <w:t>cutaneous solution</w:t>
      </w:r>
      <w:r w:rsidRPr="000A0767">
        <w:rPr>
          <w:rFonts w:ascii="Arial" w:hAnsi="Arial" w:cs="Arial"/>
          <w:sz w:val="20"/>
        </w:rPr>
        <w:t xml:space="preserve">, where agents have been used to make an insoluble </w:t>
      </w:r>
      <w:r w:rsidR="00007784" w:rsidRPr="000A0767">
        <w:rPr>
          <w:rFonts w:ascii="Arial" w:hAnsi="Arial" w:cs="Arial"/>
          <w:sz w:val="20"/>
        </w:rPr>
        <w:t xml:space="preserve">active </w:t>
      </w:r>
      <w:r w:rsidRPr="000A0767">
        <w:rPr>
          <w:rFonts w:ascii="Arial" w:hAnsi="Arial" w:cs="Arial"/>
          <w:sz w:val="20"/>
        </w:rPr>
        <w:t>substance (such as a corticosteroid) “soluble” in the liquid phase; the most common agents being some of the long chain alcohols (such as propylene glycol)</w:t>
      </w:r>
    </w:p>
    <w:p w:rsidR="009F043A" w:rsidRPr="000A0767" w:rsidRDefault="009F043A" w:rsidP="009F043A">
      <w:pPr>
        <w:pStyle w:val="ListParagraph"/>
        <w:numPr>
          <w:ilvl w:val="0"/>
          <w:numId w:val="6"/>
        </w:numPr>
        <w:rPr>
          <w:rFonts w:ascii="Arial" w:hAnsi="Arial" w:cs="Arial"/>
          <w:sz w:val="20"/>
        </w:rPr>
      </w:pPr>
      <w:r w:rsidRPr="000A0767">
        <w:rPr>
          <w:rFonts w:ascii="Arial" w:hAnsi="Arial" w:cs="Arial"/>
          <w:sz w:val="20"/>
        </w:rPr>
        <w:t xml:space="preserve">a </w:t>
      </w:r>
      <w:r w:rsidRPr="000A0767">
        <w:rPr>
          <w:rFonts w:ascii="Arial" w:hAnsi="Arial" w:cs="Arial"/>
          <w:b/>
          <w:sz w:val="20"/>
        </w:rPr>
        <w:t>cutaneous suspension</w:t>
      </w:r>
      <w:r w:rsidRPr="000A0767">
        <w:rPr>
          <w:rFonts w:ascii="Arial" w:hAnsi="Arial" w:cs="Arial"/>
          <w:sz w:val="20"/>
        </w:rPr>
        <w:t>, where particles of the</w:t>
      </w:r>
      <w:r w:rsidR="00007784" w:rsidRPr="000A0767">
        <w:rPr>
          <w:rFonts w:ascii="Arial" w:hAnsi="Arial" w:cs="Arial"/>
          <w:sz w:val="20"/>
        </w:rPr>
        <w:t xml:space="preserve"> insoluble</w:t>
      </w:r>
      <w:r w:rsidRPr="000A0767">
        <w:rPr>
          <w:rFonts w:ascii="Arial" w:hAnsi="Arial" w:cs="Arial"/>
          <w:sz w:val="20"/>
        </w:rPr>
        <w:t xml:space="preserve"> active substance are suspended in the liquid phase</w:t>
      </w:r>
      <w:r w:rsidR="00007784" w:rsidRPr="000A0767">
        <w:rPr>
          <w:rFonts w:ascii="Arial" w:hAnsi="Arial" w:cs="Arial"/>
          <w:sz w:val="20"/>
        </w:rPr>
        <w:t xml:space="preserve"> often with the help of a suspending agent; [example: calamine lotion]</w:t>
      </w:r>
    </w:p>
    <w:p w:rsidR="00007784" w:rsidRPr="000A0767" w:rsidRDefault="00007784" w:rsidP="009F043A">
      <w:pPr>
        <w:pStyle w:val="ListParagraph"/>
        <w:numPr>
          <w:ilvl w:val="0"/>
          <w:numId w:val="6"/>
        </w:numPr>
        <w:rPr>
          <w:rFonts w:ascii="Arial" w:eastAsiaTheme="minorHAnsi" w:hAnsi="Arial" w:cs="Arial"/>
          <w:sz w:val="20"/>
          <w:szCs w:val="20"/>
          <w:lang w:eastAsia="en-US"/>
        </w:rPr>
      </w:pPr>
      <w:r w:rsidRPr="000A0767">
        <w:rPr>
          <w:rFonts w:ascii="Arial" w:hAnsi="Arial" w:cs="Arial"/>
          <w:sz w:val="20"/>
        </w:rPr>
        <w:t xml:space="preserve">a </w:t>
      </w:r>
      <w:r w:rsidRPr="000A0767">
        <w:rPr>
          <w:rFonts w:ascii="Arial" w:hAnsi="Arial" w:cs="Arial"/>
          <w:b/>
          <w:sz w:val="20"/>
        </w:rPr>
        <w:t>cutaneous emulsion</w:t>
      </w:r>
      <w:r w:rsidRPr="000A0767">
        <w:rPr>
          <w:rFonts w:ascii="Arial" w:hAnsi="Arial" w:cs="Arial"/>
          <w:sz w:val="20"/>
        </w:rPr>
        <w:t xml:space="preserve">, where the active substance is dissolved in a hydrophobic liquid, </w:t>
      </w:r>
      <w:r w:rsidRPr="000A0767">
        <w:rPr>
          <w:rFonts w:ascii="Arial" w:eastAsiaTheme="minorHAnsi" w:hAnsi="Arial" w:cs="Arial"/>
          <w:sz w:val="20"/>
          <w:szCs w:val="20"/>
          <w:lang w:eastAsia="en-US"/>
        </w:rPr>
        <w:t>small droplets of which are emulsified into the hydrophilic liquid [example: benzoyl peroxide]</w:t>
      </w:r>
    </w:p>
    <w:p w:rsidR="009F043A" w:rsidRPr="000A0767" w:rsidRDefault="0098625A" w:rsidP="009F043A">
      <w:pPr>
        <w:rPr>
          <w:rFonts w:ascii="Arial" w:hAnsi="Arial" w:cs="Arial"/>
        </w:rPr>
      </w:pPr>
      <w:r w:rsidRPr="000A0767">
        <w:rPr>
          <w:rFonts w:ascii="Arial" w:hAnsi="Arial" w:cs="Arial"/>
        </w:rPr>
        <w:t>Because of this variation and because the use of “lotion” as a dose form has been somewhat loosely</w:t>
      </w:r>
      <w:r w:rsidRPr="000A0767">
        <w:rPr>
          <w:rFonts w:ascii="Arial" w:hAnsi="Arial" w:cs="Arial"/>
          <w:shd w:val="clear" w:color="auto" w:fill="FFFFFF"/>
        </w:rPr>
        <w:t xml:space="preserve"> </w:t>
      </w:r>
      <w:r w:rsidRPr="000A0767">
        <w:rPr>
          <w:rFonts w:ascii="Arial" w:hAnsi="Arial" w:cs="Arial"/>
        </w:rPr>
        <w:t>applied in the past, it is not possible to do a “dose form transform” on products that have the DPD dose form.</w:t>
      </w:r>
    </w:p>
    <w:p w:rsidR="0098625A" w:rsidRPr="000A0767" w:rsidRDefault="0098625A" w:rsidP="009F043A">
      <w:pPr>
        <w:rPr>
          <w:rFonts w:ascii="Arial" w:hAnsi="Arial" w:cs="Arial"/>
        </w:rPr>
      </w:pPr>
      <w:r w:rsidRPr="000A0767">
        <w:rPr>
          <w:rFonts w:ascii="Arial" w:hAnsi="Arial" w:cs="Arial"/>
        </w:rPr>
        <w:lastRenderedPageBreak/>
        <w:t>It can be very difficult, even with full product monographs and lists of excipients, to know exactly how a particular</w:t>
      </w:r>
      <w:r w:rsidR="007D1CE7" w:rsidRPr="000A0767">
        <w:rPr>
          <w:rFonts w:ascii="Arial" w:hAnsi="Arial" w:cs="Arial"/>
        </w:rPr>
        <w:t xml:space="preserve"> “lotion”</w:t>
      </w:r>
      <w:r w:rsidRPr="000A0767">
        <w:rPr>
          <w:rFonts w:ascii="Arial" w:hAnsi="Arial" w:cs="Arial"/>
        </w:rPr>
        <w:t xml:space="preserve"> product is formulated</w:t>
      </w:r>
      <w:r w:rsidR="00F54226" w:rsidRPr="000A0767">
        <w:rPr>
          <w:rFonts w:ascii="Arial" w:hAnsi="Arial" w:cs="Arial"/>
        </w:rPr>
        <w:t>, so even trying to make changes to individual products (or groups of products) is challenging.</w:t>
      </w:r>
    </w:p>
    <w:p w:rsidR="00F54226" w:rsidRPr="000A0767" w:rsidRDefault="00F54226" w:rsidP="009F043A">
      <w:pPr>
        <w:rPr>
          <w:rFonts w:ascii="Arial" w:hAnsi="Arial" w:cs="Arial"/>
        </w:rPr>
      </w:pPr>
    </w:p>
    <w:p w:rsidR="00F54226" w:rsidRPr="000A0767" w:rsidRDefault="00F54226" w:rsidP="009F043A">
      <w:pPr>
        <w:rPr>
          <w:rFonts w:ascii="Arial" w:hAnsi="Arial" w:cs="Arial"/>
        </w:rPr>
      </w:pPr>
      <w:r w:rsidRPr="000A0767">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w:t>
      </w:r>
      <w:r w:rsidR="006C2E02" w:rsidRPr="000A0767">
        <w:rPr>
          <w:rFonts w:ascii="Arial" w:hAnsi="Arial" w:cs="Arial"/>
        </w:rPr>
        <w:t xml:space="preserve"> until or unless a more accurate dose form can be found</w:t>
      </w:r>
      <w:r w:rsidRPr="000A0767">
        <w:rPr>
          <w:rFonts w:ascii="Arial" w:hAnsi="Arial" w:cs="Arial"/>
        </w:rPr>
        <w:t xml:space="preserve">.  For all new NTPs, if at all possible, the DPD dose form should be one of cutaneous solution/ cutaneous suspension/ cutaneous emulsion and so the NTP will have the correct dose form on generation.  If this is not possible, then </w:t>
      </w:r>
      <w:r w:rsidR="006C2E02" w:rsidRPr="000A0767">
        <w:rPr>
          <w:rFonts w:ascii="Arial" w:hAnsi="Arial" w:cs="Arial"/>
        </w:rPr>
        <w:t>new NTPs may also use the dose form of</w:t>
      </w:r>
      <w:r w:rsidRPr="000A0767">
        <w:rPr>
          <w:rFonts w:ascii="Arial" w:hAnsi="Arial" w:cs="Arial"/>
        </w:rPr>
        <w:t xml:space="preserve"> “lotion”.</w:t>
      </w:r>
    </w:p>
    <w:p w:rsidR="00F06CDD" w:rsidRDefault="00F06CDD" w:rsidP="002563AF">
      <w:pPr>
        <w:rPr>
          <w:rFonts w:ascii="Arial" w:hAnsi="Arial" w:cs="Arial"/>
        </w:rPr>
      </w:pP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 xml:space="preserve">Some medicinal products are designed to be administered using in a nebuliser: a device that aerosolises a liquid medication into a fine mist by various mechanisms (e.g. a jet nozzle or </w:t>
      </w:r>
      <w:r>
        <w:rPr>
          <w:rFonts w:ascii="Arial" w:hAnsi="Arial" w:cs="Arial"/>
        </w:rPr>
        <w:lastRenderedPageBreak/>
        <w:t>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0A0767">
      <w:pPr>
        <w:pStyle w:val="Heading2"/>
        <w:rPr>
          <w:rFonts w:ascii="Arial" w:hAnsi="Arial"/>
        </w:rPr>
      </w:pPr>
      <w:r>
        <w:t>Naming of Insulins in CCDD</w:t>
      </w:r>
    </w:p>
    <w:p w:rsidR="00551F52" w:rsidRDefault="00551F52" w:rsidP="00551F52">
      <w:pPr>
        <w:pStyle w:val="BodyText"/>
        <w:spacing w:after="0" w:line="200" w:lineRule="atLeast"/>
        <w:rPr>
          <w:rFonts w:ascii="Arial" w:hAnsi="Arial"/>
          <w:color w:val="FF3333"/>
        </w:rPr>
      </w:pPr>
    </w:p>
    <w:p w:rsidR="00551F52" w:rsidRPr="000A0767" w:rsidRDefault="00551F52" w:rsidP="00551F52">
      <w:pPr>
        <w:pStyle w:val="BodyText"/>
        <w:spacing w:after="0" w:line="200" w:lineRule="atLeast"/>
        <w:rPr>
          <w:rFonts w:ascii="Arial" w:hAnsi="Arial"/>
        </w:rPr>
      </w:pPr>
      <w:r w:rsidRPr="000A0767">
        <w:rPr>
          <w:rFonts w:ascii="Arial" w:hAnsi="Arial"/>
        </w:rPr>
        <w:t xml:space="preserve">Across jurisdictions there are various terms used to refer to natural or native insulin such as </w:t>
      </w:r>
      <w:r w:rsidR="000A0767">
        <w:rPr>
          <w:rFonts w:ascii="Arial" w:hAnsi="Arial"/>
        </w:rPr>
        <w:t>‘</w:t>
      </w:r>
      <w:r w:rsidRPr="000A0767">
        <w:rPr>
          <w:rFonts w:ascii="Arial" w:hAnsi="Arial"/>
        </w:rPr>
        <w:t>soluble</w:t>
      </w:r>
      <w:r w:rsidR="000A0767">
        <w:rPr>
          <w:rFonts w:ascii="Arial" w:hAnsi="Arial"/>
        </w:rPr>
        <w:t>’</w:t>
      </w:r>
      <w:r w:rsidRPr="000A0767">
        <w:rPr>
          <w:rFonts w:ascii="Arial" w:hAnsi="Arial"/>
        </w:rPr>
        <w:t xml:space="preserve">, </w:t>
      </w:r>
      <w:r w:rsidR="000A0767">
        <w:rPr>
          <w:rFonts w:ascii="Arial" w:hAnsi="Arial"/>
        </w:rPr>
        <w:t>‘</w:t>
      </w:r>
      <w:r w:rsidRPr="000A0767">
        <w:rPr>
          <w:rFonts w:ascii="Arial" w:hAnsi="Arial"/>
        </w:rPr>
        <w:t>regular</w:t>
      </w:r>
      <w:r w:rsidR="000A0767">
        <w:rPr>
          <w:rFonts w:ascii="Arial" w:hAnsi="Arial"/>
        </w:rPr>
        <w:t>’</w:t>
      </w:r>
      <w:r w:rsidRPr="000A0767">
        <w:rPr>
          <w:rFonts w:ascii="Arial" w:hAnsi="Arial"/>
        </w:rPr>
        <w:t xml:space="preserve"> or </w:t>
      </w:r>
      <w:r w:rsidR="000A0767">
        <w:rPr>
          <w:rFonts w:ascii="Arial" w:hAnsi="Arial"/>
        </w:rPr>
        <w:t>‘</w:t>
      </w:r>
      <w:r w:rsidR="009F043A" w:rsidRPr="000A0767">
        <w:rPr>
          <w:rFonts w:ascii="Arial" w:hAnsi="Arial"/>
        </w:rPr>
        <w:t>T</w:t>
      </w:r>
      <w:r w:rsidRPr="000A0767">
        <w:rPr>
          <w:rFonts w:ascii="Arial" w:hAnsi="Arial"/>
        </w:rPr>
        <w:t>oronto</w:t>
      </w:r>
      <w:r w:rsidR="000A0767">
        <w:rPr>
          <w:rFonts w:ascii="Arial" w:hAnsi="Arial"/>
        </w:rPr>
        <w:t>’</w:t>
      </w:r>
      <w:r w:rsidRPr="000A0767">
        <w:rPr>
          <w:rFonts w:ascii="Arial" w:hAnsi="Arial"/>
        </w:rPr>
        <w:t xml:space="preserve">.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sidRPr="000A0767">
        <w:rPr>
          <w:rFonts w:ascii="Arial" w:hAnsi="Arial"/>
        </w:rPr>
        <w:t>aspart</w:t>
      </w:r>
      <w:proofErr w:type="spellEnd"/>
      <w:r w:rsidRPr="000A0767">
        <w:rPr>
          <w:rFonts w:ascii="Arial" w:hAnsi="Arial"/>
        </w:rPr>
        <w:t>, insulin lispro). Canadian marketed insulin isophane products may originate from human or pork and therefore the source will be specified</w:t>
      </w:r>
      <w:r w:rsidR="000A0767">
        <w:rPr>
          <w:rFonts w:ascii="Arial" w:hAnsi="Arial"/>
        </w:rPr>
        <w:t xml:space="preserve"> after the modifier</w:t>
      </w:r>
      <w:r w:rsidRPr="000A0767">
        <w:rPr>
          <w:rFonts w:ascii="Arial" w:hAnsi="Arial"/>
        </w:rPr>
        <w:t>. As all recombinant analogues are derived from human insulin, human is implied and therefore “human” is not used in the name</w:t>
      </w:r>
      <w:r w:rsidR="000A0767">
        <w:rPr>
          <w:rFonts w:ascii="Arial" w:hAnsi="Arial"/>
        </w:rPr>
        <w:t xml:space="preserve"> and the analogue name is given as ‘insulin [analogue]’ (e.g</w:t>
      </w:r>
      <w:r w:rsidRPr="000A0767">
        <w:rPr>
          <w:rFonts w:ascii="Arial" w:hAnsi="Arial"/>
        </w:rPr>
        <w:t>.</w:t>
      </w:r>
      <w:r w:rsidR="000A0767">
        <w:rPr>
          <w:rFonts w:ascii="Arial" w:hAnsi="Arial"/>
        </w:rPr>
        <w:t xml:space="preserve"> ‘insulin lispro’).</w:t>
      </w:r>
    </w:p>
    <w:p w:rsidR="00551F52" w:rsidRPr="000A0767" w:rsidRDefault="00551F52" w:rsidP="00551F52">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RPr="000A0767"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Pr="000A0767" w:rsidRDefault="00551F52">
            <w:pPr>
              <w:pStyle w:val="BodyText"/>
              <w:spacing w:after="0" w:line="200" w:lineRule="atLeast"/>
              <w:rPr>
                <w:lang w:eastAsia="ar-SA"/>
              </w:rPr>
            </w:pPr>
            <w:r w:rsidRPr="000A0767">
              <w:rPr>
                <w:rFonts w:ascii="Arial" w:hAnsi="Arial"/>
                <w:b/>
                <w:bCs/>
              </w:rPr>
              <w:t>Insulin Concepts in CCDD</w:t>
            </w:r>
          </w:p>
        </w:tc>
      </w:tr>
      <w:tr w:rsidR="00551F52" w:rsidRPr="000A0767" w:rsidTr="00551F52">
        <w:tc>
          <w:tcPr>
            <w:tcW w:w="4143" w:type="dxa"/>
            <w:tcBorders>
              <w:top w:val="nil"/>
              <w:left w:val="single" w:sz="2" w:space="0" w:color="000000"/>
              <w:bottom w:val="single" w:sz="2" w:space="0" w:color="000000"/>
              <w:right w:val="single" w:sz="2" w:space="0" w:color="000000"/>
            </w:tcBorders>
            <w:hideMark/>
          </w:tcPr>
          <w:p w:rsidR="00551F52" w:rsidRPr="000A0767" w:rsidRDefault="00551F52">
            <w:pPr>
              <w:pStyle w:val="BodyText"/>
              <w:spacing w:after="0" w:line="200" w:lineRule="atLeast"/>
              <w:rPr>
                <w:rFonts w:ascii="Arial" w:eastAsia="SimSun" w:hAnsi="Arial"/>
                <w:lang w:eastAsia="ar-SA"/>
              </w:rPr>
            </w:pPr>
            <w:r w:rsidRPr="000A0767">
              <w:rPr>
                <w:rFonts w:ascii="Arial" w:hAnsi="Arial"/>
              </w:rPr>
              <w:t xml:space="preserve">Insulin </w:t>
            </w:r>
            <w:proofErr w:type="spellStart"/>
            <w:r w:rsidRPr="000A0767">
              <w:rPr>
                <w:rFonts w:ascii="Arial" w:hAnsi="Arial"/>
              </w:rPr>
              <w:t>aspart</w:t>
            </w:r>
            <w:proofErr w:type="spellEnd"/>
          </w:p>
          <w:p w:rsidR="00551F52" w:rsidRPr="000A0767" w:rsidRDefault="00551F52">
            <w:pPr>
              <w:pStyle w:val="BodyText"/>
              <w:spacing w:after="0" w:line="200" w:lineRule="atLeast"/>
              <w:rPr>
                <w:rFonts w:ascii="Arial" w:hAnsi="Arial"/>
              </w:rPr>
            </w:pPr>
            <w:r w:rsidRPr="000A0767">
              <w:rPr>
                <w:rFonts w:ascii="Arial" w:hAnsi="Arial"/>
              </w:rPr>
              <w:t xml:space="preserve">Insulin </w:t>
            </w:r>
            <w:proofErr w:type="spellStart"/>
            <w:r w:rsidRPr="000A0767">
              <w:rPr>
                <w:rFonts w:ascii="Arial" w:hAnsi="Arial"/>
              </w:rPr>
              <w:t>aspart</w:t>
            </w:r>
            <w:proofErr w:type="spellEnd"/>
            <w:r w:rsidRPr="000A0767">
              <w:rPr>
                <w:rFonts w:ascii="Arial" w:hAnsi="Arial"/>
              </w:rPr>
              <w:t xml:space="preserve"> and insulin </w:t>
            </w:r>
            <w:proofErr w:type="spellStart"/>
            <w:r w:rsidRPr="000A0767">
              <w:rPr>
                <w:rFonts w:ascii="Arial" w:hAnsi="Arial"/>
              </w:rPr>
              <w:t>aspart</w:t>
            </w:r>
            <w:proofErr w:type="spellEnd"/>
            <w:r w:rsidRPr="000A0767">
              <w:rPr>
                <w:rFonts w:ascii="Arial" w:hAnsi="Arial"/>
              </w:rPr>
              <w:t xml:space="preserve"> protamine</w:t>
            </w:r>
          </w:p>
          <w:p w:rsidR="00551F52" w:rsidRPr="000A0767" w:rsidRDefault="00551F52">
            <w:pPr>
              <w:pStyle w:val="BodyText"/>
              <w:spacing w:after="0" w:line="200" w:lineRule="atLeast"/>
              <w:rPr>
                <w:rFonts w:ascii="Arial" w:hAnsi="Arial"/>
              </w:rPr>
            </w:pPr>
            <w:r w:rsidRPr="000A0767">
              <w:rPr>
                <w:rFonts w:ascii="Arial" w:hAnsi="Arial"/>
              </w:rPr>
              <w:t xml:space="preserve">Insulin </w:t>
            </w:r>
            <w:proofErr w:type="spellStart"/>
            <w:r w:rsidRPr="000A0767">
              <w:rPr>
                <w:rFonts w:ascii="Arial" w:hAnsi="Arial"/>
              </w:rPr>
              <w:t>degludec</w:t>
            </w:r>
            <w:proofErr w:type="spellEnd"/>
          </w:p>
          <w:p w:rsidR="00551F52" w:rsidRPr="000A0767" w:rsidRDefault="00551F52">
            <w:pPr>
              <w:pStyle w:val="BodyText"/>
              <w:spacing w:after="0" w:line="200" w:lineRule="atLeast"/>
              <w:rPr>
                <w:rFonts w:ascii="Arial" w:hAnsi="Arial"/>
              </w:rPr>
            </w:pPr>
            <w:r w:rsidRPr="000A0767">
              <w:rPr>
                <w:rFonts w:ascii="Arial" w:hAnsi="Arial"/>
              </w:rPr>
              <w:t>Insulin detemir</w:t>
            </w:r>
          </w:p>
          <w:p w:rsidR="00551F52" w:rsidRPr="000A0767" w:rsidRDefault="00551F52">
            <w:pPr>
              <w:pStyle w:val="BodyText"/>
              <w:spacing w:after="0" w:line="200" w:lineRule="atLeast"/>
              <w:rPr>
                <w:rFonts w:ascii="Arial" w:hAnsi="Arial"/>
              </w:rPr>
            </w:pPr>
            <w:r w:rsidRPr="000A0767">
              <w:rPr>
                <w:rFonts w:ascii="Arial" w:hAnsi="Arial"/>
              </w:rPr>
              <w:t>Insulin glargine</w:t>
            </w:r>
          </w:p>
          <w:p w:rsidR="00551F52" w:rsidRPr="000A0767" w:rsidRDefault="00551F52">
            <w:pPr>
              <w:pStyle w:val="BodyText"/>
              <w:spacing w:after="0" w:line="200" w:lineRule="atLeast"/>
              <w:rPr>
                <w:rFonts w:ascii="Arial" w:hAnsi="Arial"/>
              </w:rPr>
            </w:pPr>
            <w:r w:rsidRPr="000A0767">
              <w:rPr>
                <w:rFonts w:ascii="Arial" w:hAnsi="Arial"/>
              </w:rPr>
              <w:t xml:space="preserve">Insulin </w:t>
            </w:r>
            <w:proofErr w:type="spellStart"/>
            <w:r w:rsidRPr="000A0767">
              <w:rPr>
                <w:rFonts w:ascii="Arial" w:hAnsi="Arial"/>
              </w:rPr>
              <w:t>glulisine</w:t>
            </w:r>
            <w:proofErr w:type="spellEnd"/>
          </w:p>
          <w:p w:rsidR="00551F52" w:rsidRPr="000A0767" w:rsidRDefault="00551F52">
            <w:pPr>
              <w:pStyle w:val="BodyText"/>
              <w:spacing w:after="0" w:line="200" w:lineRule="atLeast"/>
              <w:rPr>
                <w:rFonts w:ascii="Arial" w:hAnsi="Arial"/>
              </w:rPr>
            </w:pPr>
            <w:r w:rsidRPr="000A0767">
              <w:rPr>
                <w:rFonts w:ascii="Arial" w:hAnsi="Arial"/>
              </w:rPr>
              <w:t>Insulin human</w:t>
            </w:r>
          </w:p>
          <w:p w:rsidR="00551F52" w:rsidRPr="000A0767" w:rsidRDefault="00551F52">
            <w:pPr>
              <w:pStyle w:val="BodyText"/>
              <w:spacing w:after="0" w:line="200" w:lineRule="atLeast"/>
              <w:rPr>
                <w:rFonts w:ascii="Arial" w:hAnsi="Arial"/>
              </w:rPr>
            </w:pPr>
            <w:r w:rsidRPr="000A0767">
              <w:rPr>
                <w:rFonts w:ascii="Arial" w:hAnsi="Arial"/>
              </w:rPr>
              <w:t>insulin human and insulin isophane human</w:t>
            </w:r>
          </w:p>
          <w:p w:rsidR="00551F52" w:rsidRPr="000A0767" w:rsidRDefault="00551F52">
            <w:pPr>
              <w:pStyle w:val="BodyText"/>
              <w:spacing w:after="0" w:line="200" w:lineRule="atLeast"/>
              <w:rPr>
                <w:rFonts w:ascii="Arial" w:hAnsi="Arial"/>
              </w:rPr>
            </w:pPr>
            <w:r w:rsidRPr="000A0767">
              <w:rPr>
                <w:rFonts w:ascii="Arial" w:hAnsi="Arial"/>
              </w:rPr>
              <w:t>Insulin isophane human</w:t>
            </w:r>
          </w:p>
          <w:p w:rsidR="00551F52" w:rsidRPr="000A0767" w:rsidRDefault="00551F52">
            <w:pPr>
              <w:pStyle w:val="BodyText"/>
              <w:spacing w:after="0" w:line="200" w:lineRule="atLeast"/>
              <w:rPr>
                <w:rFonts w:ascii="Arial" w:hAnsi="Arial"/>
              </w:rPr>
            </w:pPr>
            <w:r w:rsidRPr="000A0767">
              <w:rPr>
                <w:rFonts w:ascii="Arial" w:hAnsi="Arial"/>
              </w:rPr>
              <w:t>Insulin isophane pork</w:t>
            </w:r>
          </w:p>
          <w:p w:rsidR="00551F52" w:rsidRPr="000A0767" w:rsidRDefault="00551F52">
            <w:pPr>
              <w:pStyle w:val="BodyText"/>
              <w:spacing w:after="0" w:line="200" w:lineRule="atLeast"/>
              <w:rPr>
                <w:rFonts w:ascii="Arial" w:hAnsi="Arial"/>
              </w:rPr>
            </w:pPr>
            <w:r w:rsidRPr="000A0767">
              <w:rPr>
                <w:rFonts w:ascii="Arial" w:hAnsi="Arial"/>
              </w:rPr>
              <w:t>Insulin lispro</w:t>
            </w:r>
          </w:p>
          <w:p w:rsidR="00551F52" w:rsidRPr="000A0767" w:rsidRDefault="00551F52">
            <w:pPr>
              <w:pStyle w:val="BodyText"/>
              <w:spacing w:after="0" w:line="200" w:lineRule="atLeast"/>
              <w:rPr>
                <w:rFonts w:ascii="Arial" w:hAnsi="Arial"/>
              </w:rPr>
            </w:pPr>
            <w:r w:rsidRPr="000A0767">
              <w:rPr>
                <w:rFonts w:ascii="Arial" w:hAnsi="Arial"/>
              </w:rPr>
              <w:t>Insulin lispro and insulin lispro protamine</w:t>
            </w:r>
          </w:p>
          <w:p w:rsidR="00551F52" w:rsidRPr="000A0767" w:rsidRDefault="00551F52">
            <w:pPr>
              <w:pStyle w:val="BodyText"/>
              <w:spacing w:after="0" w:line="200" w:lineRule="atLeast"/>
              <w:rPr>
                <w:lang w:eastAsia="ar-SA"/>
              </w:rPr>
            </w:pPr>
            <w:r w:rsidRPr="000A0767">
              <w:rPr>
                <w:rFonts w:ascii="Arial" w:hAnsi="Arial"/>
              </w:rPr>
              <w:t>Insulin pork</w:t>
            </w:r>
          </w:p>
        </w:tc>
      </w:tr>
    </w:tbl>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07784"/>
    <w:rsid w:val="00045557"/>
    <w:rsid w:val="000471F9"/>
    <w:rsid w:val="00097193"/>
    <w:rsid w:val="000A0767"/>
    <w:rsid w:val="000A4110"/>
    <w:rsid w:val="000B05A7"/>
    <w:rsid w:val="001115A6"/>
    <w:rsid w:val="00140488"/>
    <w:rsid w:val="001C796A"/>
    <w:rsid w:val="002026B3"/>
    <w:rsid w:val="002125B9"/>
    <w:rsid w:val="00212CE2"/>
    <w:rsid w:val="002519F1"/>
    <w:rsid w:val="002563AF"/>
    <w:rsid w:val="002812F1"/>
    <w:rsid w:val="00296696"/>
    <w:rsid w:val="002A74BD"/>
    <w:rsid w:val="002F4F07"/>
    <w:rsid w:val="00324010"/>
    <w:rsid w:val="003448D3"/>
    <w:rsid w:val="00375294"/>
    <w:rsid w:val="00376F88"/>
    <w:rsid w:val="003E2E79"/>
    <w:rsid w:val="003F49EB"/>
    <w:rsid w:val="00436B86"/>
    <w:rsid w:val="004B66FE"/>
    <w:rsid w:val="004D7AEF"/>
    <w:rsid w:val="004E02D6"/>
    <w:rsid w:val="00500F18"/>
    <w:rsid w:val="005065E2"/>
    <w:rsid w:val="00551F52"/>
    <w:rsid w:val="005B153D"/>
    <w:rsid w:val="005D2B5E"/>
    <w:rsid w:val="00606C61"/>
    <w:rsid w:val="00612A3C"/>
    <w:rsid w:val="00621C5F"/>
    <w:rsid w:val="00656C8C"/>
    <w:rsid w:val="006A509B"/>
    <w:rsid w:val="006B625A"/>
    <w:rsid w:val="006C2E02"/>
    <w:rsid w:val="006F5A1E"/>
    <w:rsid w:val="0070595F"/>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41638"/>
    <w:rsid w:val="00AA133E"/>
    <w:rsid w:val="00AB1A19"/>
    <w:rsid w:val="00AD4695"/>
    <w:rsid w:val="00AF1837"/>
    <w:rsid w:val="00B32C83"/>
    <w:rsid w:val="00B336E0"/>
    <w:rsid w:val="00B42F6B"/>
    <w:rsid w:val="00B74DB7"/>
    <w:rsid w:val="00BB761F"/>
    <w:rsid w:val="00BC3F14"/>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44CDB"/>
    <w:rsid w:val="00F54226"/>
    <w:rsid w:val="00F63D24"/>
    <w:rsid w:val="00F71A11"/>
    <w:rsid w:val="00F738B1"/>
    <w:rsid w:val="00F85CF7"/>
    <w:rsid w:val="00FA756C"/>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A46E"/>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12147156">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cid:image002.jpg@01D3F0FC.887489C0" TargetMode="Externa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8350</Words>
  <Characters>47600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James</cp:lastModifiedBy>
  <cp:revision>3</cp:revision>
  <dcterms:created xsi:type="dcterms:W3CDTF">2018-08-23T12:27:00Z</dcterms:created>
  <dcterms:modified xsi:type="dcterms:W3CDTF">2018-10-30T15:49:00Z</dcterms:modified>
</cp:coreProperties>
</file>