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w:t>
            </w:r>
            <w:proofErr w:type="spellStart"/>
            <w:r w:rsidRPr="00F738B1">
              <w:rPr>
                <w:rFonts w:ascii="Arial" w:hAnsi="Arial" w:cs="Arial"/>
                <w:b/>
                <w:bCs/>
              </w:rPr>
              <w:t>dipropionate</w:t>
            </w:r>
            <w:proofErr w:type="spellEnd"/>
            <w:r w:rsidRPr="00F738B1">
              <w:rPr>
                <w:rFonts w:ascii="Arial" w:hAnsi="Arial" w:cs="Arial"/>
                <w:b/>
                <w:bCs/>
              </w:rPr>
              <w:t xml:space="preserv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Default="00656C8C" w:rsidP="002563AF">
      <w:pPr>
        <w:rPr>
          <w:rFonts w:ascii="Arial" w:hAnsi="Arial" w:cs="Arial"/>
          <w:color w:val="FF0000"/>
        </w:rPr>
      </w:pPr>
      <w:r>
        <w:rPr>
          <w:rFonts w:ascii="Arial" w:hAnsi="Arial" w:cs="Arial"/>
          <w:color w:val="FF0000"/>
        </w:rPr>
        <w:t>Some multi-use pen products also use Pattern 1C as the pen has the equivalent to a metered dose delivery that “bounds” the presentation of the product to the patient.  For these products, the addition of the container (pf pen) is added to the NTP formal name.</w:t>
      </w:r>
    </w:p>
    <w:p w:rsidR="00656C8C" w:rsidRDefault="00656C8C" w:rsidP="002563AF">
      <w:pPr>
        <w:rPr>
          <w:rFonts w:ascii="Arial" w:hAnsi="Arial" w:cs="Arial"/>
          <w:color w:val="FF0000"/>
        </w:rPr>
      </w:pPr>
    </w:p>
    <w:tbl>
      <w:tblPr>
        <w:tblStyle w:val="TableGrid"/>
        <w:tblW w:w="0" w:type="auto"/>
        <w:tblLook w:val="04A0" w:firstRow="1" w:lastRow="0" w:firstColumn="1" w:lastColumn="0" w:noHBand="0" w:noVBand="1"/>
      </w:tblPr>
      <w:tblGrid>
        <w:gridCol w:w="3005"/>
        <w:gridCol w:w="3005"/>
        <w:gridCol w:w="3006"/>
      </w:tblGrid>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Example</w:t>
            </w:r>
          </w:p>
        </w:tc>
        <w:tc>
          <w:tcPr>
            <w:tcW w:w="6011" w:type="dxa"/>
            <w:gridSpan w:val="2"/>
          </w:tcPr>
          <w:p w:rsidR="00656C8C" w:rsidRPr="00656C8C" w:rsidRDefault="00656C8C" w:rsidP="00656C8C">
            <w:pPr>
              <w:rPr>
                <w:rFonts w:ascii="Arial" w:hAnsi="Arial" w:cs="Arial"/>
                <w:b/>
                <w:bCs/>
                <w:color w:val="FF0000"/>
              </w:rPr>
            </w:pPr>
            <w:proofErr w:type="spellStart"/>
            <w:r w:rsidRPr="00656C8C">
              <w:rPr>
                <w:rFonts w:ascii="Arial" w:hAnsi="Arial" w:cs="Arial"/>
                <w:b/>
                <w:bCs/>
                <w:color w:val="FF0000"/>
              </w:rPr>
              <w:t>Exenatide</w:t>
            </w:r>
            <w:proofErr w:type="spellEnd"/>
            <w:r w:rsidRPr="00656C8C">
              <w:rPr>
                <w:rFonts w:ascii="Arial" w:hAnsi="Arial" w:cs="Arial"/>
                <w:b/>
                <w:bCs/>
                <w:color w:val="FF0000"/>
              </w:rPr>
              <w:t xml:space="preserve"> 5 mcg per actuation solution for injection pen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Unit of Presentation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(logical)</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per 1 unit of presentation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(usual description)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with the “per” or explicit</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Concentration strength (for information only)</w:t>
            </w:r>
          </w:p>
        </w:tc>
        <w:tc>
          <w:tcPr>
            <w:tcW w:w="6011" w:type="dxa"/>
            <w:gridSpan w:val="2"/>
          </w:tcPr>
          <w:p w:rsidR="00656C8C" w:rsidRPr="00656C8C" w:rsidRDefault="00656C8C" w:rsidP="00656C8C">
            <w:pPr>
              <w:rPr>
                <w:rFonts w:ascii="Arial" w:hAnsi="Arial" w:cs="Arial"/>
                <w:color w:val="FF0000"/>
              </w:rPr>
            </w:pPr>
            <w:r w:rsidRPr="00656C8C">
              <w:rPr>
                <w:rFonts w:ascii="Arial" w:hAnsi="Arial" w:cs="Arial"/>
                <w:color w:val="FF0000"/>
              </w:rPr>
              <w:t xml:space="preserve">The concentration of product (usually liquid) is often known (for </w:t>
            </w:r>
            <w:proofErr w:type="spellStart"/>
            <w:r w:rsidRPr="00656C8C">
              <w:rPr>
                <w:rFonts w:ascii="Arial" w:hAnsi="Arial" w:cs="Arial"/>
                <w:color w:val="FF0000"/>
              </w:rPr>
              <w:t>exenatide</w:t>
            </w:r>
            <w:proofErr w:type="spellEnd"/>
            <w:r w:rsidRPr="00656C8C">
              <w:rPr>
                <w:rFonts w:ascii="Arial" w:hAnsi="Arial" w:cs="Arial"/>
                <w:color w:val="FF0000"/>
              </w:rPr>
              <w:t>,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656C8C" w:rsidRPr="00656C8C" w:rsidRDefault="00656C8C" w:rsidP="002563AF">
      <w:pPr>
        <w:rPr>
          <w:rFonts w:ascii="Arial" w:hAnsi="Arial" w:cs="Arial"/>
          <w:color w:val="FF0000"/>
        </w:rPr>
      </w:pPr>
      <w:r w:rsidRPr="00656C8C">
        <w:rPr>
          <w:rFonts w:ascii="Arial" w:hAnsi="Arial" w:cs="Arial"/>
          <w:color w:val="FF0000"/>
        </w:rPr>
        <w:t>[JMJ 20190724]</w:t>
      </w: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lastRenderedPageBreak/>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0.035 mg” and another as “</w:t>
      </w:r>
      <w:proofErr w:type="spellStart"/>
      <w:r w:rsidR="006F5A1E">
        <w:rPr>
          <w:rFonts w:ascii="Arial" w:hAnsi="Arial" w:cs="Arial"/>
        </w:rPr>
        <w:t>ethinyl</w:t>
      </w:r>
      <w:proofErr w:type="spellEnd"/>
      <w:r w:rsidR="006F5A1E">
        <w:rPr>
          <w:rFonts w:ascii="Arial" w:hAnsi="Arial" w:cs="Arial"/>
        </w:rPr>
        <w:t xml:space="preserve">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w:t>
      </w:r>
      <w:proofErr w:type="spellStart"/>
      <w:r w:rsidRPr="00F71A11">
        <w:rPr>
          <w:rFonts w:ascii="Arial" w:hAnsi="Arial" w:cs="Arial"/>
        </w:rPr>
        <w:t>dutasteride</w:t>
      </w:r>
      <w:proofErr w:type="spellEnd"/>
      <w:r w:rsidRPr="00F71A11">
        <w:rPr>
          <w:rFonts w:ascii="Arial" w:hAnsi="Arial" w:cs="Arial"/>
        </w:rPr>
        <w:t xml:space="preserve">, </w:t>
      </w:r>
      <w:proofErr w:type="spellStart"/>
      <w:r w:rsidRPr="00F71A11">
        <w:rPr>
          <w:rFonts w:ascii="Arial" w:hAnsi="Arial" w:cs="Arial"/>
        </w:rPr>
        <w:t>nitroglycerin</w:t>
      </w:r>
      <w:proofErr w:type="spellEnd"/>
      <w:r w:rsidRPr="00F71A11">
        <w:rPr>
          <w:rFonts w:ascii="Arial" w:hAnsi="Arial" w:cs="Arial"/>
        </w:rPr>
        <w:t xml:space="preserve">, naloxone and </w:t>
      </w:r>
      <w:proofErr w:type="spellStart"/>
      <w:r w:rsidRPr="00F71A11">
        <w:rPr>
          <w:rFonts w:ascii="Arial" w:hAnsi="Arial" w:cs="Arial"/>
        </w:rPr>
        <w:t>tamsulosin</w:t>
      </w:r>
      <w:proofErr w:type="spellEnd"/>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lastRenderedPageBreak/>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lastRenderedPageBreak/>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lastRenderedPageBreak/>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lastRenderedPageBreak/>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lastRenderedPageBreak/>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w:t>
            </w:r>
            <w:proofErr w:type="spellStart"/>
            <w:r>
              <w:rPr>
                <w:rFonts w:ascii="Calibri" w:hAnsi="Calibri"/>
                <w:color w:val="000000"/>
                <w:sz w:val="22"/>
                <w:szCs w:val="22"/>
              </w:rPr>
              <w:t>ethinyl</w:t>
            </w:r>
            <w:proofErr w:type="spellEnd"/>
            <w:r>
              <w:rPr>
                <w:rFonts w:ascii="Calibri" w:hAnsi="Calibri"/>
                <w:color w:val="000000"/>
                <w:sz w:val="22"/>
                <w:szCs w:val="22"/>
              </w:rPr>
              <w:t xml:space="preserve">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SOLU-CORTEF 100 MG ACT-O-VIAL (hydrocortisone (hydrocortisone sodium succinate) 100 mg powder for solution for injection with diluent solution per vial) PFIZER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lastRenderedPageBreak/>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6A509B" w:rsidRDefault="006A509B" w:rsidP="006A509B">
      <w:pPr>
        <w:pStyle w:val="Heading2"/>
        <w:rPr>
          <w:color w:val="FF0000"/>
        </w:rPr>
      </w:pPr>
      <w:r w:rsidRPr="006A509B">
        <w:rPr>
          <w:color w:val="FF0000"/>
        </w:rPr>
        <w:t>Pens and Syringes</w:t>
      </w:r>
    </w:p>
    <w:p w:rsidR="006A509B" w:rsidRPr="006A509B" w:rsidRDefault="006A509B" w:rsidP="006A509B">
      <w:pPr>
        <w:rPr>
          <w:rFonts w:ascii="Arial" w:hAnsi="Arial" w:cs="Arial"/>
          <w:color w:val="FF0000"/>
        </w:rPr>
      </w:pPr>
      <w:r w:rsidRPr="006A509B">
        <w:rPr>
          <w:rFonts w:ascii="Arial" w:hAnsi="Arial" w:cs="Arial"/>
          <w:color w:val="FF0000"/>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6A509B" w:rsidRPr="006A509B" w:rsidRDefault="006A509B" w:rsidP="006A509B">
      <w:pPr>
        <w:pStyle w:val="Heading3"/>
        <w:rPr>
          <w:color w:val="FF0000"/>
        </w:rPr>
      </w:pPr>
      <w:r w:rsidRPr="006A509B">
        <w:rPr>
          <w:color w:val="FF0000"/>
        </w:rPr>
        <w:t>Syringe as a Unit of Presentation</w:t>
      </w:r>
    </w:p>
    <w:p w:rsidR="006A509B" w:rsidRPr="006A509B" w:rsidRDefault="006A509B" w:rsidP="006A509B">
      <w:pPr>
        <w:rPr>
          <w:rFonts w:ascii="Arial" w:hAnsi="Arial" w:cs="Arial"/>
          <w:color w:val="FF0000"/>
        </w:rPr>
      </w:pPr>
      <w:r w:rsidRPr="006A509B">
        <w:rPr>
          <w:rFonts w:ascii="Arial" w:hAnsi="Arial" w:cs="Arial"/>
          <w:color w:val="FF0000"/>
        </w:rPr>
        <w:t xml:space="preserve">A </w:t>
      </w:r>
      <w:r w:rsidRPr="006A509B">
        <w:rPr>
          <w:rFonts w:ascii="Arial" w:hAnsi="Arial" w:cs="Arial"/>
          <w:b/>
          <w:color w:val="FF0000"/>
        </w:rPr>
        <w:t>syringe</w:t>
      </w:r>
      <w:r w:rsidRPr="006A509B">
        <w:rPr>
          <w:rFonts w:ascii="Arial" w:hAnsi="Arial" w:cs="Arial"/>
          <w:color w:val="FF0000"/>
        </w:rPr>
        <w:t xml:space="preserve"> is a unit of presentation consisting of a barrel tube which contains the medication, and a plunger that is pushed to allow the contents to discharge through the end of the barrel.  There is </w:t>
      </w:r>
      <w:r w:rsidRPr="006A509B">
        <w:rPr>
          <w:rFonts w:ascii="Arial" w:hAnsi="Arial" w:cs="Arial"/>
          <w:color w:val="FF0000"/>
        </w:rPr>
        <w:lastRenderedPageBreak/>
        <w:t>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6">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A syringe unit of presentation is most likely to be single use only.</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“syringe”.  When used as a container description, EDQM recommends the term “pre-filled syringe” to distinguish the two concepts.</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Describing strength for products presented in a syringe</w:t>
      </w:r>
    </w:p>
    <w:p w:rsidR="006A509B" w:rsidRPr="006A509B" w:rsidRDefault="006A509B" w:rsidP="006A509B">
      <w:pPr>
        <w:rPr>
          <w:rFonts w:ascii="Arial" w:hAnsi="Arial" w:cs="Arial"/>
          <w:color w:val="FF0000"/>
        </w:rPr>
      </w:pPr>
      <w:r w:rsidRPr="006A509B">
        <w:rPr>
          <w:rFonts w:ascii="Arial" w:hAnsi="Arial" w:cs="Arial"/>
          <w:color w:val="FF0000"/>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proofErr w:type="spellStart"/>
      <w:proofErr w:type="gramStart"/>
      <w:r w:rsidRPr="006A509B">
        <w:rPr>
          <w:rFonts w:ascii="Arial" w:hAnsi="Arial" w:cs="Arial"/>
          <w:color w:val="FF0000"/>
        </w:rPr>
        <w:t>dalteparin</w:t>
      </w:r>
      <w:proofErr w:type="spellEnd"/>
      <w:proofErr w:type="gramEnd"/>
      <w:r w:rsidRPr="006A509B">
        <w:rPr>
          <w:rFonts w:ascii="Arial" w:hAnsi="Arial" w:cs="Arial"/>
          <w:color w:val="FF0000"/>
        </w:rPr>
        <w:t xml:space="preserve"> sodium 5000 unit per 0.2 mL solution for injection syringe</w:t>
      </w:r>
    </w:p>
    <w:p w:rsidR="006A509B" w:rsidRPr="006A509B" w:rsidRDefault="006A509B" w:rsidP="006A509B">
      <w:pPr>
        <w:ind w:left="720"/>
        <w:rPr>
          <w:rFonts w:ascii="Arial" w:hAnsi="Arial" w:cs="Arial"/>
          <w:color w:val="FF0000"/>
        </w:rPr>
      </w:pPr>
      <w:proofErr w:type="gramStart"/>
      <w:r w:rsidRPr="006A509B">
        <w:rPr>
          <w:rFonts w:ascii="Arial" w:hAnsi="Arial" w:cs="Arial"/>
          <w:color w:val="FF0000"/>
        </w:rPr>
        <w:t>furosemide</w:t>
      </w:r>
      <w:proofErr w:type="gramEnd"/>
      <w:r w:rsidRPr="006A509B">
        <w:rPr>
          <w:rFonts w:ascii="Arial" w:hAnsi="Arial" w:cs="Arial"/>
          <w:color w:val="FF0000"/>
        </w:rPr>
        <w:t xml:space="preserve"> 40 mg per 4 mL solution for injection syringe</w:t>
      </w:r>
    </w:p>
    <w:p w:rsidR="006A509B" w:rsidRPr="006A509B" w:rsidRDefault="006A509B" w:rsidP="006A509B">
      <w:pPr>
        <w:ind w:left="720"/>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Auto-injectors</w:t>
      </w:r>
    </w:p>
    <w:p w:rsidR="006A509B" w:rsidRPr="006A509B" w:rsidRDefault="006A509B" w:rsidP="006A509B">
      <w:pPr>
        <w:rPr>
          <w:rFonts w:ascii="Arial" w:hAnsi="Arial" w:cs="Arial"/>
          <w:color w:val="FF0000"/>
        </w:rPr>
      </w:pPr>
      <w:r w:rsidRPr="006A509B">
        <w:rPr>
          <w:rFonts w:ascii="Arial" w:hAnsi="Arial" w:cs="Arial"/>
          <w:color w:val="FF0000"/>
        </w:rPr>
        <w:t>An auto-injector is a spring-loaded syringe which administers the medication from a (pre-filled) syringe without the need for a person to push the needle into the patient to the required depth, since the spring does this automatically.  An auto-injector product is therefore likely to have a unit of presentation of “syringe”.</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proofErr w:type="spellStart"/>
      <w:proofErr w:type="gramStart"/>
      <w:r w:rsidRPr="006A509B">
        <w:rPr>
          <w:rFonts w:ascii="Arial" w:hAnsi="Arial" w:cs="Arial"/>
          <w:color w:val="FF0000"/>
        </w:rPr>
        <w:t>sumatriptan</w:t>
      </w:r>
      <w:proofErr w:type="spellEnd"/>
      <w:proofErr w:type="gramEnd"/>
      <w:r w:rsidRPr="006A509B">
        <w:rPr>
          <w:rFonts w:ascii="Arial" w:hAnsi="Arial" w:cs="Arial"/>
          <w:color w:val="FF0000"/>
        </w:rPr>
        <w:t xml:space="preserve"> (</w:t>
      </w:r>
      <w:proofErr w:type="spellStart"/>
      <w:r w:rsidRPr="006A509B">
        <w:rPr>
          <w:rFonts w:ascii="Arial" w:hAnsi="Arial" w:cs="Arial"/>
          <w:color w:val="FF0000"/>
        </w:rPr>
        <w:t>sumatriptan</w:t>
      </w:r>
      <w:proofErr w:type="spellEnd"/>
      <w:r w:rsidRPr="006A509B">
        <w:rPr>
          <w:rFonts w:ascii="Arial" w:hAnsi="Arial" w:cs="Arial"/>
          <w:color w:val="FF0000"/>
        </w:rPr>
        <w:t xml:space="preserve"> succinate) 6 mg per 0.5 mL solution for injection syringe</w:t>
      </w:r>
    </w:p>
    <w:p w:rsidR="006A509B" w:rsidRPr="006A509B" w:rsidRDefault="006A509B" w:rsidP="006A509B">
      <w:pPr>
        <w:rPr>
          <w:rFonts w:ascii="Arial" w:hAnsi="Arial" w:cs="Arial"/>
          <w:color w:val="FF0000"/>
        </w:rPr>
      </w:pPr>
    </w:p>
    <w:p w:rsidR="006A509B" w:rsidRPr="006A509B" w:rsidRDefault="006A509B" w:rsidP="006A509B">
      <w:pPr>
        <w:pStyle w:val="Heading3"/>
        <w:rPr>
          <w:color w:val="FF0000"/>
        </w:rPr>
      </w:pPr>
      <w:r w:rsidRPr="006A509B">
        <w:rPr>
          <w:color w:val="FF0000"/>
        </w:rPr>
        <w:t>Pen as a Unit of Presentation</w:t>
      </w:r>
    </w:p>
    <w:p w:rsidR="006A509B" w:rsidRPr="006A509B" w:rsidRDefault="006A509B" w:rsidP="006A509B">
      <w:pPr>
        <w:rPr>
          <w:rFonts w:ascii="Arial" w:hAnsi="Arial" w:cs="Arial"/>
          <w:color w:val="FF0000"/>
        </w:rPr>
      </w:pPr>
      <w:r w:rsidRPr="006A509B">
        <w:rPr>
          <w:rFonts w:ascii="Arial" w:hAnsi="Arial" w:cs="Arial"/>
          <w:color w:val="FF0000"/>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lastRenderedPageBreak/>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7">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6A509B" w:rsidRDefault="006A509B" w:rsidP="006A509B">
      <w:pPr>
        <w:rPr>
          <w:rFonts w:ascii="Arial" w:hAnsi="Arial" w:cs="Arial"/>
          <w:color w:val="FF0000"/>
        </w:rPr>
      </w:pPr>
      <w:r w:rsidRPr="006A509B">
        <w:rPr>
          <w:rFonts w:ascii="Arial" w:hAnsi="Arial" w:cs="Arial"/>
          <w:color w:val="FF0000"/>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6A509B" w:rsidRDefault="006A509B" w:rsidP="006A509B">
      <w:pPr>
        <w:rPr>
          <w:rFonts w:ascii="Arial" w:hAnsi="Arial" w:cs="Arial"/>
          <w:color w:val="FF0000"/>
        </w:rPr>
      </w:pPr>
      <w:r w:rsidRPr="006A509B">
        <w:rPr>
          <w:rFonts w:ascii="Arial" w:hAnsi="Arial" w:cs="Arial"/>
          <w:color w:val="FF0000"/>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“pen”.  When used as a container description, EDQM recommends the term “pre-filled pen” to distinguish the two concepts.</w:t>
      </w:r>
    </w:p>
    <w:p w:rsidR="006A509B" w:rsidRPr="006A509B" w:rsidRDefault="006A509B" w:rsidP="006A509B">
      <w:pPr>
        <w:rPr>
          <w:rFonts w:asciiTheme="majorHAnsi" w:hAnsiTheme="majorHAnsi" w:cs="Arial"/>
          <w:color w:val="FF0000"/>
          <w:sz w:val="22"/>
        </w:rPr>
      </w:pPr>
    </w:p>
    <w:p w:rsidR="006A509B" w:rsidRPr="006A509B" w:rsidRDefault="006A509B" w:rsidP="006A509B">
      <w:pPr>
        <w:rPr>
          <w:rFonts w:asciiTheme="majorHAnsi" w:hAnsiTheme="majorHAnsi" w:cs="Arial"/>
          <w:color w:val="FF0000"/>
          <w:sz w:val="24"/>
        </w:rPr>
      </w:pPr>
      <w:r w:rsidRPr="006A509B">
        <w:rPr>
          <w:rFonts w:asciiTheme="majorHAnsi" w:hAnsiTheme="majorHAnsi" w:cs="Arial"/>
          <w:color w:val="FF0000"/>
          <w:sz w:val="24"/>
        </w:rPr>
        <w:t>Describing strength for products presented in a syringe</w:t>
      </w: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variable dosage</w:t>
      </w:r>
    </w:p>
    <w:p w:rsidR="006A509B" w:rsidRPr="006A509B" w:rsidRDefault="006A509B" w:rsidP="006A509B">
      <w:pPr>
        <w:rPr>
          <w:rFonts w:ascii="Arial" w:hAnsi="Arial" w:cs="Arial"/>
          <w:color w:val="FF0000"/>
        </w:rPr>
      </w:pPr>
      <w:r w:rsidRPr="006A509B">
        <w:rPr>
          <w:rFonts w:ascii="Arial" w:hAnsi="Arial" w:cs="Arial"/>
          <w:color w:val="FF0000"/>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6A509B" w:rsidRDefault="006A509B" w:rsidP="006A509B">
      <w:pPr>
        <w:rPr>
          <w:rFonts w:ascii="Arial" w:hAnsi="Arial" w:cs="Arial"/>
          <w:color w:val="FF0000"/>
        </w:rPr>
      </w:pPr>
      <w:r w:rsidRPr="006A509B">
        <w:rPr>
          <w:rFonts w:ascii="Arial" w:hAnsi="Arial" w:cs="Arial"/>
          <w:color w:val="FF0000"/>
        </w:rPr>
        <w:t>For example:</w:t>
      </w:r>
    </w:p>
    <w:p w:rsidR="006A509B" w:rsidRPr="006A509B" w:rsidRDefault="006A509B" w:rsidP="006A509B">
      <w:pPr>
        <w:ind w:left="720"/>
        <w:rPr>
          <w:rFonts w:ascii="Arial" w:hAnsi="Arial" w:cs="Arial"/>
          <w:color w:val="FF0000"/>
        </w:rPr>
      </w:pPr>
      <w:proofErr w:type="gramStart"/>
      <w:r w:rsidRPr="006A509B">
        <w:rPr>
          <w:rFonts w:ascii="Arial" w:hAnsi="Arial" w:cs="Arial"/>
          <w:color w:val="FF0000"/>
        </w:rPr>
        <w:t>insulin</w:t>
      </w:r>
      <w:proofErr w:type="gramEnd"/>
      <w:r w:rsidRPr="006A509B">
        <w:rPr>
          <w:rFonts w:ascii="Arial" w:hAnsi="Arial" w:cs="Arial"/>
          <w:color w:val="FF0000"/>
        </w:rPr>
        <w:t xml:space="preserve"> </w:t>
      </w:r>
      <w:proofErr w:type="spellStart"/>
      <w:r w:rsidRPr="006A509B">
        <w:rPr>
          <w:rFonts w:ascii="Arial" w:hAnsi="Arial" w:cs="Arial"/>
          <w:color w:val="FF0000"/>
        </w:rPr>
        <w:t>lispro</w:t>
      </w:r>
      <w:proofErr w:type="spellEnd"/>
      <w:r w:rsidRPr="006A509B">
        <w:rPr>
          <w:rFonts w:ascii="Arial" w:hAnsi="Arial" w:cs="Arial"/>
          <w:color w:val="FF0000"/>
        </w:rPr>
        <w:t xml:space="preserve"> 100 unit per mL solution for injection 3 mL pen</w:t>
      </w:r>
    </w:p>
    <w:p w:rsidR="006A509B" w:rsidRPr="006A509B" w:rsidRDefault="006A509B" w:rsidP="006A509B">
      <w:pPr>
        <w:ind w:left="720"/>
        <w:rPr>
          <w:rFonts w:ascii="Arial" w:hAnsi="Arial" w:cs="Arial"/>
          <w:color w:val="FF0000"/>
        </w:rPr>
      </w:pPr>
      <w:proofErr w:type="gramStart"/>
      <w:r w:rsidRPr="006A509B">
        <w:rPr>
          <w:rFonts w:ascii="Arial" w:hAnsi="Arial" w:cs="Arial"/>
          <w:color w:val="FF0000"/>
        </w:rPr>
        <w:t>insulin</w:t>
      </w:r>
      <w:proofErr w:type="gramEnd"/>
      <w:r w:rsidRPr="006A509B">
        <w:rPr>
          <w:rFonts w:ascii="Arial" w:hAnsi="Arial" w:cs="Arial"/>
          <w:color w:val="FF0000"/>
        </w:rPr>
        <w:t xml:space="preserve"> glargine 300 unit per mL solution for injection 1.5 mL pen</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single dosage</w:t>
      </w:r>
    </w:p>
    <w:p w:rsidR="006A509B" w:rsidRPr="006A509B" w:rsidRDefault="006A509B" w:rsidP="006A509B">
      <w:pPr>
        <w:rPr>
          <w:rFonts w:ascii="Arial" w:hAnsi="Arial" w:cs="Arial"/>
          <w:color w:val="FF0000"/>
          <w:u w:val="single"/>
        </w:rPr>
      </w:pPr>
      <w:r w:rsidRPr="006A509B">
        <w:rPr>
          <w:rFonts w:ascii="Arial" w:hAnsi="Arial" w:cs="Arial"/>
          <w:color w:val="FF0000"/>
          <w:u w:val="single"/>
        </w:rPr>
        <w:t>Single use pens</w:t>
      </w:r>
    </w:p>
    <w:p w:rsidR="006A509B" w:rsidRPr="006A509B" w:rsidRDefault="006A509B" w:rsidP="006A509B">
      <w:pPr>
        <w:rPr>
          <w:rFonts w:ascii="Arial" w:hAnsi="Arial" w:cs="Arial"/>
          <w:color w:val="FF0000"/>
        </w:rPr>
      </w:pPr>
      <w:r w:rsidRPr="006A509B">
        <w:rPr>
          <w:rFonts w:ascii="Arial" w:hAnsi="Arial" w:cs="Arial"/>
          <w:color w:val="FF0000"/>
        </w:rPr>
        <w:t>For those pens that are single use, presentation strength is appropriate; for example:</w:t>
      </w:r>
    </w:p>
    <w:p w:rsidR="006A509B" w:rsidRPr="006A509B" w:rsidRDefault="006A509B" w:rsidP="006A509B">
      <w:pPr>
        <w:ind w:left="720"/>
        <w:rPr>
          <w:rFonts w:ascii="Arial" w:hAnsi="Arial" w:cs="Arial"/>
          <w:color w:val="FF0000"/>
        </w:rPr>
      </w:pPr>
      <w:proofErr w:type="gramStart"/>
      <w:r w:rsidRPr="006A509B">
        <w:rPr>
          <w:rFonts w:ascii="Arial" w:hAnsi="Arial" w:cs="Arial"/>
          <w:color w:val="FF0000"/>
        </w:rPr>
        <w:t>adalimumab</w:t>
      </w:r>
      <w:proofErr w:type="gramEnd"/>
      <w:r w:rsidRPr="006A509B">
        <w:rPr>
          <w:rFonts w:ascii="Arial" w:hAnsi="Arial" w:cs="Arial"/>
          <w:color w:val="FF0000"/>
        </w:rPr>
        <w:t xml:space="preserve"> 40 mg per 0.4 mL solution for injection pen</w:t>
      </w:r>
    </w:p>
    <w:p w:rsidR="006A509B" w:rsidRPr="006A509B" w:rsidRDefault="006A509B" w:rsidP="006A509B">
      <w:pPr>
        <w:ind w:left="720"/>
        <w:rPr>
          <w:rFonts w:ascii="Arial" w:hAnsi="Arial" w:cs="Arial"/>
          <w:color w:val="FF0000"/>
        </w:rPr>
      </w:pPr>
      <w:proofErr w:type="spellStart"/>
      <w:proofErr w:type="gramStart"/>
      <w:r w:rsidRPr="006A509B">
        <w:rPr>
          <w:rFonts w:ascii="Arial" w:hAnsi="Arial" w:cs="Arial"/>
          <w:color w:val="FF0000"/>
        </w:rPr>
        <w:t>alirocumab</w:t>
      </w:r>
      <w:proofErr w:type="spellEnd"/>
      <w:proofErr w:type="gramEnd"/>
      <w:r w:rsidRPr="006A509B">
        <w:rPr>
          <w:rFonts w:ascii="Arial" w:hAnsi="Arial" w:cs="Arial"/>
          <w:color w:val="FF0000"/>
        </w:rPr>
        <w:t xml:space="preserve"> 150 mg per 1 mL solution for injection pen</w:t>
      </w:r>
    </w:p>
    <w:p w:rsidR="006A509B" w:rsidRPr="006A509B" w:rsidRDefault="006A509B" w:rsidP="006A509B">
      <w:pPr>
        <w:rPr>
          <w:rFonts w:ascii="Arial" w:hAnsi="Arial" w:cs="Arial"/>
          <w:color w:val="FF0000"/>
          <w:u w:val="single"/>
        </w:rPr>
      </w:pPr>
      <w:r w:rsidRPr="006A509B">
        <w:rPr>
          <w:rFonts w:ascii="Arial" w:hAnsi="Arial" w:cs="Arial"/>
          <w:color w:val="FF0000"/>
          <w:u w:val="single"/>
        </w:rPr>
        <w:t>Multiple</w:t>
      </w:r>
      <w:r w:rsidRPr="006A509B">
        <w:rPr>
          <w:rFonts w:ascii="Arial" w:hAnsi="Arial" w:cs="Arial"/>
          <w:color w:val="FF0000"/>
          <w:u w:val="single"/>
        </w:rPr>
        <w:t xml:space="preserve"> use pens</w:t>
      </w:r>
    </w:p>
    <w:p w:rsidR="00296696" w:rsidRDefault="006A509B" w:rsidP="00296696">
      <w:pPr>
        <w:rPr>
          <w:rFonts w:ascii="Arial" w:hAnsi="Arial" w:cs="Arial"/>
          <w:color w:val="FF0000"/>
        </w:rPr>
      </w:pPr>
      <w:r>
        <w:rPr>
          <w:rFonts w:ascii="Arial" w:hAnsi="Arial" w:cs="Arial"/>
          <w:color w:val="FF0000"/>
        </w:rPr>
        <w:t xml:space="preserve">By having a fixed dosage amount, these pens are </w:t>
      </w:r>
      <w:r>
        <w:rPr>
          <w:rFonts w:ascii="Arial" w:hAnsi="Arial" w:cs="Arial"/>
          <w:color w:val="FF0000"/>
        </w:rPr>
        <w:t xml:space="preserve">equivalent </w:t>
      </w:r>
      <w:r>
        <w:rPr>
          <w:rFonts w:ascii="Arial" w:hAnsi="Arial" w:cs="Arial"/>
          <w:color w:val="FF0000"/>
        </w:rPr>
        <w:t>products that have a</w:t>
      </w:r>
      <w:r>
        <w:rPr>
          <w:rFonts w:ascii="Arial" w:hAnsi="Arial" w:cs="Arial"/>
          <w:color w:val="FF0000"/>
        </w:rPr>
        <w:t xml:space="preserve"> metered dose delivery that “bounds” the presentation of the product to the patient</w:t>
      </w:r>
      <w:r>
        <w:rPr>
          <w:rFonts w:ascii="Arial" w:hAnsi="Arial" w:cs="Arial"/>
          <w:color w:val="FF0000"/>
        </w:rPr>
        <w:t>, and as such are best described using Strength pattern 1C, with the addition of “pf pen” as this is truly a description of the container added to help the user.</w:t>
      </w:r>
    </w:p>
    <w:p w:rsidR="006A509B" w:rsidRDefault="006A509B" w:rsidP="00296696">
      <w:pPr>
        <w:rPr>
          <w:rFonts w:ascii="Arial" w:hAnsi="Arial" w:cs="Arial"/>
          <w:color w:val="FF0000"/>
        </w:rPr>
      </w:pPr>
      <w:r>
        <w:rPr>
          <w:rFonts w:ascii="Arial" w:hAnsi="Arial" w:cs="Arial"/>
          <w:color w:val="FF0000"/>
        </w:rPr>
        <w:t>For example:</w:t>
      </w:r>
    </w:p>
    <w:p w:rsidR="006A509B" w:rsidRPr="006A509B" w:rsidRDefault="006A509B" w:rsidP="006A509B">
      <w:pPr>
        <w:ind w:left="720"/>
        <w:rPr>
          <w:rFonts w:ascii="Arial" w:hAnsi="Arial" w:cs="Arial"/>
          <w:color w:val="FF0000"/>
        </w:rPr>
      </w:pPr>
      <w:bookmarkStart w:id="1" w:name="_GoBack"/>
      <w:bookmarkEnd w:id="1"/>
      <w:proofErr w:type="spellStart"/>
      <w:proofErr w:type="gramStart"/>
      <w:r w:rsidRPr="006A509B">
        <w:rPr>
          <w:rFonts w:ascii="Arial" w:hAnsi="Arial" w:cs="Arial"/>
          <w:color w:val="FF0000"/>
        </w:rPr>
        <w:t>exenatide</w:t>
      </w:r>
      <w:proofErr w:type="spellEnd"/>
      <w:proofErr w:type="gramEnd"/>
      <w:r w:rsidRPr="006A509B">
        <w:rPr>
          <w:rFonts w:ascii="Arial" w:hAnsi="Arial" w:cs="Arial"/>
          <w:color w:val="FF0000"/>
        </w:rPr>
        <w:t xml:space="preserve"> 5 mcg per actuation solution for injection pf pen</w:t>
      </w:r>
    </w:p>
    <w:p w:rsidR="006A509B" w:rsidRPr="006A509B" w:rsidRDefault="006A509B" w:rsidP="006A509B">
      <w:pPr>
        <w:ind w:left="720"/>
        <w:rPr>
          <w:rFonts w:ascii="Arial" w:hAnsi="Arial" w:cs="Arial"/>
          <w:color w:val="FF0000"/>
        </w:rPr>
      </w:pPr>
      <w:proofErr w:type="spellStart"/>
      <w:proofErr w:type="gramStart"/>
      <w:r w:rsidRPr="006A509B">
        <w:rPr>
          <w:rFonts w:ascii="Arial" w:hAnsi="Arial" w:cs="Arial"/>
          <w:color w:val="FF0000"/>
        </w:rPr>
        <w:t>lixisenatide</w:t>
      </w:r>
      <w:proofErr w:type="spellEnd"/>
      <w:proofErr w:type="gramEnd"/>
      <w:r w:rsidRPr="006A509B">
        <w:rPr>
          <w:rFonts w:ascii="Arial" w:hAnsi="Arial" w:cs="Arial"/>
          <w:color w:val="FF0000"/>
        </w:rPr>
        <w:t xml:space="preserve"> 20 mcg per actuation solution for injection pf pen</w:t>
      </w:r>
    </w:p>
    <w:p w:rsidR="002563AF" w:rsidRDefault="002563AF" w:rsidP="002563AF">
      <w:pPr>
        <w:rPr>
          <w:rFonts w:ascii="Arial" w:hAnsi="Arial" w:cs="Arial"/>
        </w:rPr>
      </w:pPr>
    </w:p>
    <w:p w:rsidR="006A509B" w:rsidRPr="006A509B" w:rsidRDefault="006A509B" w:rsidP="002563AF">
      <w:pPr>
        <w:rPr>
          <w:rFonts w:ascii="Arial" w:hAnsi="Arial" w:cs="Arial"/>
          <w:color w:val="FF0000"/>
        </w:rPr>
      </w:pPr>
      <w:r w:rsidRPr="006A509B">
        <w:rPr>
          <w:rFonts w:ascii="Arial" w:hAnsi="Arial" w:cs="Arial"/>
          <w:color w:val="FF0000"/>
        </w:rPr>
        <w:t>[JMJ 20180724]</w:t>
      </w: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lastRenderedPageBreak/>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lastRenderedPageBreak/>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w:t>
            </w:r>
            <w:proofErr w:type="spellStart"/>
            <w:r w:rsidRPr="002125B9">
              <w:rPr>
                <w:rFonts w:ascii="Arial" w:hAnsi="Arial" w:cs="Arial"/>
              </w:rPr>
              <w:t>Flovent</w:t>
            </w:r>
            <w:proofErr w:type="spellEnd"/>
            <w:r w:rsidRPr="002125B9">
              <w:rPr>
                <w:rFonts w:ascii="Arial" w:hAnsi="Arial" w:cs="Arial"/>
              </w:rPr>
              <w:t xml:space="preserve">,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w:t>
            </w:r>
            <w:proofErr w:type="spellStart"/>
            <w:r w:rsidRPr="002125B9">
              <w:rPr>
                <w:rFonts w:ascii="Arial" w:hAnsi="Arial" w:cs="Arial"/>
              </w:rPr>
              <w:t>Ellipta</w:t>
            </w:r>
            <w:proofErr w:type="spellEnd"/>
            <w:r w:rsidRPr="002125B9">
              <w:rPr>
                <w:rFonts w:ascii="Arial" w:hAnsi="Arial" w:cs="Arial"/>
              </w:rPr>
              <w:t xml:space="preserve">, </w:t>
            </w:r>
            <w:proofErr w:type="spellStart"/>
            <w:r w:rsidRPr="002125B9">
              <w:rPr>
                <w:rFonts w:ascii="Arial" w:hAnsi="Arial" w:cs="Arial"/>
              </w:rPr>
              <w:t>Asmanex</w:t>
            </w:r>
            <w:proofErr w:type="spellEnd"/>
            <w:r w:rsidRPr="002125B9">
              <w:rPr>
                <w:rFonts w:ascii="Arial" w:hAnsi="Arial" w:cs="Arial"/>
              </w:rPr>
              <w:t xml:space="preserve"> </w:t>
            </w:r>
            <w:proofErr w:type="spellStart"/>
            <w:r w:rsidRPr="002125B9">
              <w:rPr>
                <w:rFonts w:ascii="Arial" w:hAnsi="Arial" w:cs="Arial"/>
              </w:rPr>
              <w:t>Twisthaler</w:t>
            </w:r>
            <w:proofErr w:type="spellEnd"/>
            <w:r w:rsidRPr="002125B9">
              <w:rPr>
                <w:rFonts w:ascii="Arial" w:hAnsi="Arial" w:cs="Arial"/>
              </w:rPr>
              <w:t xml:space="preserve">, </w:t>
            </w:r>
            <w:proofErr w:type="spellStart"/>
            <w:r w:rsidRPr="002125B9">
              <w:rPr>
                <w:rFonts w:ascii="Arial" w:hAnsi="Arial" w:cs="Arial"/>
              </w:rPr>
              <w:t>Pulmicort</w:t>
            </w:r>
            <w:proofErr w:type="spellEnd"/>
            <w:r w:rsidRPr="002125B9">
              <w:rPr>
                <w:rFonts w:ascii="Arial" w:hAnsi="Arial" w:cs="Arial"/>
              </w:rPr>
              <w:t xml:space="preserve">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w:t>
            </w:r>
            <w:proofErr w:type="spellStart"/>
            <w:r w:rsidRPr="002125B9">
              <w:rPr>
                <w:rFonts w:ascii="Arial" w:hAnsi="Arial" w:cs="Arial"/>
              </w:rPr>
              <w:t>Serevent</w:t>
            </w:r>
            <w:proofErr w:type="spellEnd"/>
            <w:r w:rsidRPr="002125B9">
              <w:rPr>
                <w:rFonts w:ascii="Arial" w:hAnsi="Arial" w:cs="Arial"/>
              </w:rPr>
              <w:t xml:space="preserve">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w:t>
            </w:r>
            <w:proofErr w:type="spellStart"/>
            <w:r>
              <w:rPr>
                <w:rFonts w:ascii="Arial" w:hAnsi="Arial" w:cs="Arial"/>
              </w:rPr>
              <w:t>Respimat</w:t>
            </w:r>
            <w:proofErr w:type="spellEnd"/>
            <w:r>
              <w:rPr>
                <w:rFonts w:ascii="Arial" w:hAnsi="Arial" w:cs="Arial"/>
              </w:rPr>
              <w:t xml:space="preserve">, Spiriva </w:t>
            </w:r>
            <w:proofErr w:type="spellStart"/>
            <w:r>
              <w:rPr>
                <w:rFonts w:ascii="Arial" w:hAnsi="Arial" w:cs="Arial"/>
              </w:rPr>
              <w:t>Respimat</w:t>
            </w:r>
            <w:proofErr w:type="spellEnd"/>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lastRenderedPageBreak/>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w:t>
      </w:r>
      <w:proofErr w:type="spellStart"/>
      <w:r>
        <w:rPr>
          <w:rFonts w:ascii="Arial" w:hAnsi="Arial"/>
          <w:color w:val="FF3333"/>
        </w:rPr>
        <w:t>isophane</w:t>
      </w:r>
      <w:proofErr w:type="spellEnd"/>
      <w:r>
        <w:rPr>
          <w:rFonts w:ascii="Arial" w:hAnsi="Arial"/>
          <w:color w:val="FF3333"/>
        </w:rPr>
        <w:t xml:space="preserve">, insulin </w:t>
      </w:r>
      <w:proofErr w:type="spellStart"/>
      <w:r>
        <w:rPr>
          <w:rFonts w:ascii="Arial" w:hAnsi="Arial"/>
          <w:color w:val="FF3333"/>
        </w:rPr>
        <w:t>aspart</w:t>
      </w:r>
      <w:proofErr w:type="spellEnd"/>
      <w:r>
        <w:rPr>
          <w:rFonts w:ascii="Arial" w:hAnsi="Arial"/>
          <w:color w:val="FF3333"/>
        </w:rPr>
        <w:t xml:space="preserve">, insulin </w:t>
      </w:r>
      <w:proofErr w:type="spellStart"/>
      <w:r>
        <w:rPr>
          <w:rFonts w:ascii="Arial" w:hAnsi="Arial"/>
          <w:color w:val="FF3333"/>
        </w:rPr>
        <w:t>lispro</w:t>
      </w:r>
      <w:proofErr w:type="spellEnd"/>
      <w:r>
        <w:rPr>
          <w:rFonts w:ascii="Arial" w:hAnsi="Arial"/>
          <w:color w:val="FF3333"/>
        </w:rPr>
        <w:t>). Canadian marketed insulin isophane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51F52"/>
    <w:rsid w:val="005D2B5E"/>
    <w:rsid w:val="00606C61"/>
    <w:rsid w:val="00612A3C"/>
    <w:rsid w:val="00621C5F"/>
    <w:rsid w:val="00656C8C"/>
    <w:rsid w:val="006A509B"/>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mage002.jpg@01D3F0FC.88748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7551</Words>
  <Characters>43041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Glover</cp:lastModifiedBy>
  <cp:revision>4</cp:revision>
  <dcterms:created xsi:type="dcterms:W3CDTF">2018-07-17T13:12:00Z</dcterms:created>
  <dcterms:modified xsi:type="dcterms:W3CDTF">2018-07-24T10:09:00Z</dcterms:modified>
</cp:coreProperties>
</file>