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4A2D4" w14:textId="77777777" w:rsidR="00D116B2" w:rsidRPr="00D116B2" w:rsidRDefault="00D116B2" w:rsidP="006B1567">
      <w:pPr>
        <w:pStyle w:val="CHIBodyCopy"/>
      </w:pPr>
    </w:p>
    <w:p w14:paraId="6CE76033" w14:textId="77777777" w:rsidR="006D61F7" w:rsidRDefault="006D61F7" w:rsidP="006B1567">
      <w:pPr>
        <w:pStyle w:val="CHIBodyCopy"/>
      </w:pPr>
    </w:p>
    <w:p w14:paraId="036285C8" w14:textId="77777777" w:rsidR="00BF5DFC" w:rsidRDefault="00BF5DFC" w:rsidP="006B1567">
      <w:pPr>
        <w:pStyle w:val="CHIBodyCopy"/>
      </w:pPr>
    </w:p>
    <w:p w14:paraId="75B309DE" w14:textId="1D187CB5" w:rsidR="00903E0D" w:rsidRPr="00324720" w:rsidRDefault="00324720" w:rsidP="00324720">
      <w:pPr>
        <w:pStyle w:val="CHIBodyCopy"/>
        <w:jc w:val="right"/>
        <w:rPr>
          <w:b/>
        </w:rPr>
      </w:pPr>
      <w:r w:rsidRPr="00324720">
        <w:rPr>
          <w:b/>
        </w:rPr>
        <w:t>Issue Number: 0</w:t>
      </w:r>
      <w:r w:rsidR="00A40E4B">
        <w:rPr>
          <w:b/>
        </w:rPr>
        <w:t>1</w:t>
      </w:r>
      <w:r w:rsidR="006D74AC">
        <w:rPr>
          <w:b/>
        </w:rPr>
        <w:t>6</w:t>
      </w:r>
      <w:r w:rsidR="006A3CAA">
        <w:rPr>
          <w:b/>
        </w:rPr>
        <w:t xml:space="preserve"> </w:t>
      </w:r>
    </w:p>
    <w:p w14:paraId="708E7D09" w14:textId="3113B46B" w:rsidR="00226036" w:rsidRDefault="00D20ABF" w:rsidP="00226036">
      <w:pPr>
        <w:pStyle w:val="CHIHeader"/>
        <w:rPr>
          <w:sz w:val="32"/>
          <w:szCs w:val="32"/>
          <w:lang w:val="en-GB"/>
        </w:rPr>
      </w:pPr>
      <w:r w:rsidRPr="00D20ABF">
        <w:t>Unit of Presentation</w:t>
      </w:r>
      <w:r>
        <w:t xml:space="preserve"> </w:t>
      </w:r>
      <w:r w:rsidR="007E22C4">
        <w:t>in the Canadian Clinical Drug Data Set</w:t>
      </w:r>
    </w:p>
    <w:p w14:paraId="255FB7FC" w14:textId="77777777" w:rsidR="00226036" w:rsidRDefault="00226036" w:rsidP="00226036"/>
    <w:p w14:paraId="6421FFCF" w14:textId="77777777" w:rsidR="00226036" w:rsidRPr="00226036" w:rsidRDefault="00226036" w:rsidP="00226036">
      <w:pPr>
        <w:pStyle w:val="Heading3"/>
        <w:pBdr>
          <w:top w:val="single" w:sz="4" w:space="1" w:color="auto"/>
          <w:left w:val="single" w:sz="4" w:space="4" w:color="auto"/>
          <w:bottom w:val="single" w:sz="4" w:space="1" w:color="auto"/>
          <w:right w:val="single" w:sz="4" w:space="4" w:color="auto"/>
        </w:pBdr>
        <w:rPr>
          <w:sz w:val="32"/>
        </w:rPr>
      </w:pPr>
      <w:r w:rsidRPr="00226036">
        <w:rPr>
          <w:sz w:val="32"/>
        </w:rPr>
        <w:t>The Issue</w:t>
      </w:r>
    </w:p>
    <w:p w14:paraId="075F8A0F" w14:textId="1C6BC109" w:rsidR="00226036" w:rsidRDefault="00924D4B" w:rsidP="00226036">
      <w:pPr>
        <w:pBdr>
          <w:top w:val="single" w:sz="4" w:space="1" w:color="auto"/>
          <w:left w:val="single" w:sz="4" w:space="4" w:color="auto"/>
          <w:bottom w:val="single" w:sz="4" w:space="1" w:color="auto"/>
          <w:right w:val="single" w:sz="4" w:space="4" w:color="auto"/>
        </w:pBdr>
      </w:pPr>
      <w:r>
        <w:t xml:space="preserve">Not all NTPs </w:t>
      </w:r>
      <w:proofErr w:type="gramStart"/>
      <w:r>
        <w:t>can be uniquely described</w:t>
      </w:r>
      <w:proofErr w:type="gramEnd"/>
      <w:r>
        <w:t xml:space="preserve"> using only substance-(presentation)</w:t>
      </w:r>
      <w:r w:rsidR="00377401">
        <w:t xml:space="preserve"> </w:t>
      </w:r>
      <w:r>
        <w:t>strength set and dosage form; for some products, unit of presentation information is required.</w:t>
      </w:r>
    </w:p>
    <w:p w14:paraId="1FC61B7E" w14:textId="77777777" w:rsidR="00226036" w:rsidRDefault="00226036" w:rsidP="0059758D">
      <w:pPr>
        <w:pStyle w:val="IssuesTemplate"/>
        <w:numPr>
          <w:ilvl w:val="0"/>
          <w:numId w:val="3"/>
        </w:numPr>
      </w:pPr>
      <w:r w:rsidRPr="00226036">
        <w:t>Background Information</w:t>
      </w:r>
    </w:p>
    <w:p w14:paraId="1F0484DC" w14:textId="483C4555" w:rsidR="00833C7C" w:rsidRDefault="00833C7C" w:rsidP="0059758D">
      <w:pPr>
        <w:pStyle w:val="Heading4"/>
        <w:numPr>
          <w:ilvl w:val="1"/>
          <w:numId w:val="8"/>
        </w:numPr>
      </w:pPr>
      <w:r>
        <w:t>NTP supporting model</w:t>
      </w:r>
    </w:p>
    <w:p w14:paraId="24E5993A" w14:textId="6140C258" w:rsidR="002523E0" w:rsidRDefault="006D74AC" w:rsidP="002523E0">
      <w:r w:rsidRPr="006D74AC">
        <w:t xml:space="preserve">In </w:t>
      </w:r>
      <w:r>
        <w:t xml:space="preserve">the </w:t>
      </w:r>
      <w:r w:rsidRPr="006D74AC">
        <w:t>original thoughts for the NTP</w:t>
      </w:r>
      <w:r w:rsidR="006E49B1">
        <w:t>,  the</w:t>
      </w:r>
      <w:r>
        <w:t xml:space="preserve"> </w:t>
      </w:r>
      <w:r w:rsidR="006E49B1">
        <w:t>“</w:t>
      </w:r>
      <w:r w:rsidR="006E49B1" w:rsidRPr="006E49B1">
        <w:t>grouping concept” for use primarily for electronic prescribing without having to specify a manufactured product, we suggested that “unit of presentation” would be needed explicitly for some types of medicinal products (see diagram below)</w:t>
      </w:r>
      <w:r w:rsidR="006E49B1">
        <w:t>.</w:t>
      </w:r>
    </w:p>
    <w:p w14:paraId="3D14A743" w14:textId="77777777" w:rsidR="00834984" w:rsidRDefault="00834984" w:rsidP="002523E0"/>
    <w:p w14:paraId="581417D2" w14:textId="26CE1FE5" w:rsidR="00834984" w:rsidRDefault="00834984" w:rsidP="002523E0">
      <w:r>
        <w:rPr>
          <w:noProof/>
          <w:lang w:val="en-CA" w:eastAsia="en-CA"/>
        </w:rPr>
        <mc:AlternateContent>
          <mc:Choice Requires="wps">
            <w:drawing>
              <wp:inline distT="0" distB="0" distL="0" distR="0" wp14:anchorId="76DA7A17" wp14:editId="1A0140E4">
                <wp:extent cx="2488758" cy="1404620"/>
                <wp:effectExtent l="0" t="0" r="26035" b="260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8758" cy="1404620"/>
                        </a:xfrm>
                        <a:prstGeom prst="rect">
                          <a:avLst/>
                        </a:prstGeom>
                        <a:solidFill>
                          <a:srgbClr val="FFFFFF"/>
                        </a:solidFill>
                        <a:ln w="9525">
                          <a:solidFill>
                            <a:srgbClr val="000000"/>
                          </a:solidFill>
                          <a:miter lim="800000"/>
                          <a:headEnd/>
                          <a:tailEnd/>
                        </a:ln>
                      </wps:spPr>
                      <wps:txbx>
                        <w:txbxContent>
                          <w:p w14:paraId="509C6B8A" w14:textId="0DF4EFF0" w:rsidR="00834984" w:rsidRPr="00833C7C" w:rsidRDefault="00834984" w:rsidP="00834984">
                            <w:r w:rsidRPr="00833C7C">
                              <w:t>An NTP represents the aggregation of a unique set of:</w:t>
                            </w:r>
                          </w:p>
                          <w:p w14:paraId="1BD66E18" w14:textId="77777777" w:rsidR="00834984" w:rsidRPr="00833C7C" w:rsidRDefault="00834984" w:rsidP="0059758D">
                            <w:pPr>
                              <w:pStyle w:val="ListParagraph"/>
                              <w:numPr>
                                <w:ilvl w:val="0"/>
                                <w:numId w:val="4"/>
                              </w:numPr>
                              <w:rPr>
                                <w:rFonts w:ascii="Times New Roman" w:hAnsi="Times New Roman"/>
                                <w:sz w:val="24"/>
                                <w:szCs w:val="24"/>
                              </w:rPr>
                            </w:pPr>
                            <w:r w:rsidRPr="00833C7C">
                              <w:rPr>
                                <w:rFonts w:ascii="Times New Roman" w:hAnsi="Times New Roman"/>
                                <w:sz w:val="24"/>
                                <w:szCs w:val="24"/>
                              </w:rPr>
                              <w:t>dosage form</w:t>
                            </w:r>
                          </w:p>
                          <w:p w14:paraId="0C4A43D9" w14:textId="77777777" w:rsidR="00834984" w:rsidRPr="00833C7C" w:rsidRDefault="00834984" w:rsidP="0059758D">
                            <w:pPr>
                              <w:pStyle w:val="ListParagraph"/>
                              <w:numPr>
                                <w:ilvl w:val="0"/>
                                <w:numId w:val="4"/>
                              </w:numPr>
                              <w:rPr>
                                <w:rFonts w:ascii="Times New Roman" w:hAnsi="Times New Roman"/>
                                <w:sz w:val="24"/>
                                <w:szCs w:val="24"/>
                              </w:rPr>
                            </w:pPr>
                            <w:r w:rsidRPr="00833C7C">
                              <w:rPr>
                                <w:rFonts w:ascii="Times New Roman" w:hAnsi="Times New Roman"/>
                                <w:sz w:val="24"/>
                                <w:szCs w:val="24"/>
                              </w:rPr>
                              <w:t>substance-strength set</w:t>
                            </w:r>
                          </w:p>
                          <w:p w14:paraId="7CC97A31" w14:textId="713AC668" w:rsidR="00834984" w:rsidRPr="00833C7C" w:rsidRDefault="00834984" w:rsidP="0059758D">
                            <w:pPr>
                              <w:pStyle w:val="ListParagraph"/>
                              <w:numPr>
                                <w:ilvl w:val="0"/>
                                <w:numId w:val="4"/>
                              </w:numPr>
                              <w:rPr>
                                <w:rFonts w:ascii="Times New Roman" w:hAnsi="Times New Roman"/>
                                <w:i/>
                                <w:sz w:val="24"/>
                                <w:szCs w:val="24"/>
                              </w:rPr>
                            </w:pPr>
                            <w:r w:rsidRPr="00833C7C">
                              <w:rPr>
                                <w:rFonts w:ascii="Times New Roman" w:hAnsi="Times New Roman"/>
                                <w:i/>
                                <w:sz w:val="24"/>
                                <w:szCs w:val="24"/>
                              </w:rPr>
                              <w:t>unit of presentation (possibly)</w:t>
                            </w:r>
                          </w:p>
                        </w:txbxContent>
                      </wps:txbx>
                      <wps:bodyPr rot="0" vert="horz" wrap="square" lIns="91440" tIns="45720" rIns="91440" bIns="45720" anchor="t" anchorCtr="0">
                        <a:spAutoFit/>
                      </wps:bodyPr>
                    </wps:wsp>
                  </a:graphicData>
                </a:graphic>
              </wp:inline>
            </w:drawing>
          </mc:Choice>
          <mc:Fallback>
            <w:pict>
              <v:shapetype w14:anchorId="76DA7A17" id="_x0000_t202" coordsize="21600,21600" o:spt="202" path="m,l,21600r21600,l21600,xe">
                <v:stroke joinstyle="miter"/>
                <v:path gradientshapeok="t" o:connecttype="rect"/>
              </v:shapetype>
              <v:shape id="Text Box 2" o:spid="_x0000_s1026" type="#_x0000_t202" style="width:195.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">
                <v:textbox style="mso-fit-shape-to-text:t">
                  <w:txbxContent>
                    <w:p w14:paraId="509C6B8A" w14:textId="0DF4EFF0" w:rsidR="00834984" w:rsidRPr="00833C7C" w:rsidRDefault="00834984" w:rsidP="00834984">
                      <w:r w:rsidRPr="00833C7C">
                        <w:t>An NTP represents the aggregation of a unique set of:</w:t>
                      </w:r>
                    </w:p>
                    <w:p w14:paraId="1BD66E18" w14:textId="77777777" w:rsidR="00834984" w:rsidRPr="00833C7C" w:rsidRDefault="00834984" w:rsidP="0059758D">
                      <w:pPr>
                        <w:pStyle w:val="ListParagraph"/>
                        <w:numPr>
                          <w:ilvl w:val="0"/>
                          <w:numId w:val="4"/>
                        </w:numPr>
                        <w:rPr>
                          <w:rFonts w:ascii="Times New Roman" w:hAnsi="Times New Roman"/>
                          <w:sz w:val="24"/>
                          <w:szCs w:val="24"/>
                        </w:rPr>
                      </w:pPr>
                      <w:r w:rsidRPr="00833C7C">
                        <w:rPr>
                          <w:rFonts w:ascii="Times New Roman" w:hAnsi="Times New Roman"/>
                          <w:sz w:val="24"/>
                          <w:szCs w:val="24"/>
                        </w:rPr>
                        <w:t>dosage form</w:t>
                      </w:r>
                    </w:p>
                    <w:p w14:paraId="0C4A43D9" w14:textId="77777777" w:rsidR="00834984" w:rsidRPr="00833C7C" w:rsidRDefault="00834984" w:rsidP="0059758D">
                      <w:pPr>
                        <w:pStyle w:val="ListParagraph"/>
                        <w:numPr>
                          <w:ilvl w:val="0"/>
                          <w:numId w:val="4"/>
                        </w:numPr>
                        <w:rPr>
                          <w:rFonts w:ascii="Times New Roman" w:hAnsi="Times New Roman"/>
                          <w:sz w:val="24"/>
                          <w:szCs w:val="24"/>
                        </w:rPr>
                      </w:pPr>
                      <w:r w:rsidRPr="00833C7C">
                        <w:rPr>
                          <w:rFonts w:ascii="Times New Roman" w:hAnsi="Times New Roman"/>
                          <w:sz w:val="24"/>
                          <w:szCs w:val="24"/>
                        </w:rPr>
                        <w:t>substance-strength set</w:t>
                      </w:r>
                    </w:p>
                    <w:p w14:paraId="7CC97A31" w14:textId="713AC668" w:rsidR="00834984" w:rsidRPr="00833C7C" w:rsidRDefault="00834984" w:rsidP="0059758D">
                      <w:pPr>
                        <w:pStyle w:val="ListParagraph"/>
                        <w:numPr>
                          <w:ilvl w:val="0"/>
                          <w:numId w:val="4"/>
                        </w:numPr>
                        <w:rPr>
                          <w:rFonts w:ascii="Times New Roman" w:hAnsi="Times New Roman"/>
                          <w:i/>
                          <w:sz w:val="24"/>
                          <w:szCs w:val="24"/>
                        </w:rPr>
                      </w:pPr>
                      <w:r w:rsidRPr="00833C7C">
                        <w:rPr>
                          <w:rFonts w:ascii="Times New Roman" w:hAnsi="Times New Roman"/>
                          <w:i/>
                          <w:sz w:val="24"/>
                          <w:szCs w:val="24"/>
                        </w:rPr>
                        <w:t>unit of presentation (possibly)</w:t>
                      </w:r>
                    </w:p>
                  </w:txbxContent>
                </v:textbox>
                <w10:anchorlock/>
              </v:shape>
            </w:pict>
          </mc:Fallback>
        </mc:AlternateContent>
      </w:r>
      <w:r w:rsidRPr="00834984">
        <w:rPr>
          <w:noProof/>
          <w:lang w:val="en-CA" w:eastAsia="en-CA"/>
        </w:rPr>
        <w:drawing>
          <wp:inline distT="0" distB="0" distL="0" distR="0" wp14:anchorId="402BAE16" wp14:editId="178524EB">
            <wp:extent cx="3943847" cy="29036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461" cy="2909255"/>
                    </a:xfrm>
                    <a:prstGeom prst="rect">
                      <a:avLst/>
                    </a:prstGeom>
                    <a:noFill/>
                    <a:ln>
                      <a:noFill/>
                    </a:ln>
                  </pic:spPr>
                </pic:pic>
              </a:graphicData>
            </a:graphic>
          </wp:inline>
        </w:drawing>
      </w:r>
    </w:p>
    <w:p w14:paraId="4EF7194E" w14:textId="77777777" w:rsidR="00833C7C" w:rsidRDefault="00833C7C" w:rsidP="00834984"/>
    <w:p w14:paraId="1E295828" w14:textId="2CEE47A4" w:rsidR="00B06831" w:rsidRDefault="00834984" w:rsidP="00834984">
      <w:r w:rsidRPr="00834984">
        <w:t xml:space="preserve">The products needing </w:t>
      </w:r>
      <w:r w:rsidR="00833C7C">
        <w:t>unit of presentation</w:t>
      </w:r>
      <w:r w:rsidRPr="00834984">
        <w:t xml:space="preserve"> are the products that are presented in a “continuous phase” dosage form (liquids and semi-solids) as opposed to those presented in a “discrete solid” dosage form </w:t>
      </w:r>
      <w:r w:rsidRPr="00834984">
        <w:lastRenderedPageBreak/>
        <w:t>(tablets, capsules, dry powder vials (as the manufactured dosage form prior to any transformation).  This is because products presented in a continuous phase must have their strength represented as a concentration ratio, with the denominator usually an SI unit (e.g</w:t>
      </w:r>
      <w:r>
        <w:t>.</w:t>
      </w:r>
      <w:r w:rsidRPr="00834984">
        <w:t xml:space="preserve"> “25 mg per 2 mL”, or for the semi-solids, this is converted to a percentage, “</w:t>
      </w:r>
      <w:proofErr w:type="gramStart"/>
      <w:r w:rsidRPr="00834984">
        <w:t>2.5%</w:t>
      </w:r>
      <w:proofErr w:type="gramEnd"/>
      <w:r w:rsidRPr="00834984">
        <w:t xml:space="preserve">”).  In contrast the discrete solid dosage forms express their strength as the amount per unit of presentation, and since the unit of presentation is so closely related to the dosage form, it is not restated (e.g. 500 mg </w:t>
      </w:r>
      <w:r w:rsidRPr="00834984">
        <w:rPr>
          <w:b/>
        </w:rPr>
        <w:t>per tablet</w:t>
      </w:r>
      <w:r w:rsidRPr="00834984">
        <w:t xml:space="preserve"> for a clotrimazole vaginal tablet presentation).</w:t>
      </w:r>
    </w:p>
    <w:p w14:paraId="0A888E92" w14:textId="77777777" w:rsidR="00834984" w:rsidRDefault="00834984" w:rsidP="00834984"/>
    <w:p w14:paraId="32FE33B4" w14:textId="77777777" w:rsidR="00834984" w:rsidRPr="00834984" w:rsidRDefault="00834984" w:rsidP="00834984">
      <w:pPr>
        <w:pBdr>
          <w:top w:val="single" w:sz="4" w:space="1" w:color="auto"/>
          <w:left w:val="single" w:sz="4" w:space="4" w:color="auto"/>
          <w:bottom w:val="single" w:sz="4" w:space="1" w:color="auto"/>
          <w:right w:val="single" w:sz="4" w:space="4" w:color="auto"/>
        </w:pBdr>
      </w:pPr>
      <w:r w:rsidRPr="00834984">
        <w:t>Unit of presentation in the Identification of Medicinal Products (IDMP’s) 11615 is defined as “a qualitative term describing the discrete countable entity in which a pharmaceutical product or manufactured item is presented, in cases where strength of quantity is expressed referring to one instance of this countable entity”.</w:t>
      </w:r>
    </w:p>
    <w:p w14:paraId="5D123F8E" w14:textId="77777777" w:rsidR="00834984" w:rsidRPr="00834984" w:rsidRDefault="00834984" w:rsidP="00834984"/>
    <w:p w14:paraId="49074332" w14:textId="259D5732" w:rsidR="00834984" w:rsidRDefault="00834984" w:rsidP="00834984">
      <w:r w:rsidRPr="00834984">
        <w:t>In the discussion at the time, the Advisory Group felt that including the unit of presentation in the NTP was probably not necessary, and given the time constraints it was removed from the working model.</w:t>
      </w:r>
      <w:r>
        <w:t xml:space="preserve">  </w:t>
      </w:r>
      <w:r w:rsidRPr="00834984">
        <w:t xml:space="preserve">In order to circumvent the problems this might cause, the expression of strength for the affected product groups in the Canadian Clinical Drug Data Set (CCDD) has been to explicitly use presentation strength.  This “manages” the problem for the vast majority of products, especially when coupled with providing separate Manufactured Product (MP) codes for products currently identified with a single DIN and described in DPD using concentration strength.   </w:t>
      </w:r>
    </w:p>
    <w:p w14:paraId="413E96E6" w14:textId="77777777" w:rsidR="00833C7C" w:rsidRDefault="00833C7C" w:rsidP="00834984"/>
    <w:p w14:paraId="15FD29B5" w14:textId="3FCEADDF" w:rsidR="00833C7C" w:rsidRDefault="00833C7C" w:rsidP="0059758D">
      <w:pPr>
        <w:pStyle w:val="Heading4"/>
        <w:numPr>
          <w:ilvl w:val="1"/>
          <w:numId w:val="8"/>
        </w:numPr>
      </w:pPr>
      <w:r>
        <w:t>Problem concepts</w:t>
      </w:r>
    </w:p>
    <w:p w14:paraId="72F74B79" w14:textId="2398449E" w:rsidR="00834984" w:rsidRDefault="00834984" w:rsidP="00834984">
      <w:r>
        <w:t>Unfortunately, using presentation strength alone</w:t>
      </w:r>
      <w:r w:rsidRPr="00834984">
        <w:t xml:space="preserve"> cannot differentiate between different units of presentation when the presentation strength is the same.  </w:t>
      </w:r>
      <w:r>
        <w:t>An example (admittedly unlik</w:t>
      </w:r>
      <w:r w:rsidRPr="00834984">
        <w:t>ely t</w:t>
      </w:r>
      <w:r>
        <w:t>o be prescribed in primary care) is amiodarone injection</w:t>
      </w:r>
      <w:r w:rsidRPr="00834984">
        <w:t>:</w:t>
      </w:r>
    </w:p>
    <w:p w14:paraId="238D3159" w14:textId="77777777" w:rsidR="00834984" w:rsidRPr="00834984" w:rsidRDefault="00834984" w:rsidP="00834984"/>
    <w:p w14:paraId="141756AC" w14:textId="77777777" w:rsidR="00834984" w:rsidRPr="00834984" w:rsidRDefault="00834984" w:rsidP="0059758D">
      <w:pPr>
        <w:pStyle w:val="ListParagraph"/>
        <w:numPr>
          <w:ilvl w:val="0"/>
          <w:numId w:val="5"/>
        </w:numPr>
        <w:spacing w:after="0" w:line="240" w:lineRule="auto"/>
        <w:rPr>
          <w:rFonts w:ascii="Times New Roman" w:eastAsia="Times New Roman" w:hAnsi="Times New Roman"/>
          <w:sz w:val="24"/>
          <w:szCs w:val="24"/>
          <w:lang w:val="en-US"/>
        </w:rPr>
      </w:pPr>
      <w:r w:rsidRPr="00834984">
        <w:rPr>
          <w:rFonts w:ascii="Times New Roman" w:eastAsia="Times New Roman" w:hAnsi="Times New Roman"/>
          <w:sz w:val="24"/>
          <w:szCs w:val="24"/>
          <w:lang w:val="en-US"/>
        </w:rPr>
        <w:t xml:space="preserve">amiodarone hydrochloride 150 mg per 3 mL solution for injection </w:t>
      </w:r>
      <w:r w:rsidRPr="00834984">
        <w:rPr>
          <w:rFonts w:ascii="Times New Roman" w:eastAsia="Times New Roman" w:hAnsi="Times New Roman"/>
          <w:b/>
          <w:sz w:val="24"/>
          <w:szCs w:val="24"/>
          <w:lang w:val="en-US"/>
        </w:rPr>
        <w:t>vial</w:t>
      </w:r>
    </w:p>
    <w:p w14:paraId="5E64C5BF" w14:textId="77777777" w:rsidR="00834984" w:rsidRPr="00834984" w:rsidRDefault="00834984" w:rsidP="0059758D">
      <w:pPr>
        <w:pStyle w:val="ListParagraph"/>
        <w:numPr>
          <w:ilvl w:val="0"/>
          <w:numId w:val="5"/>
        </w:numPr>
        <w:spacing w:after="0" w:line="240" w:lineRule="auto"/>
        <w:rPr>
          <w:rFonts w:ascii="Times New Roman" w:eastAsia="Times New Roman" w:hAnsi="Times New Roman"/>
          <w:sz w:val="24"/>
          <w:szCs w:val="24"/>
          <w:lang w:val="en-US"/>
        </w:rPr>
      </w:pPr>
      <w:r w:rsidRPr="00834984">
        <w:rPr>
          <w:rFonts w:ascii="Times New Roman" w:eastAsia="Times New Roman" w:hAnsi="Times New Roman"/>
          <w:sz w:val="24"/>
          <w:szCs w:val="24"/>
          <w:lang w:val="en-US"/>
        </w:rPr>
        <w:t xml:space="preserve">amiodarone hydrochloride 150 mg per 3 mL solution for injection </w:t>
      </w:r>
      <w:r w:rsidRPr="00834984">
        <w:rPr>
          <w:rFonts w:ascii="Times New Roman" w:eastAsia="Times New Roman" w:hAnsi="Times New Roman"/>
          <w:b/>
          <w:sz w:val="24"/>
          <w:szCs w:val="24"/>
          <w:lang w:val="en-US"/>
        </w:rPr>
        <w:t>pre-filled syringe</w:t>
      </w:r>
    </w:p>
    <w:p w14:paraId="7AAAF5E6" w14:textId="77777777" w:rsidR="00834984" w:rsidRDefault="00834984" w:rsidP="00834984"/>
    <w:p w14:paraId="1946ECC4" w14:textId="6BD96F5F" w:rsidR="00834984" w:rsidRDefault="00834984" w:rsidP="00834984">
      <w:r w:rsidRPr="00833C7C">
        <w:t>BUT the CCDD is encountering problems where two products with the same presentation strength have different units of presentation, which is important for prescribers to know, because they need to select the correct one.</w:t>
      </w:r>
      <w:r>
        <w:rPr>
          <w:rFonts w:asciiTheme="minorHAnsi" w:hAnsiTheme="minorHAnsi"/>
        </w:rPr>
        <w:t xml:space="preserve">  </w:t>
      </w:r>
      <w:r w:rsidRPr="00833C7C">
        <w:t xml:space="preserve">The classic </w:t>
      </w:r>
      <w:r w:rsidR="00833C7C">
        <w:t>example here is the insulins where the presentation strength cannot be used</w:t>
      </w:r>
      <w:r w:rsidRPr="00833C7C">
        <w:t xml:space="preserve">; it must be 100 unit per 1 mL to be clinically safe and </w:t>
      </w:r>
      <w:r w:rsidR="00833C7C" w:rsidRPr="00833C7C">
        <w:t>recognizable</w:t>
      </w:r>
      <w:r w:rsidRPr="00833C7C">
        <w:t>.</w:t>
      </w:r>
    </w:p>
    <w:p w14:paraId="6ACED018" w14:textId="77777777" w:rsidR="00833C7C" w:rsidRPr="00833C7C" w:rsidRDefault="00833C7C" w:rsidP="00834984"/>
    <w:p w14:paraId="50F5DA97" w14:textId="1C952838" w:rsidR="00834984" w:rsidRPr="00833C7C" w:rsidRDefault="00833C7C" w:rsidP="00834984">
      <w:r w:rsidRPr="00833C7C">
        <w:t>For example, the CCDD</w:t>
      </w:r>
      <w:r w:rsidR="00834984" w:rsidRPr="00833C7C">
        <w:t xml:space="preserve"> need</w:t>
      </w:r>
      <w:r w:rsidRPr="00833C7C">
        <w:t>s</w:t>
      </w:r>
      <w:r w:rsidR="00834984" w:rsidRPr="00833C7C">
        <w:t xml:space="preserve"> Non-proprietary Therapeutic Products (NTPs) for LANTUS and BASAGLAR products that separate</w:t>
      </w:r>
      <w:r>
        <w:t>:</w:t>
      </w:r>
    </w:p>
    <w:p w14:paraId="02CFC653" w14:textId="77777777" w:rsidR="00834984" w:rsidRPr="00833C7C" w:rsidRDefault="00834984" w:rsidP="0059758D">
      <w:pPr>
        <w:pStyle w:val="ListParagraph"/>
        <w:numPr>
          <w:ilvl w:val="0"/>
          <w:numId w:val="6"/>
        </w:numPr>
        <w:spacing w:after="0" w:line="240" w:lineRule="auto"/>
        <w:rPr>
          <w:rFonts w:ascii="Times New Roman" w:eastAsia="Times New Roman" w:hAnsi="Times New Roman"/>
          <w:sz w:val="24"/>
          <w:szCs w:val="24"/>
          <w:lang w:val="en-US"/>
        </w:rPr>
      </w:pPr>
      <w:r w:rsidRPr="00833C7C">
        <w:rPr>
          <w:rFonts w:ascii="Times New Roman" w:eastAsia="Times New Roman" w:hAnsi="Times New Roman"/>
          <w:sz w:val="24"/>
          <w:szCs w:val="24"/>
          <w:lang w:val="en-US"/>
        </w:rPr>
        <w:t xml:space="preserve">insulin glargine 100 unit per 1 mL solution for injection </w:t>
      </w:r>
      <w:r w:rsidRPr="00833C7C">
        <w:rPr>
          <w:rFonts w:ascii="Times New Roman" w:eastAsia="Times New Roman" w:hAnsi="Times New Roman"/>
          <w:b/>
          <w:sz w:val="24"/>
          <w:szCs w:val="24"/>
          <w:lang w:val="en-US"/>
        </w:rPr>
        <w:t>3 mL cartridge</w:t>
      </w:r>
    </w:p>
    <w:p w14:paraId="77F80E1A" w14:textId="77777777" w:rsidR="00834984" w:rsidRPr="00833C7C" w:rsidRDefault="00834984" w:rsidP="0059758D">
      <w:pPr>
        <w:pStyle w:val="ListParagraph"/>
        <w:numPr>
          <w:ilvl w:val="0"/>
          <w:numId w:val="6"/>
        </w:numPr>
        <w:spacing w:after="0" w:line="240" w:lineRule="auto"/>
        <w:rPr>
          <w:rFonts w:ascii="Times New Roman" w:eastAsia="Times New Roman" w:hAnsi="Times New Roman"/>
          <w:sz w:val="24"/>
          <w:szCs w:val="24"/>
          <w:lang w:val="en-US"/>
        </w:rPr>
      </w:pPr>
      <w:r w:rsidRPr="00833C7C">
        <w:rPr>
          <w:rFonts w:ascii="Times New Roman" w:eastAsia="Times New Roman" w:hAnsi="Times New Roman"/>
          <w:sz w:val="24"/>
          <w:szCs w:val="24"/>
          <w:lang w:val="en-US"/>
        </w:rPr>
        <w:t xml:space="preserve">insulin glargine 100 unit per 1 mL solution for injection </w:t>
      </w:r>
      <w:r w:rsidRPr="00833C7C">
        <w:rPr>
          <w:rFonts w:ascii="Times New Roman" w:eastAsia="Times New Roman" w:hAnsi="Times New Roman"/>
          <w:b/>
          <w:sz w:val="24"/>
          <w:szCs w:val="24"/>
          <w:lang w:val="en-US"/>
        </w:rPr>
        <w:t>3 mL prefilled pen</w:t>
      </w:r>
    </w:p>
    <w:p w14:paraId="0242053F" w14:textId="77777777" w:rsidR="00834984" w:rsidRDefault="00834984" w:rsidP="0059758D">
      <w:pPr>
        <w:pStyle w:val="ListParagraph"/>
        <w:numPr>
          <w:ilvl w:val="0"/>
          <w:numId w:val="6"/>
        </w:numPr>
        <w:spacing w:after="0" w:line="240" w:lineRule="auto"/>
        <w:rPr>
          <w:rFonts w:asciiTheme="minorHAnsi" w:hAnsiTheme="minorHAnsi"/>
        </w:rPr>
      </w:pPr>
      <w:r w:rsidRPr="00833C7C">
        <w:rPr>
          <w:rFonts w:ascii="Times New Roman" w:eastAsia="Times New Roman" w:hAnsi="Times New Roman"/>
          <w:sz w:val="24"/>
          <w:szCs w:val="24"/>
          <w:lang w:val="en-US"/>
        </w:rPr>
        <w:t xml:space="preserve">insulin glargine 100 unit per 1 mL solution for injection </w:t>
      </w:r>
      <w:r w:rsidRPr="00833C7C">
        <w:rPr>
          <w:rFonts w:ascii="Times New Roman" w:eastAsia="Times New Roman" w:hAnsi="Times New Roman"/>
          <w:b/>
          <w:sz w:val="24"/>
          <w:szCs w:val="24"/>
          <w:lang w:val="en-US"/>
        </w:rPr>
        <w:t>10 mL vial</w:t>
      </w:r>
    </w:p>
    <w:p w14:paraId="3A60FE5F" w14:textId="77777777" w:rsidR="00833C7C" w:rsidRDefault="00833C7C" w:rsidP="00834984"/>
    <w:p w14:paraId="39CFE76D" w14:textId="7295F4C0" w:rsidR="00834984" w:rsidRPr="00833C7C" w:rsidRDefault="00834984" w:rsidP="00834984">
      <w:proofErr w:type="gramStart"/>
      <w:r w:rsidRPr="00833C7C">
        <w:t>and</w:t>
      </w:r>
      <w:proofErr w:type="gramEnd"/>
      <w:r w:rsidRPr="00833C7C">
        <w:t xml:space="preserve"> there is also a TOUJEO product whose NTP </w:t>
      </w:r>
      <w:r w:rsidR="00833C7C">
        <w:t>should be</w:t>
      </w:r>
    </w:p>
    <w:p w14:paraId="77EE1A83" w14:textId="77777777" w:rsidR="00834984" w:rsidRPr="00833C7C" w:rsidRDefault="00834984" w:rsidP="0059758D">
      <w:pPr>
        <w:pStyle w:val="ListParagraph"/>
        <w:numPr>
          <w:ilvl w:val="0"/>
          <w:numId w:val="7"/>
        </w:numPr>
        <w:spacing w:after="0" w:line="240" w:lineRule="auto"/>
        <w:rPr>
          <w:rFonts w:ascii="Times New Roman" w:hAnsi="Times New Roman"/>
        </w:rPr>
      </w:pPr>
      <w:r w:rsidRPr="00833C7C">
        <w:rPr>
          <w:rFonts w:ascii="Times New Roman" w:hAnsi="Times New Roman"/>
        </w:rPr>
        <w:t xml:space="preserve">insulin glargine </w:t>
      </w:r>
      <w:r w:rsidRPr="00833C7C">
        <w:rPr>
          <w:rFonts w:ascii="Times New Roman" w:hAnsi="Times New Roman"/>
          <w:b/>
        </w:rPr>
        <w:t>300 unit per 1 mL</w:t>
      </w:r>
      <w:r w:rsidRPr="00833C7C">
        <w:rPr>
          <w:rFonts w:ascii="Times New Roman" w:hAnsi="Times New Roman"/>
        </w:rPr>
        <w:t xml:space="preserve"> solution for injection </w:t>
      </w:r>
      <w:r w:rsidRPr="00833C7C">
        <w:rPr>
          <w:rFonts w:ascii="Times New Roman" w:hAnsi="Times New Roman"/>
          <w:b/>
        </w:rPr>
        <w:t>1.5 mL prefilled pen</w:t>
      </w:r>
    </w:p>
    <w:p w14:paraId="047C033D" w14:textId="77777777" w:rsidR="00834984" w:rsidRPr="00E01C30" w:rsidRDefault="00834984" w:rsidP="00834984">
      <w:pPr>
        <w:rPr>
          <w:rFonts w:asciiTheme="minorHAnsi" w:hAnsiTheme="minorHAnsi"/>
        </w:rPr>
      </w:pPr>
    </w:p>
    <w:p w14:paraId="2494E127" w14:textId="4F7646BD" w:rsidR="00834984" w:rsidRPr="00833C7C" w:rsidRDefault="00833C7C" w:rsidP="00834984">
      <w:r w:rsidRPr="00833C7C">
        <w:t xml:space="preserve">Providing unique and clinically </w:t>
      </w:r>
      <w:proofErr w:type="spellStart"/>
      <w:r w:rsidRPr="00833C7C">
        <w:t>recognisable</w:t>
      </w:r>
      <w:proofErr w:type="spellEnd"/>
      <w:r w:rsidRPr="00833C7C">
        <w:t xml:space="preserve"> NTP concepts for</w:t>
      </w:r>
      <w:r w:rsidR="00834984" w:rsidRPr="00833C7C">
        <w:t xml:space="preserve"> testosterone gel </w:t>
      </w:r>
      <w:r w:rsidR="00834984" w:rsidRPr="00833C7C">
        <w:rPr>
          <w:i/>
        </w:rPr>
        <w:t>can</w:t>
      </w:r>
      <w:r w:rsidR="00834984" w:rsidRPr="00833C7C">
        <w:t xml:space="preserve"> be overcome</w:t>
      </w:r>
      <w:r>
        <w:t xml:space="preserve"> by using presentation strength:</w:t>
      </w:r>
    </w:p>
    <w:p w14:paraId="7E8E4C29" w14:textId="77777777" w:rsidR="00834984" w:rsidRPr="00833C7C" w:rsidRDefault="00834984" w:rsidP="0059758D">
      <w:pPr>
        <w:pStyle w:val="ListParagraph"/>
        <w:numPr>
          <w:ilvl w:val="0"/>
          <w:numId w:val="7"/>
        </w:numPr>
        <w:spacing w:after="0" w:line="240" w:lineRule="auto"/>
        <w:rPr>
          <w:rFonts w:ascii="Times New Roman" w:hAnsi="Times New Roman"/>
          <w:sz w:val="24"/>
        </w:rPr>
      </w:pPr>
      <w:r w:rsidRPr="00833C7C">
        <w:rPr>
          <w:rFonts w:ascii="Times New Roman" w:hAnsi="Times New Roman"/>
          <w:sz w:val="24"/>
        </w:rPr>
        <w:t>testosterone 25 mg per 2.5 g cutaneous gel</w:t>
      </w:r>
    </w:p>
    <w:p w14:paraId="340CCD89" w14:textId="77777777" w:rsidR="00834984" w:rsidRPr="00833C7C" w:rsidRDefault="00834984" w:rsidP="0059758D">
      <w:pPr>
        <w:pStyle w:val="ListParagraph"/>
        <w:numPr>
          <w:ilvl w:val="0"/>
          <w:numId w:val="7"/>
        </w:numPr>
        <w:spacing w:after="0" w:line="240" w:lineRule="auto"/>
        <w:rPr>
          <w:rFonts w:ascii="Times New Roman" w:hAnsi="Times New Roman"/>
          <w:sz w:val="24"/>
        </w:rPr>
      </w:pPr>
      <w:r w:rsidRPr="00833C7C">
        <w:rPr>
          <w:rFonts w:ascii="Times New Roman" w:hAnsi="Times New Roman"/>
          <w:sz w:val="24"/>
        </w:rPr>
        <w:lastRenderedPageBreak/>
        <w:t>testosterone 50 mg per 5 g cutaneous gel</w:t>
      </w:r>
    </w:p>
    <w:p w14:paraId="6A35D85C" w14:textId="77777777" w:rsidR="00834984" w:rsidRPr="00833C7C" w:rsidRDefault="00834984" w:rsidP="0059758D">
      <w:pPr>
        <w:pStyle w:val="ListParagraph"/>
        <w:numPr>
          <w:ilvl w:val="0"/>
          <w:numId w:val="7"/>
        </w:numPr>
        <w:spacing w:after="0" w:line="240" w:lineRule="auto"/>
        <w:rPr>
          <w:rFonts w:ascii="Times New Roman" w:hAnsi="Times New Roman"/>
          <w:sz w:val="24"/>
        </w:rPr>
      </w:pPr>
      <w:r w:rsidRPr="00833C7C">
        <w:rPr>
          <w:rFonts w:ascii="Times New Roman" w:hAnsi="Times New Roman"/>
          <w:sz w:val="24"/>
        </w:rPr>
        <w:t>testosterone 12.5 mg per actuation cutaneous gel (is OK anyway, because is a metered dose presentation, so strength is per actuation)</w:t>
      </w:r>
    </w:p>
    <w:p w14:paraId="2EBA283A" w14:textId="2AEE738E" w:rsidR="00834984" w:rsidRPr="00833C7C" w:rsidRDefault="00834984" w:rsidP="00834984">
      <w:r w:rsidRPr="00833C7C">
        <w:t xml:space="preserve">But, this </w:t>
      </w:r>
      <w:r w:rsidR="00833C7C">
        <w:t>does not show</w:t>
      </w:r>
      <w:r w:rsidRPr="00833C7C">
        <w:t xml:space="preserve"> that the first two products are individual sachets unless the unit of presentation </w:t>
      </w:r>
      <w:r w:rsidR="00833C7C">
        <w:t xml:space="preserve">is also provided </w:t>
      </w:r>
      <w:r w:rsidRPr="00833C7C">
        <w:t>(</w:t>
      </w:r>
      <w:r w:rsidR="00833C7C">
        <w:t xml:space="preserve">similar to </w:t>
      </w:r>
      <w:r w:rsidRPr="00833C7C">
        <w:t xml:space="preserve">the amiodarone example).  If </w:t>
      </w:r>
      <w:r w:rsidR="00833C7C">
        <w:t xml:space="preserve">the description of </w:t>
      </w:r>
      <w:r w:rsidRPr="00833C7C">
        <w:t>strength</w:t>
      </w:r>
      <w:r w:rsidR="00833C7C">
        <w:t xml:space="preserve"> is given </w:t>
      </w:r>
      <w:r w:rsidRPr="00833C7C">
        <w:t xml:space="preserve">as </w:t>
      </w:r>
      <w:r w:rsidR="00833C7C">
        <w:t xml:space="preserve">is normal for </w:t>
      </w:r>
      <w:r w:rsidRPr="00833C7C">
        <w:t xml:space="preserve">most semi-solid dosage forms (i.e. as a percentage), then </w:t>
      </w:r>
      <w:r w:rsidR="00833C7C">
        <w:t>“</w:t>
      </w:r>
      <w:r w:rsidRPr="00833C7C">
        <w:t>the insulin problem</w:t>
      </w:r>
      <w:r w:rsidR="00833C7C">
        <w:t>” arises; the need to indicate the amount present in the unit of presentation</w:t>
      </w:r>
    </w:p>
    <w:p w14:paraId="36A5F4A4" w14:textId="77777777" w:rsidR="00834984" w:rsidRPr="00833C7C" w:rsidRDefault="00834984" w:rsidP="0059758D">
      <w:pPr>
        <w:pStyle w:val="ListParagraph"/>
        <w:numPr>
          <w:ilvl w:val="0"/>
          <w:numId w:val="7"/>
        </w:numPr>
        <w:spacing w:after="0" w:line="240" w:lineRule="auto"/>
        <w:rPr>
          <w:rFonts w:ascii="Times New Roman" w:hAnsi="Times New Roman"/>
          <w:sz w:val="24"/>
        </w:rPr>
      </w:pPr>
      <w:r w:rsidRPr="00833C7C">
        <w:rPr>
          <w:rFonts w:ascii="Times New Roman" w:hAnsi="Times New Roman"/>
          <w:sz w:val="24"/>
        </w:rPr>
        <w:t>testosterone 1% cutaneous gel 2.5g sachet</w:t>
      </w:r>
    </w:p>
    <w:p w14:paraId="17A6FA91" w14:textId="77777777" w:rsidR="00834984" w:rsidRDefault="00834984" w:rsidP="0059758D">
      <w:pPr>
        <w:pStyle w:val="ListParagraph"/>
        <w:numPr>
          <w:ilvl w:val="0"/>
          <w:numId w:val="7"/>
        </w:numPr>
        <w:spacing w:after="0" w:line="240" w:lineRule="auto"/>
        <w:rPr>
          <w:rFonts w:ascii="Times New Roman" w:hAnsi="Times New Roman"/>
          <w:sz w:val="24"/>
        </w:rPr>
      </w:pPr>
      <w:r w:rsidRPr="00833C7C">
        <w:rPr>
          <w:rFonts w:ascii="Times New Roman" w:hAnsi="Times New Roman"/>
          <w:sz w:val="24"/>
        </w:rPr>
        <w:t>testosterone 1%cutaneous gel 5g sachet</w:t>
      </w:r>
    </w:p>
    <w:p w14:paraId="31E7170F" w14:textId="77777777" w:rsidR="00833C7C" w:rsidRDefault="00833C7C" w:rsidP="00833C7C"/>
    <w:p w14:paraId="00A0855D" w14:textId="77777777" w:rsidR="00833C7C" w:rsidRDefault="00833C7C" w:rsidP="0059758D">
      <w:pPr>
        <w:pStyle w:val="Heading4"/>
        <w:numPr>
          <w:ilvl w:val="1"/>
          <w:numId w:val="8"/>
        </w:numPr>
      </w:pPr>
      <w:r>
        <w:t>Data sources</w:t>
      </w:r>
    </w:p>
    <w:p w14:paraId="2928EA99" w14:textId="1C24B9B9" w:rsidR="00833C7C" w:rsidRPr="00833C7C" w:rsidRDefault="00833C7C" w:rsidP="00833C7C">
      <w:r w:rsidRPr="00833C7C">
        <w:t xml:space="preserve">Unit of presentation information is not easily accessible in the DPD, especially not in a machine-processable format.    </w:t>
      </w:r>
    </w:p>
    <w:p w14:paraId="21BCB0B3" w14:textId="77777777" w:rsidR="00833C7C" w:rsidRDefault="00833C7C" w:rsidP="00833C7C">
      <w:pPr>
        <w:rPr>
          <w:rFonts w:asciiTheme="minorHAnsi" w:hAnsiTheme="minorHAnsi"/>
        </w:rPr>
      </w:pPr>
    </w:p>
    <w:p w14:paraId="5ED37C15" w14:textId="7A7F2367" w:rsidR="00833C7C" w:rsidRPr="00195B85" w:rsidRDefault="00833C7C" w:rsidP="00833C7C">
      <w:r w:rsidRPr="00195B85">
        <w:t>For the Top 250</w:t>
      </w:r>
      <w:r w:rsidR="00195B85" w:rsidRPr="00195B85">
        <w:t xml:space="preserve"> moieties for the initial delivery of the CCDD</w:t>
      </w:r>
      <w:r w:rsidRPr="00195B85">
        <w:t xml:space="preserve">, most of the data </w:t>
      </w:r>
      <w:r w:rsidR="00195B85" w:rsidRPr="00195B85">
        <w:t xml:space="preserve">required is available as </w:t>
      </w:r>
      <w:r w:rsidRPr="00195B85">
        <w:t xml:space="preserve">a result of collecting it </w:t>
      </w:r>
      <w:r w:rsidR="00195B85" w:rsidRPr="00195B85">
        <w:t>during</w:t>
      </w:r>
      <w:r w:rsidRPr="00195B85">
        <w:t xml:space="preserve"> </w:t>
      </w:r>
      <w:r w:rsidR="00195B85" w:rsidRPr="00195B85">
        <w:t>an initial</w:t>
      </w:r>
      <w:r w:rsidRPr="00195B85">
        <w:t xml:space="preserve"> QA process</w:t>
      </w:r>
      <w:r w:rsidR="00195B85" w:rsidRPr="00195B85">
        <w:t xml:space="preserve">.  </w:t>
      </w:r>
      <w:r w:rsidRPr="00195B85">
        <w:t xml:space="preserve">, </w:t>
      </w:r>
      <w:r w:rsidR="00195B85" w:rsidRPr="00195B85">
        <w:t>The</w:t>
      </w:r>
      <w:r w:rsidRPr="00195B85">
        <w:t xml:space="preserve"> data was sourced </w:t>
      </w:r>
      <w:r w:rsidR="00195B85" w:rsidRPr="00195B85">
        <w:t>primarily from the product m</w:t>
      </w:r>
      <w:r w:rsidRPr="00195B85">
        <w:t xml:space="preserve">onographs.  There </w:t>
      </w:r>
      <w:r w:rsidR="00195B85" w:rsidRPr="00195B85">
        <w:t xml:space="preserve">may be </w:t>
      </w:r>
      <w:r w:rsidRPr="00195B85">
        <w:t xml:space="preserve">other sources within Health Canada (e.g. the labelling files).  </w:t>
      </w:r>
    </w:p>
    <w:p w14:paraId="724C2AE6" w14:textId="77777777" w:rsidR="00833C7C" w:rsidRDefault="00833C7C" w:rsidP="00833C7C">
      <w:pPr>
        <w:rPr>
          <w:rFonts w:asciiTheme="minorHAnsi" w:hAnsiTheme="minorHAnsi"/>
        </w:rPr>
      </w:pPr>
    </w:p>
    <w:p w14:paraId="6F16A60C" w14:textId="489FB34A" w:rsidR="00833C7C" w:rsidRPr="00195B85" w:rsidRDefault="00833C7C" w:rsidP="00833C7C">
      <w:r w:rsidRPr="00195B85">
        <w:t>In the long term, this data will be provided by the manufacturers to the regulatory agency in a structured manner as core part of IDMP (</w:t>
      </w:r>
      <w:r w:rsidR="00195B85">
        <w:t xml:space="preserve">ISO </w:t>
      </w:r>
      <w:r w:rsidRPr="00195B85">
        <w:t>11615).  It will therefore be available to be used directly into the CCDD auto-generation process.</w:t>
      </w:r>
    </w:p>
    <w:p w14:paraId="52ED1B29" w14:textId="77777777" w:rsidR="00833C7C" w:rsidRDefault="00833C7C" w:rsidP="00833C7C">
      <w:pPr>
        <w:rPr>
          <w:rFonts w:asciiTheme="minorHAnsi" w:hAnsiTheme="minorHAnsi"/>
        </w:rPr>
      </w:pPr>
    </w:p>
    <w:p w14:paraId="1E49939E" w14:textId="56B1604C" w:rsidR="00195B85" w:rsidRPr="00195B85" w:rsidRDefault="00833C7C" w:rsidP="00833C7C">
      <w:r w:rsidRPr="00195B85">
        <w:t xml:space="preserve">For the interim, as CCDD content expands beyond the Top 250 to include more products (especially hospital products) affected by these issue, </w:t>
      </w:r>
      <w:r w:rsidR="00195B85" w:rsidRPr="00195B85">
        <w:t xml:space="preserve">it is accepted that </w:t>
      </w:r>
      <w:r w:rsidRPr="00195B85">
        <w:t xml:space="preserve">sourcing this data </w:t>
      </w:r>
      <w:r w:rsidR="00195B85" w:rsidRPr="00195B85">
        <w:t>may be</w:t>
      </w:r>
      <w:r w:rsidRPr="00195B85">
        <w:t xml:space="preserve"> challenge.  </w:t>
      </w:r>
    </w:p>
    <w:p w14:paraId="28D035EC" w14:textId="77777777" w:rsidR="00195B85" w:rsidRDefault="00195B85" w:rsidP="00833C7C">
      <w:pPr>
        <w:rPr>
          <w:rFonts w:asciiTheme="minorHAnsi" w:hAnsiTheme="minorHAnsi"/>
        </w:rPr>
      </w:pPr>
    </w:p>
    <w:p w14:paraId="5103249D" w14:textId="77777777" w:rsidR="00833C7C" w:rsidRPr="00833C7C" w:rsidRDefault="00833C7C" w:rsidP="00833C7C"/>
    <w:p w14:paraId="795452EC" w14:textId="77777777" w:rsidR="00834984" w:rsidRPr="00834984" w:rsidRDefault="00834984" w:rsidP="00834984"/>
    <w:p w14:paraId="7F29BB41" w14:textId="17054924" w:rsidR="009D3204" w:rsidRPr="00226036" w:rsidRDefault="00072E41" w:rsidP="0059758D">
      <w:pPr>
        <w:pStyle w:val="Heading3"/>
        <w:numPr>
          <w:ilvl w:val="0"/>
          <w:numId w:val="3"/>
        </w:numPr>
        <w:rPr>
          <w:i/>
          <w:sz w:val="32"/>
        </w:rPr>
      </w:pPr>
      <w:r w:rsidRPr="00072E41">
        <w:rPr>
          <w:i/>
          <w:sz w:val="32"/>
        </w:rPr>
        <w:t>Proposed actions and Options for resolution</w:t>
      </w:r>
    </w:p>
    <w:p w14:paraId="1736A9DB" w14:textId="59BC21AA" w:rsidR="00B06831" w:rsidRPr="00B06831" w:rsidRDefault="00B06831" w:rsidP="00B06831"/>
    <w:p w14:paraId="0E19836C" w14:textId="1B8600B2" w:rsidR="00501AEF" w:rsidRDefault="00195B85" w:rsidP="0059758D">
      <w:pPr>
        <w:pStyle w:val="Heading4"/>
        <w:numPr>
          <w:ilvl w:val="1"/>
          <w:numId w:val="9"/>
        </w:numPr>
      </w:pPr>
      <w:r>
        <w:t>Do nothing</w:t>
      </w:r>
    </w:p>
    <w:p w14:paraId="3DB10B3E" w14:textId="23E5A007" w:rsidR="005B1F27" w:rsidRPr="00195B85" w:rsidRDefault="00195B85" w:rsidP="00195B85">
      <w:r w:rsidRPr="00195B85">
        <w:t>This is not really an option, as the CCDD must have unambiguous NTP formal name descriptions for concepts such as the insulin glargine products above (which have different DINs) so that they can be accurately mapped and the CCDD can function as the interchange terminology to underpinning PrescribeIT.</w:t>
      </w:r>
    </w:p>
    <w:p w14:paraId="56B20566" w14:textId="47B4C046" w:rsidR="006D74AC" w:rsidRDefault="006D74AC" w:rsidP="005B1F27">
      <w:pPr>
        <w:spacing w:line="259" w:lineRule="auto"/>
        <w:rPr>
          <w:rFonts w:eastAsia="Calibri"/>
          <w:sz w:val="22"/>
          <w:szCs w:val="22"/>
          <w:lang w:val="en-GB"/>
        </w:rPr>
      </w:pPr>
    </w:p>
    <w:p w14:paraId="46C1EEAF" w14:textId="77777777" w:rsidR="00924FC2" w:rsidRPr="00924FC2" w:rsidRDefault="00924FC2" w:rsidP="00924FC2">
      <w:pPr>
        <w:pStyle w:val="Heading4"/>
        <w:numPr>
          <w:ilvl w:val="1"/>
          <w:numId w:val="9"/>
        </w:numPr>
      </w:pPr>
      <w:r w:rsidRPr="00924FC2">
        <w:t>Add additional information related to unit of presentation to the descriptions for those products that need it (e.g. “pseudo-DINs”)</w:t>
      </w:r>
    </w:p>
    <w:p w14:paraId="0BE7FC18" w14:textId="18EE9C26" w:rsidR="00B82C13" w:rsidRPr="00072E41" w:rsidRDefault="00B82C13" w:rsidP="00924FC2">
      <w:pPr>
        <w:pStyle w:val="Heading4"/>
        <w:ind w:left="360"/>
      </w:pPr>
    </w:p>
    <w:p w14:paraId="791A3A35" w14:textId="6F0FC52B" w:rsidR="00924FC2" w:rsidRDefault="00924FC2" w:rsidP="00924FC2">
      <w:pPr>
        <w:pStyle w:val="Heading4"/>
        <w:numPr>
          <w:ilvl w:val="2"/>
          <w:numId w:val="9"/>
        </w:numPr>
      </w:pPr>
      <w:r>
        <w:t>Manual Exceptions</w:t>
      </w:r>
    </w:p>
    <w:p w14:paraId="0DEBDEDA" w14:textId="23045AC0" w:rsidR="005B1F27" w:rsidRDefault="00195B85" w:rsidP="00072E41">
      <w:r w:rsidRPr="00195B85">
        <w:t xml:space="preserve">Do manual exceptions for the insulins in the Top 250 only; manage the testosterones using presentation strength and ignore about the amiodarone issue, at least initially.   This </w:t>
      </w:r>
      <w:r>
        <w:t>could be an</w:t>
      </w:r>
      <w:r w:rsidRPr="00195B85">
        <w:t xml:space="preserve"> option for the September delivery (insulins are key prescribable products in primary care and </w:t>
      </w:r>
      <w:r>
        <w:t>must be properly described</w:t>
      </w:r>
      <w:r w:rsidRPr="00195B85">
        <w:t>) but this is not viable going forward</w:t>
      </w:r>
      <w:r w:rsidR="00072E41">
        <w:t>.</w:t>
      </w:r>
    </w:p>
    <w:p w14:paraId="513066D3" w14:textId="77777777" w:rsidR="00C64009" w:rsidRPr="00C64009" w:rsidRDefault="00C64009" w:rsidP="00C64009"/>
    <w:p w14:paraId="6C1A4439" w14:textId="799E1B73" w:rsidR="003A0F84" w:rsidRPr="003A0F84" w:rsidRDefault="00BC051E" w:rsidP="00924FC2">
      <w:pPr>
        <w:pStyle w:val="Heading4"/>
        <w:numPr>
          <w:ilvl w:val="2"/>
          <w:numId w:val="9"/>
        </w:numPr>
      </w:pPr>
      <w:r>
        <w:t xml:space="preserve">Repurpose the DPD Packaging Table to provide machine processable data </w:t>
      </w:r>
    </w:p>
    <w:p w14:paraId="384E103C" w14:textId="5137DDF5" w:rsidR="0041286C" w:rsidRDefault="00787950" w:rsidP="00072E41">
      <w:r>
        <w:t>Currently, the DPD Packaging Table has only a very small amount of data, which has not been maintained (30-40 rows of data out of 16405 possible rows)</w:t>
      </w:r>
      <w:r w:rsidR="0041286C">
        <w:t>.</w:t>
      </w:r>
      <w:r>
        <w:t xml:space="preserve">  But it has a set of structured fields that could be used to store unit of presentation data in a way that would allow it to be used in the NTP generation process and provide the NTPs needed.  These fields could be repurposed as follows:</w:t>
      </w:r>
    </w:p>
    <w:p w14:paraId="3B57C64A" w14:textId="77777777" w:rsidR="00787950" w:rsidRDefault="00787950" w:rsidP="00072E41"/>
    <w:p w14:paraId="545D932C" w14:textId="3706BE77" w:rsidR="00787950" w:rsidRDefault="00787950" w:rsidP="0059758D">
      <w:pPr>
        <w:pStyle w:val="ListParagraph"/>
        <w:numPr>
          <w:ilvl w:val="0"/>
          <w:numId w:val="10"/>
        </w:numPr>
        <w:spacing w:after="0" w:line="240" w:lineRule="auto"/>
        <w:rPr>
          <w:rFonts w:ascii="Times New Roman" w:hAnsi="Times New Roman"/>
          <w:sz w:val="24"/>
        </w:rPr>
      </w:pPr>
      <w:r>
        <w:rPr>
          <w:rFonts w:ascii="Times New Roman" w:hAnsi="Times New Roman"/>
          <w:sz w:val="24"/>
        </w:rPr>
        <w:t>The u</w:t>
      </w:r>
      <w:r w:rsidRPr="00787950">
        <w:rPr>
          <w:rFonts w:ascii="Times New Roman" w:hAnsi="Times New Roman"/>
          <w:sz w:val="24"/>
        </w:rPr>
        <w:t xml:space="preserve">nit of presentation </w:t>
      </w:r>
      <w:r>
        <w:rPr>
          <w:rFonts w:ascii="Times New Roman" w:hAnsi="Times New Roman"/>
          <w:sz w:val="24"/>
        </w:rPr>
        <w:t xml:space="preserve">could be stored </w:t>
      </w:r>
      <w:r w:rsidRPr="00787950">
        <w:rPr>
          <w:rFonts w:ascii="Times New Roman" w:hAnsi="Times New Roman"/>
          <w:sz w:val="24"/>
        </w:rPr>
        <w:t xml:space="preserve">in the </w:t>
      </w:r>
      <w:proofErr w:type="spellStart"/>
      <w:r w:rsidRPr="00787950">
        <w:rPr>
          <w:rFonts w:ascii="Times New Roman" w:hAnsi="Times New Roman"/>
          <w:sz w:val="24"/>
        </w:rPr>
        <w:t>Package_Type</w:t>
      </w:r>
      <w:proofErr w:type="spellEnd"/>
      <w:r w:rsidRPr="00787950">
        <w:rPr>
          <w:rFonts w:ascii="Times New Roman" w:hAnsi="Times New Roman"/>
          <w:sz w:val="24"/>
        </w:rPr>
        <w:t xml:space="preserve"> field</w:t>
      </w:r>
    </w:p>
    <w:p w14:paraId="3E39D4EB" w14:textId="7D3D79E4" w:rsidR="00787950" w:rsidRPr="00787950" w:rsidRDefault="00787950" w:rsidP="0059758D">
      <w:pPr>
        <w:pStyle w:val="ListParagraph"/>
        <w:numPr>
          <w:ilvl w:val="1"/>
          <w:numId w:val="10"/>
        </w:numPr>
        <w:spacing w:after="0" w:line="240" w:lineRule="auto"/>
        <w:rPr>
          <w:rFonts w:ascii="Times New Roman" w:hAnsi="Times New Roman"/>
          <w:sz w:val="24"/>
        </w:rPr>
      </w:pPr>
      <w:r>
        <w:rPr>
          <w:rFonts w:ascii="Times New Roman" w:hAnsi="Times New Roman"/>
          <w:sz w:val="24"/>
        </w:rPr>
        <w:t xml:space="preserve">Unit of presentation type </w:t>
      </w:r>
      <w:r w:rsidRPr="00787950">
        <w:rPr>
          <w:rFonts w:ascii="Times New Roman" w:hAnsi="Times New Roman"/>
          <w:sz w:val="24"/>
        </w:rPr>
        <w:t>(vial, ampoule, sachet, pre-filled syringe)</w:t>
      </w:r>
      <w:r>
        <w:rPr>
          <w:rFonts w:ascii="Times New Roman" w:hAnsi="Times New Roman"/>
          <w:sz w:val="24"/>
        </w:rPr>
        <w:t xml:space="preserve"> would be a controlled set of terms, drawn from the EDQM unit of presentation terminology</w:t>
      </w:r>
    </w:p>
    <w:p w14:paraId="24E3F419" w14:textId="52AAAB7A" w:rsidR="00787950" w:rsidRPr="00787950" w:rsidRDefault="00787950" w:rsidP="0059758D">
      <w:pPr>
        <w:pStyle w:val="ListParagraph"/>
        <w:numPr>
          <w:ilvl w:val="0"/>
          <w:numId w:val="10"/>
        </w:numPr>
        <w:spacing w:after="0" w:line="240" w:lineRule="auto"/>
        <w:rPr>
          <w:rFonts w:ascii="Times New Roman" w:hAnsi="Times New Roman"/>
          <w:sz w:val="24"/>
        </w:rPr>
      </w:pPr>
      <w:r>
        <w:rPr>
          <w:rFonts w:ascii="Times New Roman" w:hAnsi="Times New Roman"/>
          <w:sz w:val="24"/>
        </w:rPr>
        <w:t>T</w:t>
      </w:r>
      <w:r w:rsidRPr="00787950">
        <w:rPr>
          <w:rFonts w:ascii="Times New Roman" w:hAnsi="Times New Roman"/>
          <w:sz w:val="24"/>
        </w:rPr>
        <w:t>he unit of presentation “</w:t>
      </w:r>
      <w:r>
        <w:rPr>
          <w:rFonts w:ascii="Times New Roman" w:hAnsi="Times New Roman"/>
          <w:sz w:val="24"/>
        </w:rPr>
        <w:t>amount value</w:t>
      </w:r>
      <w:r w:rsidRPr="00787950">
        <w:rPr>
          <w:rFonts w:ascii="Times New Roman" w:hAnsi="Times New Roman"/>
          <w:sz w:val="24"/>
        </w:rPr>
        <w:t xml:space="preserve">” </w:t>
      </w:r>
      <w:r>
        <w:rPr>
          <w:rFonts w:ascii="Times New Roman" w:hAnsi="Times New Roman"/>
          <w:sz w:val="24"/>
        </w:rPr>
        <w:t xml:space="preserve">could be stored </w:t>
      </w:r>
      <w:r w:rsidRPr="00787950">
        <w:rPr>
          <w:rFonts w:ascii="Times New Roman" w:hAnsi="Times New Roman"/>
          <w:sz w:val="24"/>
        </w:rPr>
        <w:t xml:space="preserve">in the </w:t>
      </w:r>
      <w:proofErr w:type="spellStart"/>
      <w:r w:rsidRPr="00787950">
        <w:rPr>
          <w:rFonts w:ascii="Times New Roman" w:hAnsi="Times New Roman"/>
          <w:sz w:val="24"/>
        </w:rPr>
        <w:t>Package_Size</w:t>
      </w:r>
      <w:proofErr w:type="spellEnd"/>
      <w:r w:rsidRPr="00787950">
        <w:rPr>
          <w:rFonts w:ascii="Times New Roman" w:hAnsi="Times New Roman"/>
          <w:sz w:val="24"/>
        </w:rPr>
        <w:t xml:space="preserve"> field (e.g. ‘3’, ‘1.5’, ‘10’) </w:t>
      </w:r>
      <w:r w:rsidRPr="00787950">
        <w:rPr>
          <w:rFonts w:ascii="Times New Roman" w:hAnsi="Times New Roman"/>
          <w:i/>
          <w:sz w:val="24"/>
        </w:rPr>
        <w:t>for only those products like the insulins where presentation strength is not enough</w:t>
      </w:r>
    </w:p>
    <w:p w14:paraId="58183940" w14:textId="049D52E0" w:rsidR="00787950" w:rsidRPr="00787950" w:rsidRDefault="00787950" w:rsidP="0059758D">
      <w:pPr>
        <w:pStyle w:val="ListParagraph"/>
        <w:numPr>
          <w:ilvl w:val="0"/>
          <w:numId w:val="10"/>
        </w:numPr>
        <w:spacing w:after="0" w:line="240" w:lineRule="auto"/>
        <w:rPr>
          <w:rFonts w:ascii="Times New Roman" w:hAnsi="Times New Roman"/>
          <w:sz w:val="24"/>
        </w:rPr>
      </w:pPr>
      <w:r>
        <w:rPr>
          <w:rFonts w:ascii="Times New Roman" w:hAnsi="Times New Roman"/>
          <w:sz w:val="24"/>
        </w:rPr>
        <w:t>T</w:t>
      </w:r>
      <w:r w:rsidRPr="00787950">
        <w:rPr>
          <w:rFonts w:ascii="Times New Roman" w:hAnsi="Times New Roman"/>
          <w:sz w:val="24"/>
        </w:rPr>
        <w:t>he unit of presentation “</w:t>
      </w:r>
      <w:r>
        <w:rPr>
          <w:rFonts w:ascii="Times New Roman" w:hAnsi="Times New Roman"/>
          <w:sz w:val="24"/>
        </w:rPr>
        <w:t>amount</w:t>
      </w:r>
      <w:r w:rsidRPr="00787950">
        <w:rPr>
          <w:rFonts w:ascii="Times New Roman" w:hAnsi="Times New Roman"/>
          <w:sz w:val="24"/>
        </w:rPr>
        <w:t xml:space="preserve"> unit” </w:t>
      </w:r>
      <w:r>
        <w:rPr>
          <w:rFonts w:ascii="Times New Roman" w:hAnsi="Times New Roman"/>
          <w:sz w:val="24"/>
        </w:rPr>
        <w:t xml:space="preserve">could be stored </w:t>
      </w:r>
      <w:r w:rsidRPr="00787950">
        <w:rPr>
          <w:rFonts w:ascii="Times New Roman" w:hAnsi="Times New Roman"/>
          <w:sz w:val="24"/>
        </w:rPr>
        <w:t xml:space="preserve">in the </w:t>
      </w:r>
      <w:proofErr w:type="spellStart"/>
      <w:r w:rsidRPr="00787950">
        <w:rPr>
          <w:rFonts w:ascii="Times New Roman" w:hAnsi="Times New Roman"/>
          <w:sz w:val="24"/>
        </w:rPr>
        <w:t>Package_Size_Unit</w:t>
      </w:r>
      <w:proofErr w:type="spellEnd"/>
      <w:r w:rsidRPr="00787950">
        <w:rPr>
          <w:rFonts w:ascii="Times New Roman" w:hAnsi="Times New Roman"/>
          <w:sz w:val="24"/>
        </w:rPr>
        <w:t xml:space="preserve"> field (e.g. ‘mL’) </w:t>
      </w:r>
      <w:r w:rsidRPr="00787950">
        <w:rPr>
          <w:rFonts w:ascii="Times New Roman" w:hAnsi="Times New Roman"/>
          <w:i/>
          <w:sz w:val="24"/>
        </w:rPr>
        <w:t>for only those products like the insulins where presentation strength is not enough</w:t>
      </w:r>
    </w:p>
    <w:p w14:paraId="345921BF" w14:textId="45EE936E" w:rsidR="00787950" w:rsidRPr="00787950" w:rsidRDefault="00787950" w:rsidP="0059758D">
      <w:pPr>
        <w:pStyle w:val="ListParagraph"/>
        <w:numPr>
          <w:ilvl w:val="0"/>
          <w:numId w:val="10"/>
        </w:numPr>
        <w:spacing w:after="0" w:line="240" w:lineRule="auto"/>
        <w:rPr>
          <w:rFonts w:ascii="Times New Roman" w:hAnsi="Times New Roman"/>
          <w:sz w:val="24"/>
        </w:rPr>
      </w:pPr>
      <w:r>
        <w:rPr>
          <w:rFonts w:ascii="Times New Roman" w:hAnsi="Times New Roman"/>
          <w:sz w:val="24"/>
        </w:rPr>
        <w:t>This</w:t>
      </w:r>
      <w:r w:rsidRPr="00787950">
        <w:rPr>
          <w:rFonts w:ascii="Times New Roman" w:hAnsi="Times New Roman"/>
          <w:sz w:val="24"/>
        </w:rPr>
        <w:t xml:space="preserve"> data </w:t>
      </w:r>
      <w:r>
        <w:rPr>
          <w:rFonts w:ascii="Times New Roman" w:hAnsi="Times New Roman"/>
          <w:sz w:val="24"/>
        </w:rPr>
        <w:t xml:space="preserve">is then available for use </w:t>
      </w:r>
      <w:r w:rsidRPr="00787950">
        <w:rPr>
          <w:rFonts w:ascii="Times New Roman" w:hAnsi="Times New Roman"/>
          <w:sz w:val="24"/>
        </w:rPr>
        <w:t>in the auto-generation of the MPs and the rules for unique NTPs with their formal name</w:t>
      </w:r>
    </w:p>
    <w:p w14:paraId="5A705987" w14:textId="77777777" w:rsidR="00787950" w:rsidRPr="00787950" w:rsidRDefault="00787950" w:rsidP="0059758D">
      <w:pPr>
        <w:pStyle w:val="ListParagraph"/>
        <w:numPr>
          <w:ilvl w:val="1"/>
          <w:numId w:val="10"/>
        </w:numPr>
        <w:spacing w:after="0" w:line="240" w:lineRule="auto"/>
        <w:rPr>
          <w:rFonts w:ascii="Times New Roman" w:hAnsi="Times New Roman"/>
          <w:sz w:val="24"/>
        </w:rPr>
      </w:pPr>
      <w:r w:rsidRPr="00787950">
        <w:rPr>
          <w:rFonts w:ascii="Times New Roman" w:hAnsi="Times New Roman"/>
          <w:sz w:val="24"/>
        </w:rPr>
        <w:t xml:space="preserve">When there is data in the </w:t>
      </w:r>
      <w:proofErr w:type="spellStart"/>
      <w:r w:rsidRPr="00787950">
        <w:rPr>
          <w:rFonts w:ascii="Times New Roman" w:hAnsi="Times New Roman"/>
          <w:sz w:val="24"/>
        </w:rPr>
        <w:t>Package_Size</w:t>
      </w:r>
      <w:proofErr w:type="spellEnd"/>
      <w:r w:rsidRPr="00787950">
        <w:rPr>
          <w:rFonts w:ascii="Times New Roman" w:hAnsi="Times New Roman"/>
          <w:sz w:val="24"/>
        </w:rPr>
        <w:t xml:space="preserve"> field and </w:t>
      </w:r>
      <w:proofErr w:type="spellStart"/>
      <w:r w:rsidRPr="00787950">
        <w:rPr>
          <w:rFonts w:ascii="Times New Roman" w:hAnsi="Times New Roman"/>
          <w:sz w:val="24"/>
        </w:rPr>
        <w:t>Package_Size_Unit</w:t>
      </w:r>
      <w:proofErr w:type="spellEnd"/>
      <w:r w:rsidRPr="00787950">
        <w:rPr>
          <w:rFonts w:ascii="Times New Roman" w:hAnsi="Times New Roman"/>
          <w:sz w:val="24"/>
        </w:rPr>
        <w:t xml:space="preserve"> field, use this to prefix the unit of presentation from the </w:t>
      </w:r>
      <w:proofErr w:type="spellStart"/>
      <w:r w:rsidRPr="00787950">
        <w:rPr>
          <w:rFonts w:ascii="Times New Roman" w:hAnsi="Times New Roman"/>
          <w:sz w:val="24"/>
        </w:rPr>
        <w:t>Package_Type</w:t>
      </w:r>
      <w:proofErr w:type="spellEnd"/>
      <w:r w:rsidRPr="00787950">
        <w:rPr>
          <w:rFonts w:ascii="Times New Roman" w:hAnsi="Times New Roman"/>
          <w:sz w:val="24"/>
        </w:rPr>
        <w:t xml:space="preserve"> field (to give 3 mL pre-filled syringe) then use this to generate unique NTPs and append the information to the currently patterned NTP formal name</w:t>
      </w:r>
    </w:p>
    <w:p w14:paraId="23277247" w14:textId="77777777" w:rsidR="00787950" w:rsidRDefault="00787950" w:rsidP="0059758D">
      <w:pPr>
        <w:pStyle w:val="ListParagraph"/>
        <w:numPr>
          <w:ilvl w:val="1"/>
          <w:numId w:val="10"/>
        </w:numPr>
        <w:spacing w:after="0" w:line="240" w:lineRule="auto"/>
        <w:rPr>
          <w:rFonts w:ascii="Times New Roman" w:hAnsi="Times New Roman"/>
          <w:sz w:val="24"/>
        </w:rPr>
      </w:pPr>
      <w:r w:rsidRPr="00787950">
        <w:rPr>
          <w:rFonts w:ascii="Times New Roman" w:hAnsi="Times New Roman"/>
          <w:sz w:val="24"/>
        </w:rPr>
        <w:t xml:space="preserve">When there is NO data in the </w:t>
      </w:r>
      <w:proofErr w:type="spellStart"/>
      <w:r w:rsidRPr="00787950">
        <w:rPr>
          <w:rFonts w:ascii="Times New Roman" w:hAnsi="Times New Roman"/>
          <w:sz w:val="24"/>
        </w:rPr>
        <w:t>Package_Size</w:t>
      </w:r>
      <w:proofErr w:type="spellEnd"/>
      <w:r w:rsidRPr="00787950">
        <w:rPr>
          <w:rFonts w:ascii="Times New Roman" w:hAnsi="Times New Roman"/>
          <w:sz w:val="24"/>
        </w:rPr>
        <w:t xml:space="preserve"> field and </w:t>
      </w:r>
      <w:proofErr w:type="spellStart"/>
      <w:r w:rsidRPr="00787950">
        <w:rPr>
          <w:rFonts w:ascii="Times New Roman" w:hAnsi="Times New Roman"/>
          <w:sz w:val="24"/>
        </w:rPr>
        <w:t>Package_Size_Unit</w:t>
      </w:r>
      <w:proofErr w:type="spellEnd"/>
      <w:r w:rsidRPr="00787950">
        <w:rPr>
          <w:rFonts w:ascii="Times New Roman" w:hAnsi="Times New Roman"/>
          <w:sz w:val="24"/>
        </w:rPr>
        <w:t xml:space="preserve"> field, use </w:t>
      </w:r>
      <w:r w:rsidRPr="00787950">
        <w:rPr>
          <w:rFonts w:ascii="Times New Roman" w:hAnsi="Times New Roman"/>
          <w:b/>
          <w:sz w:val="24"/>
        </w:rPr>
        <w:t>only</w:t>
      </w:r>
      <w:r w:rsidRPr="00787950">
        <w:rPr>
          <w:rFonts w:ascii="Times New Roman" w:hAnsi="Times New Roman"/>
          <w:sz w:val="24"/>
        </w:rPr>
        <w:t xml:space="preserve"> the unit of presentation from the </w:t>
      </w:r>
      <w:proofErr w:type="spellStart"/>
      <w:r w:rsidRPr="00787950">
        <w:rPr>
          <w:rFonts w:ascii="Times New Roman" w:hAnsi="Times New Roman"/>
          <w:sz w:val="24"/>
        </w:rPr>
        <w:t>Package_Type</w:t>
      </w:r>
      <w:proofErr w:type="spellEnd"/>
      <w:r w:rsidRPr="00787950">
        <w:rPr>
          <w:rFonts w:ascii="Times New Roman" w:hAnsi="Times New Roman"/>
          <w:sz w:val="24"/>
        </w:rPr>
        <w:t xml:space="preserve"> field and use this to generate unique NTPs and append this to the currently patterned NTP formal name</w:t>
      </w:r>
    </w:p>
    <w:p w14:paraId="6C9ACF4E" w14:textId="6EEC2DFB" w:rsidR="00787950" w:rsidRPr="00787950" w:rsidRDefault="00787950" w:rsidP="0059758D">
      <w:pPr>
        <w:pStyle w:val="ListParagraph"/>
        <w:numPr>
          <w:ilvl w:val="1"/>
          <w:numId w:val="10"/>
        </w:numPr>
        <w:spacing w:after="0" w:line="240" w:lineRule="auto"/>
        <w:rPr>
          <w:rFonts w:ascii="Times New Roman" w:hAnsi="Times New Roman"/>
          <w:sz w:val="24"/>
        </w:rPr>
      </w:pPr>
      <w:r>
        <w:rPr>
          <w:rFonts w:ascii="Times New Roman" w:hAnsi="Times New Roman"/>
          <w:sz w:val="24"/>
        </w:rPr>
        <w:t xml:space="preserve">When there is NO data in any field for a product in the </w:t>
      </w:r>
      <w:r w:rsidRPr="00787950">
        <w:rPr>
          <w:rFonts w:ascii="Times New Roman" w:hAnsi="Times New Roman"/>
          <w:sz w:val="24"/>
        </w:rPr>
        <w:t>DPD Packaging Table</w:t>
      </w:r>
      <w:r>
        <w:rPr>
          <w:rFonts w:ascii="Times New Roman" w:hAnsi="Times New Roman"/>
          <w:sz w:val="24"/>
        </w:rPr>
        <w:t>, there is no requirement for explicit unit of presentation information in the MP or NTP</w:t>
      </w:r>
    </w:p>
    <w:p w14:paraId="7036890D" w14:textId="77777777" w:rsidR="00787950" w:rsidRDefault="00787950" w:rsidP="00072E41"/>
    <w:p w14:paraId="0BD98E19" w14:textId="625E96B3" w:rsidR="00787950" w:rsidRPr="00787950" w:rsidRDefault="00787950" w:rsidP="00787950">
      <w:r w:rsidRPr="00787950">
        <w:t xml:space="preserve">Some possible worked examples are shown in the table </w:t>
      </w:r>
      <w:r>
        <w:t>at the end of this document.</w:t>
      </w:r>
    </w:p>
    <w:p w14:paraId="6F16167C" w14:textId="77777777" w:rsidR="00226036" w:rsidRPr="00226036" w:rsidRDefault="00226036" w:rsidP="0059758D">
      <w:pPr>
        <w:pStyle w:val="Heading3"/>
        <w:numPr>
          <w:ilvl w:val="0"/>
          <w:numId w:val="3"/>
        </w:numPr>
        <w:rPr>
          <w:i/>
          <w:sz w:val="32"/>
        </w:rPr>
      </w:pPr>
      <w:r w:rsidRPr="00226036">
        <w:rPr>
          <w:i/>
          <w:sz w:val="32"/>
        </w:rPr>
        <w:t>Recommendation</w:t>
      </w:r>
    </w:p>
    <w:p w14:paraId="3D697714" w14:textId="3B497648" w:rsidR="002F7F1A" w:rsidRPr="00681AAD" w:rsidRDefault="00681AAD" w:rsidP="00226036">
      <w:proofErr w:type="gramStart"/>
      <w:r w:rsidRPr="00681AAD">
        <w:t xml:space="preserve">That </w:t>
      </w:r>
      <w:r w:rsidR="00BC051E">
        <w:t>Option 3</w:t>
      </w:r>
      <w:r w:rsidR="00787950">
        <w:t xml:space="preserve"> (2.</w:t>
      </w:r>
      <w:r w:rsidR="00924FC2">
        <w:t>2.2</w:t>
      </w:r>
      <w:r w:rsidR="00787950">
        <w:t>)</w:t>
      </w:r>
      <w:r w:rsidR="00BC051E">
        <w:t xml:space="preserve"> be pursued</w:t>
      </w:r>
      <w:proofErr w:type="gramEnd"/>
      <w:r w:rsidR="00574C15">
        <w:t>.</w:t>
      </w:r>
    </w:p>
    <w:p w14:paraId="4B64ADD7" w14:textId="77777777" w:rsidR="00226036" w:rsidRPr="00226036" w:rsidRDefault="00226036" w:rsidP="0059758D">
      <w:pPr>
        <w:pStyle w:val="Heading3"/>
        <w:numPr>
          <w:ilvl w:val="0"/>
          <w:numId w:val="3"/>
        </w:numPr>
        <w:rPr>
          <w:i/>
          <w:sz w:val="32"/>
        </w:rPr>
      </w:pPr>
      <w:r w:rsidRPr="00226036">
        <w:rPr>
          <w:i/>
          <w:sz w:val="32"/>
        </w:rPr>
        <w:t>Decision</w:t>
      </w:r>
    </w:p>
    <w:p w14:paraId="24B8E146" w14:textId="6813F0C0" w:rsidR="0073287E" w:rsidRPr="003A1DA7" w:rsidRDefault="00924FC2" w:rsidP="0073287E">
      <w:r>
        <w:t xml:space="preserve">Recommendation approved.  CCDD Editorial Guidelines </w:t>
      </w:r>
      <w:proofErr w:type="gramStart"/>
      <w:r>
        <w:t>will be updated</w:t>
      </w:r>
      <w:proofErr w:type="gramEnd"/>
    </w:p>
    <w:p w14:paraId="44091584" w14:textId="77777777" w:rsidR="00226036" w:rsidRDefault="00226036" w:rsidP="00226036">
      <w:pPr>
        <w:rPr>
          <w:i/>
          <w:color w:val="BFBFBF" w:themeColor="background1" w:themeShade="BF"/>
        </w:rPr>
      </w:pPr>
    </w:p>
    <w:p w14:paraId="2B8B4D49" w14:textId="77777777" w:rsidR="00226036" w:rsidRDefault="00226036" w:rsidP="00226036">
      <w:pPr>
        <w:pStyle w:val="Heading3"/>
        <w:rPr>
          <w:i/>
          <w:sz w:val="32"/>
        </w:rPr>
      </w:pPr>
      <w:r>
        <w:rPr>
          <w:i/>
          <w:sz w:val="32"/>
        </w:rPr>
        <w:t>Document History</w:t>
      </w:r>
    </w:p>
    <w:tbl>
      <w:tblPr>
        <w:tblStyle w:val="TableGrid"/>
        <w:tblW w:w="0" w:type="auto"/>
        <w:tblLook w:val="04A0" w:firstRow="1" w:lastRow="0" w:firstColumn="1" w:lastColumn="0" w:noHBand="0" w:noVBand="1"/>
      </w:tblPr>
      <w:tblGrid>
        <w:gridCol w:w="3424"/>
        <w:gridCol w:w="3386"/>
        <w:gridCol w:w="3404"/>
      </w:tblGrid>
      <w:tr w:rsidR="00226036" w14:paraId="1BBB4B17" w14:textId="77777777" w:rsidTr="00226036">
        <w:tc>
          <w:tcPr>
            <w:tcW w:w="3480" w:type="dxa"/>
          </w:tcPr>
          <w:p w14:paraId="1A20A551" w14:textId="77777777" w:rsidR="00226036" w:rsidRDefault="00226036" w:rsidP="00226036"/>
        </w:tc>
        <w:tc>
          <w:tcPr>
            <w:tcW w:w="3480" w:type="dxa"/>
          </w:tcPr>
          <w:p w14:paraId="7172C5F3" w14:textId="77777777" w:rsidR="00226036" w:rsidRDefault="00226036" w:rsidP="00226036">
            <w:r>
              <w:t>Date</w:t>
            </w:r>
          </w:p>
        </w:tc>
        <w:tc>
          <w:tcPr>
            <w:tcW w:w="3480" w:type="dxa"/>
          </w:tcPr>
          <w:p w14:paraId="5B20FDF3" w14:textId="77777777" w:rsidR="00226036" w:rsidRDefault="00226036" w:rsidP="00226036">
            <w:r>
              <w:t>Comments</w:t>
            </w:r>
          </w:p>
        </w:tc>
      </w:tr>
      <w:tr w:rsidR="00226036" w14:paraId="715E99A8" w14:textId="77777777" w:rsidTr="00226036">
        <w:tc>
          <w:tcPr>
            <w:tcW w:w="3480" w:type="dxa"/>
          </w:tcPr>
          <w:p w14:paraId="7B3C75D6" w14:textId="77777777" w:rsidR="00226036" w:rsidRDefault="00226036" w:rsidP="00226036">
            <w:r>
              <w:t>Issue raised</w:t>
            </w:r>
          </w:p>
        </w:tc>
        <w:tc>
          <w:tcPr>
            <w:tcW w:w="3480" w:type="dxa"/>
          </w:tcPr>
          <w:p w14:paraId="598193B1" w14:textId="7A883487" w:rsidR="00226036" w:rsidRDefault="00C64009" w:rsidP="00C64009">
            <w:r>
              <w:t>10 April 2017</w:t>
            </w:r>
          </w:p>
        </w:tc>
        <w:tc>
          <w:tcPr>
            <w:tcW w:w="3480" w:type="dxa"/>
          </w:tcPr>
          <w:p w14:paraId="5B0BDE5E" w14:textId="0C2A8FD0" w:rsidR="00226036" w:rsidRDefault="00226036" w:rsidP="00A562DC"/>
        </w:tc>
      </w:tr>
      <w:tr w:rsidR="00226036" w14:paraId="66153038" w14:textId="77777777" w:rsidTr="00226036">
        <w:tc>
          <w:tcPr>
            <w:tcW w:w="3480" w:type="dxa"/>
          </w:tcPr>
          <w:p w14:paraId="5539B63E" w14:textId="77777777" w:rsidR="00226036" w:rsidRDefault="00226036" w:rsidP="00226036">
            <w:r>
              <w:t>Issue documented</w:t>
            </w:r>
          </w:p>
        </w:tc>
        <w:tc>
          <w:tcPr>
            <w:tcW w:w="3480" w:type="dxa"/>
          </w:tcPr>
          <w:p w14:paraId="22115E3D" w14:textId="37DCA406" w:rsidR="00226036" w:rsidRDefault="006D74AC" w:rsidP="00C64009">
            <w:r>
              <w:t>22 June</w:t>
            </w:r>
            <w:r w:rsidR="0073287E">
              <w:t xml:space="preserve"> 201</w:t>
            </w:r>
            <w:r w:rsidR="00C64009">
              <w:t>7</w:t>
            </w:r>
          </w:p>
        </w:tc>
        <w:tc>
          <w:tcPr>
            <w:tcW w:w="3480" w:type="dxa"/>
          </w:tcPr>
          <w:p w14:paraId="0F590B5A" w14:textId="2A31D77C" w:rsidR="00226036" w:rsidRDefault="00226036" w:rsidP="00226036"/>
        </w:tc>
      </w:tr>
      <w:tr w:rsidR="00226036" w14:paraId="75E64CC8" w14:textId="77777777" w:rsidTr="00226036">
        <w:tc>
          <w:tcPr>
            <w:tcW w:w="3480" w:type="dxa"/>
          </w:tcPr>
          <w:p w14:paraId="55E7BAD8" w14:textId="77777777" w:rsidR="00226036" w:rsidRDefault="00226036" w:rsidP="00FF7F71">
            <w:r>
              <w:t>Issue document posted/circulated</w:t>
            </w:r>
            <w:r w:rsidR="00FF7F71">
              <w:t xml:space="preserve"> </w:t>
            </w:r>
          </w:p>
        </w:tc>
        <w:tc>
          <w:tcPr>
            <w:tcW w:w="3480" w:type="dxa"/>
          </w:tcPr>
          <w:p w14:paraId="35F7DCE4" w14:textId="3A996DA5" w:rsidR="00226036" w:rsidRDefault="00924FC2" w:rsidP="00107987">
            <w:r>
              <w:t xml:space="preserve">June 27, 2017 </w:t>
            </w:r>
          </w:p>
        </w:tc>
        <w:tc>
          <w:tcPr>
            <w:tcW w:w="3480" w:type="dxa"/>
          </w:tcPr>
          <w:p w14:paraId="00E1EA4D" w14:textId="5FC4993A" w:rsidR="00226036" w:rsidRDefault="00226036" w:rsidP="00226036"/>
        </w:tc>
      </w:tr>
      <w:tr w:rsidR="00226036" w14:paraId="66E6D36D" w14:textId="77777777" w:rsidTr="00226036">
        <w:tc>
          <w:tcPr>
            <w:tcW w:w="3480" w:type="dxa"/>
          </w:tcPr>
          <w:p w14:paraId="1F1C996F" w14:textId="77777777" w:rsidR="00226036" w:rsidRDefault="00226036" w:rsidP="00226036">
            <w:r>
              <w:t>Issue discussed</w:t>
            </w:r>
          </w:p>
        </w:tc>
        <w:tc>
          <w:tcPr>
            <w:tcW w:w="3480" w:type="dxa"/>
          </w:tcPr>
          <w:p w14:paraId="2736F13F" w14:textId="06CDA19B" w:rsidR="00226036" w:rsidRPr="00FF7F71" w:rsidRDefault="00924FC2" w:rsidP="00226036">
            <w:r>
              <w:t>July 18, 2017</w:t>
            </w:r>
          </w:p>
        </w:tc>
        <w:tc>
          <w:tcPr>
            <w:tcW w:w="3480" w:type="dxa"/>
          </w:tcPr>
          <w:p w14:paraId="01D1C107" w14:textId="77777777" w:rsidR="00226036" w:rsidRDefault="00226036" w:rsidP="00226036"/>
        </w:tc>
      </w:tr>
      <w:tr w:rsidR="00226036" w14:paraId="0EE1100F" w14:textId="77777777" w:rsidTr="00226036">
        <w:tc>
          <w:tcPr>
            <w:tcW w:w="3480" w:type="dxa"/>
          </w:tcPr>
          <w:p w14:paraId="4049EB0B" w14:textId="77777777" w:rsidR="00226036" w:rsidRDefault="00226036" w:rsidP="00226036">
            <w:r>
              <w:t>Issue resolved</w:t>
            </w:r>
          </w:p>
        </w:tc>
        <w:tc>
          <w:tcPr>
            <w:tcW w:w="3480" w:type="dxa"/>
          </w:tcPr>
          <w:p w14:paraId="6ECAEBCC" w14:textId="3BF66F53" w:rsidR="00226036" w:rsidRDefault="00924FC2" w:rsidP="00226036">
            <w:r>
              <w:t>July 18, 2017</w:t>
            </w:r>
          </w:p>
        </w:tc>
        <w:tc>
          <w:tcPr>
            <w:tcW w:w="3480" w:type="dxa"/>
          </w:tcPr>
          <w:p w14:paraId="79C4D30A" w14:textId="77777777" w:rsidR="00226036" w:rsidRDefault="00226036" w:rsidP="00226036"/>
        </w:tc>
      </w:tr>
    </w:tbl>
    <w:p w14:paraId="6B31D8CD" w14:textId="77777777" w:rsidR="00226036" w:rsidRPr="00226036" w:rsidRDefault="00226036" w:rsidP="00226036"/>
    <w:p w14:paraId="74338C09" w14:textId="25951AF5" w:rsidR="00924FC2" w:rsidRDefault="00924FC2">
      <w:pPr>
        <w:rPr>
          <w:i/>
          <w:color w:val="BFBFBF" w:themeColor="background1" w:themeShade="BF"/>
        </w:rPr>
      </w:pPr>
      <w:r>
        <w:rPr>
          <w:i/>
          <w:color w:val="BFBFBF" w:themeColor="background1" w:themeShade="BF"/>
        </w:rPr>
        <w:br w:type="page"/>
      </w:r>
    </w:p>
    <w:p w14:paraId="6437F23F" w14:textId="77777777" w:rsidR="00787950" w:rsidRDefault="00787950" w:rsidP="00226036">
      <w:pPr>
        <w:rPr>
          <w:i/>
          <w:color w:val="BFBFBF" w:themeColor="background1" w:themeShade="BF"/>
        </w:rPr>
        <w:sectPr w:rsidR="00787950" w:rsidSect="006D61F7">
          <w:headerReference w:type="default" r:id="rId9"/>
          <w:footerReference w:type="default" r:id="rId10"/>
          <w:headerReference w:type="first" r:id="rId11"/>
          <w:footerReference w:type="first" r:id="rId12"/>
          <w:type w:val="continuous"/>
          <w:pgSz w:w="12240" w:h="15840"/>
          <w:pgMar w:top="2160" w:right="720" w:bottom="1080" w:left="1296" w:header="720" w:footer="518" w:gutter="0"/>
          <w:cols w:space="720"/>
          <w:titlePg/>
        </w:sectPr>
      </w:pPr>
    </w:p>
    <w:tbl>
      <w:tblPr>
        <w:tblStyle w:val="TableGrid"/>
        <w:tblpPr w:leftFromText="180" w:rightFromText="180" w:horzAnchor="margin" w:tblpY="422"/>
        <w:tblW w:w="14029" w:type="dxa"/>
        <w:tblLook w:val="04A0" w:firstRow="1" w:lastRow="0" w:firstColumn="1" w:lastColumn="0" w:noHBand="0" w:noVBand="1"/>
      </w:tblPr>
      <w:tblGrid>
        <w:gridCol w:w="1178"/>
        <w:gridCol w:w="2645"/>
        <w:gridCol w:w="1531"/>
        <w:gridCol w:w="1020"/>
        <w:gridCol w:w="1272"/>
        <w:gridCol w:w="1405"/>
        <w:gridCol w:w="1284"/>
        <w:gridCol w:w="1284"/>
        <w:gridCol w:w="2410"/>
      </w:tblGrid>
      <w:tr w:rsidR="0059758D" w:rsidRPr="0059758D" w14:paraId="317A70B5" w14:textId="77777777" w:rsidTr="002962A6">
        <w:tc>
          <w:tcPr>
            <w:tcW w:w="1178" w:type="dxa"/>
            <w:shd w:val="clear" w:color="auto" w:fill="FFFFCC"/>
          </w:tcPr>
          <w:p w14:paraId="1B48B896" w14:textId="77777777" w:rsidR="00787950" w:rsidRPr="0059758D" w:rsidRDefault="00787950" w:rsidP="002962A6">
            <w:pPr>
              <w:rPr>
                <w:rFonts w:asciiTheme="minorHAnsi" w:hAnsiTheme="minorHAnsi"/>
                <w:b/>
                <w:sz w:val="20"/>
              </w:rPr>
            </w:pPr>
            <w:r w:rsidRPr="0059758D">
              <w:rPr>
                <w:rFonts w:asciiTheme="minorHAnsi" w:hAnsiTheme="minorHAnsi"/>
                <w:b/>
                <w:sz w:val="20"/>
              </w:rPr>
              <w:lastRenderedPageBreak/>
              <w:t>DIN</w:t>
            </w:r>
          </w:p>
        </w:tc>
        <w:tc>
          <w:tcPr>
            <w:tcW w:w="2645" w:type="dxa"/>
            <w:shd w:val="clear" w:color="auto" w:fill="FFFFCC"/>
          </w:tcPr>
          <w:p w14:paraId="4FDE20DE" w14:textId="77777777" w:rsidR="00787950" w:rsidRPr="0059758D" w:rsidRDefault="00787950" w:rsidP="002962A6">
            <w:pPr>
              <w:rPr>
                <w:rFonts w:asciiTheme="minorHAnsi" w:hAnsiTheme="minorHAnsi"/>
                <w:b/>
                <w:sz w:val="20"/>
              </w:rPr>
            </w:pPr>
            <w:r w:rsidRPr="0059758D">
              <w:rPr>
                <w:rFonts w:asciiTheme="minorHAnsi" w:hAnsiTheme="minorHAnsi"/>
                <w:b/>
                <w:sz w:val="20"/>
              </w:rPr>
              <w:t>DIN name</w:t>
            </w:r>
          </w:p>
        </w:tc>
        <w:tc>
          <w:tcPr>
            <w:tcW w:w="1531" w:type="dxa"/>
            <w:shd w:val="clear" w:color="auto" w:fill="FFFFCC"/>
          </w:tcPr>
          <w:p w14:paraId="179FBE57" w14:textId="77777777" w:rsidR="00787950" w:rsidRPr="0059758D" w:rsidRDefault="00787950" w:rsidP="002962A6">
            <w:pPr>
              <w:rPr>
                <w:rFonts w:asciiTheme="minorHAnsi" w:hAnsiTheme="minorHAnsi"/>
                <w:b/>
                <w:sz w:val="20"/>
              </w:rPr>
            </w:pPr>
            <w:r w:rsidRPr="0059758D">
              <w:rPr>
                <w:rFonts w:asciiTheme="minorHAnsi" w:hAnsiTheme="minorHAnsi"/>
                <w:b/>
                <w:sz w:val="20"/>
              </w:rPr>
              <w:t>BoSS</w:t>
            </w:r>
          </w:p>
        </w:tc>
        <w:tc>
          <w:tcPr>
            <w:tcW w:w="1020" w:type="dxa"/>
            <w:shd w:val="clear" w:color="auto" w:fill="FFFFCC"/>
          </w:tcPr>
          <w:p w14:paraId="6655D357" w14:textId="77777777" w:rsidR="00787950" w:rsidRPr="0059758D" w:rsidRDefault="00787950" w:rsidP="002962A6">
            <w:pPr>
              <w:rPr>
                <w:rFonts w:asciiTheme="minorHAnsi" w:hAnsiTheme="minorHAnsi"/>
                <w:b/>
                <w:sz w:val="20"/>
              </w:rPr>
            </w:pPr>
            <w:r w:rsidRPr="0059758D">
              <w:rPr>
                <w:rFonts w:asciiTheme="minorHAnsi" w:hAnsiTheme="minorHAnsi"/>
                <w:b/>
                <w:sz w:val="20"/>
              </w:rPr>
              <w:t>Strength</w:t>
            </w:r>
          </w:p>
        </w:tc>
        <w:tc>
          <w:tcPr>
            <w:tcW w:w="1272" w:type="dxa"/>
            <w:shd w:val="clear" w:color="auto" w:fill="FFFFCC"/>
          </w:tcPr>
          <w:p w14:paraId="0599923E" w14:textId="77777777" w:rsidR="00787950" w:rsidRPr="0059758D" w:rsidRDefault="00787950" w:rsidP="002962A6">
            <w:pPr>
              <w:rPr>
                <w:rFonts w:asciiTheme="minorHAnsi" w:hAnsiTheme="minorHAnsi"/>
                <w:b/>
                <w:sz w:val="20"/>
              </w:rPr>
            </w:pPr>
            <w:r w:rsidRPr="0059758D">
              <w:rPr>
                <w:rFonts w:asciiTheme="minorHAnsi" w:hAnsiTheme="minorHAnsi"/>
                <w:b/>
                <w:sz w:val="20"/>
              </w:rPr>
              <w:t>Dosage form</w:t>
            </w:r>
          </w:p>
        </w:tc>
        <w:tc>
          <w:tcPr>
            <w:tcW w:w="1405" w:type="dxa"/>
            <w:shd w:val="clear" w:color="auto" w:fill="FFFFCC"/>
          </w:tcPr>
          <w:p w14:paraId="3CAC1B5E" w14:textId="77777777" w:rsidR="00787950" w:rsidRPr="0059758D" w:rsidRDefault="00787950" w:rsidP="002962A6">
            <w:pPr>
              <w:rPr>
                <w:rFonts w:asciiTheme="minorHAnsi" w:hAnsiTheme="minorHAnsi"/>
                <w:b/>
                <w:sz w:val="20"/>
              </w:rPr>
            </w:pPr>
            <w:r w:rsidRPr="0059758D">
              <w:rPr>
                <w:rFonts w:asciiTheme="minorHAnsi" w:hAnsiTheme="minorHAnsi"/>
                <w:b/>
                <w:sz w:val="20"/>
              </w:rPr>
              <w:t>Package Type</w:t>
            </w:r>
          </w:p>
          <w:p w14:paraId="6F8BFBA2" w14:textId="12942546" w:rsidR="0059758D" w:rsidRPr="0059758D" w:rsidRDefault="0059758D" w:rsidP="002962A6">
            <w:pPr>
              <w:rPr>
                <w:rFonts w:asciiTheme="minorHAnsi" w:hAnsiTheme="minorHAnsi"/>
                <w:b/>
                <w:sz w:val="20"/>
              </w:rPr>
            </w:pPr>
            <w:r w:rsidRPr="0059758D">
              <w:rPr>
                <w:rFonts w:asciiTheme="minorHAnsi" w:hAnsiTheme="minorHAnsi"/>
                <w:b/>
                <w:sz w:val="20"/>
              </w:rPr>
              <w:t>becomes Unit of presentation type</w:t>
            </w:r>
          </w:p>
        </w:tc>
        <w:tc>
          <w:tcPr>
            <w:tcW w:w="1284" w:type="dxa"/>
            <w:shd w:val="clear" w:color="auto" w:fill="FFFFCC"/>
          </w:tcPr>
          <w:p w14:paraId="756B1CBC" w14:textId="77777777" w:rsidR="00787950" w:rsidRPr="0059758D" w:rsidRDefault="00787950" w:rsidP="002962A6">
            <w:pPr>
              <w:rPr>
                <w:rFonts w:asciiTheme="minorHAnsi" w:hAnsiTheme="minorHAnsi"/>
                <w:b/>
                <w:sz w:val="20"/>
              </w:rPr>
            </w:pPr>
            <w:r w:rsidRPr="0059758D">
              <w:rPr>
                <w:rFonts w:asciiTheme="minorHAnsi" w:hAnsiTheme="minorHAnsi"/>
                <w:b/>
                <w:sz w:val="20"/>
              </w:rPr>
              <w:t>Package Size</w:t>
            </w:r>
          </w:p>
          <w:p w14:paraId="68416F02" w14:textId="5F1476EA" w:rsidR="0059758D" w:rsidRPr="0059758D" w:rsidRDefault="0059758D" w:rsidP="002962A6">
            <w:pPr>
              <w:rPr>
                <w:rFonts w:asciiTheme="minorHAnsi" w:hAnsiTheme="minorHAnsi"/>
                <w:b/>
                <w:sz w:val="20"/>
              </w:rPr>
            </w:pPr>
            <w:r w:rsidRPr="0059758D">
              <w:rPr>
                <w:rFonts w:asciiTheme="minorHAnsi" w:hAnsiTheme="minorHAnsi"/>
                <w:b/>
                <w:sz w:val="20"/>
              </w:rPr>
              <w:t>becomes Presentation amount</w:t>
            </w:r>
          </w:p>
        </w:tc>
        <w:tc>
          <w:tcPr>
            <w:tcW w:w="1284" w:type="dxa"/>
            <w:shd w:val="clear" w:color="auto" w:fill="FFFFCC"/>
          </w:tcPr>
          <w:p w14:paraId="202A5B04" w14:textId="77777777" w:rsidR="00787950" w:rsidRPr="0059758D" w:rsidRDefault="00787950" w:rsidP="002962A6">
            <w:pPr>
              <w:rPr>
                <w:rFonts w:asciiTheme="minorHAnsi" w:hAnsiTheme="minorHAnsi"/>
                <w:b/>
                <w:sz w:val="20"/>
              </w:rPr>
            </w:pPr>
            <w:r w:rsidRPr="0059758D">
              <w:rPr>
                <w:rFonts w:asciiTheme="minorHAnsi" w:hAnsiTheme="minorHAnsi"/>
                <w:b/>
                <w:sz w:val="20"/>
              </w:rPr>
              <w:t>Package Size Unit</w:t>
            </w:r>
          </w:p>
          <w:p w14:paraId="314C94FE" w14:textId="58DF3008" w:rsidR="0059758D" w:rsidRPr="0059758D" w:rsidRDefault="0059758D" w:rsidP="002962A6">
            <w:pPr>
              <w:rPr>
                <w:rFonts w:asciiTheme="minorHAnsi" w:hAnsiTheme="minorHAnsi"/>
                <w:b/>
                <w:sz w:val="20"/>
              </w:rPr>
            </w:pPr>
            <w:r w:rsidRPr="0059758D">
              <w:rPr>
                <w:rFonts w:asciiTheme="minorHAnsi" w:hAnsiTheme="minorHAnsi"/>
                <w:b/>
                <w:sz w:val="20"/>
              </w:rPr>
              <w:t>becomes Presentation amount unit</w:t>
            </w:r>
          </w:p>
        </w:tc>
        <w:tc>
          <w:tcPr>
            <w:tcW w:w="2410" w:type="dxa"/>
            <w:shd w:val="clear" w:color="auto" w:fill="FFFFCC"/>
          </w:tcPr>
          <w:p w14:paraId="61FC9203" w14:textId="77777777" w:rsidR="00787950" w:rsidRPr="0059758D" w:rsidRDefault="00787950" w:rsidP="002962A6">
            <w:pPr>
              <w:rPr>
                <w:rFonts w:asciiTheme="minorHAnsi" w:hAnsiTheme="minorHAnsi"/>
                <w:b/>
                <w:sz w:val="20"/>
              </w:rPr>
            </w:pPr>
            <w:r w:rsidRPr="0059758D">
              <w:rPr>
                <w:rFonts w:asciiTheme="minorHAnsi" w:hAnsiTheme="minorHAnsi"/>
                <w:b/>
                <w:sz w:val="20"/>
              </w:rPr>
              <w:t>NTP</w:t>
            </w:r>
          </w:p>
        </w:tc>
      </w:tr>
      <w:tr w:rsidR="0059758D" w:rsidRPr="0059758D" w14:paraId="34A47691" w14:textId="77777777" w:rsidTr="002962A6">
        <w:tc>
          <w:tcPr>
            <w:tcW w:w="1178" w:type="dxa"/>
          </w:tcPr>
          <w:p w14:paraId="41428DA5" w14:textId="77777777" w:rsidR="00787950" w:rsidRPr="0059758D" w:rsidRDefault="00787950" w:rsidP="002962A6">
            <w:pPr>
              <w:rPr>
                <w:rFonts w:asciiTheme="minorHAnsi" w:hAnsiTheme="minorHAnsi"/>
                <w:sz w:val="18"/>
              </w:rPr>
            </w:pPr>
            <w:r w:rsidRPr="0059758D">
              <w:rPr>
                <w:rFonts w:ascii="Calibri" w:hAnsi="Calibri"/>
                <w:color w:val="000000"/>
                <w:sz w:val="18"/>
              </w:rPr>
              <w:t>02245689</w:t>
            </w:r>
          </w:p>
        </w:tc>
        <w:tc>
          <w:tcPr>
            <w:tcW w:w="2645" w:type="dxa"/>
          </w:tcPr>
          <w:p w14:paraId="3140CE21" w14:textId="77777777" w:rsidR="00787950" w:rsidRPr="0059758D" w:rsidRDefault="00787950" w:rsidP="002962A6">
            <w:pPr>
              <w:rPr>
                <w:rFonts w:ascii="Calibri" w:hAnsi="Calibri"/>
                <w:color w:val="000000"/>
                <w:sz w:val="18"/>
                <w:lang w:val="fr-CA"/>
              </w:rPr>
            </w:pPr>
            <w:r w:rsidRPr="0059758D">
              <w:rPr>
                <w:rFonts w:ascii="Calibri" w:hAnsi="Calibri"/>
                <w:color w:val="000000"/>
                <w:sz w:val="18"/>
                <w:lang w:val="fr-CA"/>
              </w:rPr>
              <w:t>LANTUS SANOFI-AVENTIS CANADA INC</w:t>
            </w:r>
          </w:p>
        </w:tc>
        <w:tc>
          <w:tcPr>
            <w:tcW w:w="1531" w:type="dxa"/>
          </w:tcPr>
          <w:p w14:paraId="1E30A401" w14:textId="77777777" w:rsidR="00787950" w:rsidRPr="0059758D" w:rsidRDefault="00787950" w:rsidP="002962A6">
            <w:pPr>
              <w:rPr>
                <w:rFonts w:asciiTheme="minorHAnsi" w:hAnsiTheme="minorHAnsi"/>
                <w:sz w:val="18"/>
              </w:rPr>
            </w:pPr>
            <w:r w:rsidRPr="0059758D">
              <w:rPr>
                <w:rFonts w:asciiTheme="minorHAnsi" w:hAnsiTheme="minorHAnsi"/>
                <w:sz w:val="18"/>
              </w:rPr>
              <w:t>insulin glargine</w:t>
            </w:r>
          </w:p>
        </w:tc>
        <w:tc>
          <w:tcPr>
            <w:tcW w:w="1020" w:type="dxa"/>
          </w:tcPr>
          <w:p w14:paraId="4B106FF0" w14:textId="77777777" w:rsidR="00787950" w:rsidRPr="0059758D" w:rsidRDefault="00787950" w:rsidP="002962A6">
            <w:pPr>
              <w:rPr>
                <w:rFonts w:asciiTheme="minorHAnsi" w:hAnsiTheme="minorHAnsi"/>
                <w:sz w:val="18"/>
              </w:rPr>
            </w:pPr>
            <w:r w:rsidRPr="0059758D">
              <w:rPr>
                <w:rFonts w:asciiTheme="minorHAnsi" w:hAnsiTheme="minorHAnsi"/>
                <w:sz w:val="18"/>
              </w:rPr>
              <w:t>100 unit per mL</w:t>
            </w:r>
          </w:p>
        </w:tc>
        <w:tc>
          <w:tcPr>
            <w:tcW w:w="1272" w:type="dxa"/>
          </w:tcPr>
          <w:p w14:paraId="50A31F28" w14:textId="77777777" w:rsidR="00787950" w:rsidRPr="0059758D" w:rsidRDefault="00787950" w:rsidP="002962A6">
            <w:pPr>
              <w:rPr>
                <w:rFonts w:asciiTheme="minorHAnsi" w:hAnsiTheme="minorHAnsi"/>
                <w:sz w:val="18"/>
              </w:rPr>
            </w:pPr>
            <w:r w:rsidRPr="0059758D">
              <w:rPr>
                <w:rFonts w:asciiTheme="minorHAnsi" w:hAnsiTheme="minorHAnsi"/>
                <w:sz w:val="18"/>
              </w:rPr>
              <w:t>solution for injection</w:t>
            </w:r>
          </w:p>
        </w:tc>
        <w:tc>
          <w:tcPr>
            <w:tcW w:w="1405" w:type="dxa"/>
          </w:tcPr>
          <w:p w14:paraId="1CEF1AA0" w14:textId="77777777" w:rsidR="00787950" w:rsidRPr="0059758D" w:rsidRDefault="00787950" w:rsidP="002962A6">
            <w:pPr>
              <w:rPr>
                <w:rFonts w:asciiTheme="minorHAnsi" w:hAnsiTheme="minorHAnsi"/>
                <w:sz w:val="18"/>
              </w:rPr>
            </w:pPr>
            <w:r w:rsidRPr="0059758D">
              <w:rPr>
                <w:rFonts w:asciiTheme="minorHAnsi" w:hAnsiTheme="minorHAnsi"/>
                <w:sz w:val="18"/>
              </w:rPr>
              <w:t>vial</w:t>
            </w:r>
          </w:p>
        </w:tc>
        <w:tc>
          <w:tcPr>
            <w:tcW w:w="1284" w:type="dxa"/>
          </w:tcPr>
          <w:p w14:paraId="1BDD1E7B" w14:textId="77777777" w:rsidR="00787950" w:rsidRPr="0059758D" w:rsidRDefault="00787950" w:rsidP="002962A6">
            <w:pPr>
              <w:rPr>
                <w:rFonts w:asciiTheme="minorHAnsi" w:hAnsiTheme="minorHAnsi"/>
                <w:sz w:val="18"/>
              </w:rPr>
            </w:pPr>
            <w:r w:rsidRPr="0059758D">
              <w:rPr>
                <w:rFonts w:asciiTheme="minorHAnsi" w:hAnsiTheme="minorHAnsi"/>
                <w:sz w:val="18"/>
              </w:rPr>
              <w:t>10</w:t>
            </w:r>
          </w:p>
        </w:tc>
        <w:tc>
          <w:tcPr>
            <w:tcW w:w="1284" w:type="dxa"/>
          </w:tcPr>
          <w:p w14:paraId="0CE70A8F" w14:textId="77777777" w:rsidR="00787950" w:rsidRPr="0059758D" w:rsidRDefault="00787950" w:rsidP="002962A6">
            <w:pPr>
              <w:rPr>
                <w:rFonts w:asciiTheme="minorHAnsi" w:hAnsiTheme="minorHAnsi"/>
                <w:sz w:val="18"/>
              </w:rPr>
            </w:pPr>
            <w:r w:rsidRPr="0059758D">
              <w:rPr>
                <w:rFonts w:asciiTheme="minorHAnsi" w:hAnsiTheme="minorHAnsi"/>
                <w:sz w:val="18"/>
              </w:rPr>
              <w:t>mL</w:t>
            </w:r>
          </w:p>
        </w:tc>
        <w:tc>
          <w:tcPr>
            <w:tcW w:w="2410" w:type="dxa"/>
          </w:tcPr>
          <w:p w14:paraId="168CDA6E" w14:textId="77777777" w:rsidR="00787950" w:rsidRPr="0059758D" w:rsidRDefault="00787950" w:rsidP="002962A6">
            <w:pPr>
              <w:rPr>
                <w:rFonts w:asciiTheme="minorHAnsi" w:hAnsiTheme="minorHAnsi"/>
                <w:sz w:val="18"/>
              </w:rPr>
            </w:pPr>
            <w:r w:rsidRPr="0059758D">
              <w:rPr>
                <w:rFonts w:asciiTheme="minorHAnsi" w:hAnsiTheme="minorHAnsi"/>
                <w:sz w:val="18"/>
              </w:rPr>
              <w:t>insulin glargine 100 unit per mL solution for injection 10 mL vial</w:t>
            </w:r>
          </w:p>
        </w:tc>
      </w:tr>
      <w:tr w:rsidR="0059758D" w:rsidRPr="0059758D" w14:paraId="64A3B7EE" w14:textId="77777777" w:rsidTr="002962A6">
        <w:tc>
          <w:tcPr>
            <w:tcW w:w="1178" w:type="dxa"/>
          </w:tcPr>
          <w:p w14:paraId="246572E4" w14:textId="77777777" w:rsidR="00787950" w:rsidRPr="0059758D" w:rsidRDefault="00787950" w:rsidP="002962A6">
            <w:pPr>
              <w:rPr>
                <w:rFonts w:asciiTheme="minorHAnsi" w:hAnsiTheme="minorHAnsi"/>
                <w:sz w:val="18"/>
              </w:rPr>
            </w:pPr>
            <w:r w:rsidRPr="0059758D">
              <w:rPr>
                <w:rFonts w:ascii="Calibri" w:hAnsi="Calibri"/>
                <w:color w:val="000000"/>
                <w:sz w:val="18"/>
              </w:rPr>
              <w:t>02251930</w:t>
            </w:r>
          </w:p>
        </w:tc>
        <w:tc>
          <w:tcPr>
            <w:tcW w:w="2645" w:type="dxa"/>
          </w:tcPr>
          <w:p w14:paraId="62F562FA" w14:textId="77777777" w:rsidR="00787950" w:rsidRPr="0059758D" w:rsidRDefault="00787950" w:rsidP="002962A6">
            <w:pPr>
              <w:rPr>
                <w:rFonts w:asciiTheme="minorHAnsi" w:hAnsiTheme="minorHAnsi"/>
                <w:sz w:val="18"/>
                <w:lang w:val="fr-CA"/>
              </w:rPr>
            </w:pPr>
            <w:r w:rsidRPr="0059758D">
              <w:rPr>
                <w:rFonts w:ascii="Calibri" w:hAnsi="Calibri"/>
                <w:color w:val="000000"/>
                <w:sz w:val="18"/>
                <w:lang w:val="fr-CA"/>
              </w:rPr>
              <w:t>LANTUS SANOFI-AVENTIS CANADA INC</w:t>
            </w:r>
          </w:p>
        </w:tc>
        <w:tc>
          <w:tcPr>
            <w:tcW w:w="1531" w:type="dxa"/>
          </w:tcPr>
          <w:p w14:paraId="7AE2FBF7" w14:textId="77777777" w:rsidR="00787950" w:rsidRPr="0059758D" w:rsidRDefault="00787950" w:rsidP="002962A6">
            <w:pPr>
              <w:rPr>
                <w:rFonts w:asciiTheme="minorHAnsi" w:hAnsiTheme="minorHAnsi"/>
                <w:sz w:val="18"/>
              </w:rPr>
            </w:pPr>
            <w:r w:rsidRPr="0059758D">
              <w:rPr>
                <w:rFonts w:asciiTheme="minorHAnsi" w:hAnsiTheme="minorHAnsi"/>
                <w:sz w:val="18"/>
              </w:rPr>
              <w:t>insulin glargine</w:t>
            </w:r>
          </w:p>
        </w:tc>
        <w:tc>
          <w:tcPr>
            <w:tcW w:w="1020" w:type="dxa"/>
          </w:tcPr>
          <w:p w14:paraId="70E92930" w14:textId="77777777" w:rsidR="00787950" w:rsidRPr="0059758D" w:rsidRDefault="00787950" w:rsidP="002962A6">
            <w:pPr>
              <w:rPr>
                <w:rFonts w:asciiTheme="minorHAnsi" w:hAnsiTheme="minorHAnsi"/>
                <w:sz w:val="18"/>
              </w:rPr>
            </w:pPr>
            <w:r w:rsidRPr="0059758D">
              <w:rPr>
                <w:rFonts w:asciiTheme="minorHAnsi" w:hAnsiTheme="minorHAnsi"/>
                <w:sz w:val="18"/>
              </w:rPr>
              <w:t>100 unit per mL</w:t>
            </w:r>
          </w:p>
        </w:tc>
        <w:tc>
          <w:tcPr>
            <w:tcW w:w="1272" w:type="dxa"/>
          </w:tcPr>
          <w:p w14:paraId="3BDE1D62" w14:textId="77777777" w:rsidR="00787950" w:rsidRPr="0059758D" w:rsidRDefault="00787950" w:rsidP="002962A6">
            <w:pPr>
              <w:rPr>
                <w:rFonts w:asciiTheme="minorHAnsi" w:hAnsiTheme="minorHAnsi"/>
                <w:sz w:val="18"/>
              </w:rPr>
            </w:pPr>
            <w:r w:rsidRPr="0059758D">
              <w:rPr>
                <w:rFonts w:asciiTheme="minorHAnsi" w:hAnsiTheme="minorHAnsi"/>
                <w:sz w:val="18"/>
              </w:rPr>
              <w:t>solution for injection</w:t>
            </w:r>
          </w:p>
        </w:tc>
        <w:tc>
          <w:tcPr>
            <w:tcW w:w="1405" w:type="dxa"/>
          </w:tcPr>
          <w:p w14:paraId="531A17AF" w14:textId="77777777" w:rsidR="00787950" w:rsidRPr="0059758D" w:rsidRDefault="00787950" w:rsidP="002962A6">
            <w:pPr>
              <w:rPr>
                <w:rFonts w:asciiTheme="minorHAnsi" w:hAnsiTheme="minorHAnsi"/>
                <w:sz w:val="18"/>
              </w:rPr>
            </w:pPr>
            <w:r w:rsidRPr="0059758D">
              <w:rPr>
                <w:rFonts w:asciiTheme="minorHAnsi" w:hAnsiTheme="minorHAnsi"/>
                <w:sz w:val="18"/>
              </w:rPr>
              <w:t>cartridge</w:t>
            </w:r>
          </w:p>
        </w:tc>
        <w:tc>
          <w:tcPr>
            <w:tcW w:w="1284" w:type="dxa"/>
          </w:tcPr>
          <w:p w14:paraId="2B0B81AC" w14:textId="77777777" w:rsidR="00787950" w:rsidRPr="0059758D" w:rsidRDefault="00787950" w:rsidP="002962A6">
            <w:pPr>
              <w:rPr>
                <w:rFonts w:asciiTheme="minorHAnsi" w:hAnsiTheme="minorHAnsi"/>
                <w:sz w:val="18"/>
              </w:rPr>
            </w:pPr>
            <w:r w:rsidRPr="0059758D">
              <w:rPr>
                <w:rFonts w:asciiTheme="minorHAnsi" w:hAnsiTheme="minorHAnsi"/>
                <w:sz w:val="18"/>
              </w:rPr>
              <w:t>3</w:t>
            </w:r>
          </w:p>
        </w:tc>
        <w:tc>
          <w:tcPr>
            <w:tcW w:w="1284" w:type="dxa"/>
          </w:tcPr>
          <w:p w14:paraId="737A68F1" w14:textId="77777777" w:rsidR="00787950" w:rsidRPr="0059758D" w:rsidRDefault="00787950" w:rsidP="002962A6">
            <w:pPr>
              <w:rPr>
                <w:rFonts w:asciiTheme="minorHAnsi" w:hAnsiTheme="minorHAnsi"/>
                <w:sz w:val="18"/>
              </w:rPr>
            </w:pPr>
            <w:r w:rsidRPr="0059758D">
              <w:rPr>
                <w:rFonts w:asciiTheme="minorHAnsi" w:hAnsiTheme="minorHAnsi"/>
                <w:sz w:val="18"/>
              </w:rPr>
              <w:t>mL</w:t>
            </w:r>
          </w:p>
        </w:tc>
        <w:tc>
          <w:tcPr>
            <w:tcW w:w="2410" w:type="dxa"/>
            <w:vMerge w:val="restart"/>
            <w:vAlign w:val="center"/>
          </w:tcPr>
          <w:p w14:paraId="3A18CE00" w14:textId="77777777" w:rsidR="00787950" w:rsidRPr="0059758D" w:rsidRDefault="00787950" w:rsidP="002962A6">
            <w:pPr>
              <w:rPr>
                <w:rFonts w:asciiTheme="minorHAnsi" w:hAnsiTheme="minorHAnsi"/>
                <w:sz w:val="18"/>
              </w:rPr>
            </w:pPr>
            <w:r w:rsidRPr="0059758D">
              <w:rPr>
                <w:rFonts w:asciiTheme="minorHAnsi" w:hAnsiTheme="minorHAnsi"/>
                <w:sz w:val="18"/>
              </w:rPr>
              <w:t>insulin glargine 100 unit per mL solution for injection 3 mL cartridge</w:t>
            </w:r>
          </w:p>
        </w:tc>
      </w:tr>
      <w:tr w:rsidR="0059758D" w:rsidRPr="0059758D" w14:paraId="77B18FF9" w14:textId="77777777" w:rsidTr="002962A6">
        <w:tc>
          <w:tcPr>
            <w:tcW w:w="1178" w:type="dxa"/>
          </w:tcPr>
          <w:p w14:paraId="77D40ECF" w14:textId="77777777" w:rsidR="00787950" w:rsidRPr="0059758D" w:rsidRDefault="00787950" w:rsidP="002962A6">
            <w:pPr>
              <w:rPr>
                <w:rFonts w:asciiTheme="minorHAnsi" w:hAnsiTheme="minorHAnsi"/>
                <w:sz w:val="18"/>
              </w:rPr>
            </w:pPr>
            <w:r w:rsidRPr="0059758D">
              <w:rPr>
                <w:rFonts w:ascii="Calibri" w:hAnsi="Calibri"/>
                <w:color w:val="000000"/>
                <w:sz w:val="18"/>
              </w:rPr>
              <w:t>02444844</w:t>
            </w:r>
          </w:p>
        </w:tc>
        <w:tc>
          <w:tcPr>
            <w:tcW w:w="2645" w:type="dxa"/>
          </w:tcPr>
          <w:p w14:paraId="1D4903E0" w14:textId="77777777" w:rsidR="00787950" w:rsidRPr="0059758D" w:rsidRDefault="00787950" w:rsidP="002962A6">
            <w:pPr>
              <w:rPr>
                <w:rFonts w:asciiTheme="minorHAnsi" w:hAnsiTheme="minorHAnsi"/>
                <w:sz w:val="18"/>
              </w:rPr>
            </w:pPr>
            <w:r w:rsidRPr="0059758D">
              <w:rPr>
                <w:rFonts w:asciiTheme="minorHAnsi" w:hAnsiTheme="minorHAnsi"/>
                <w:sz w:val="18"/>
              </w:rPr>
              <w:t>BASAGLAR ELI LILLY CANADA INC</w:t>
            </w:r>
          </w:p>
        </w:tc>
        <w:tc>
          <w:tcPr>
            <w:tcW w:w="1531" w:type="dxa"/>
          </w:tcPr>
          <w:p w14:paraId="152678C7" w14:textId="77777777" w:rsidR="00787950" w:rsidRPr="0059758D" w:rsidRDefault="00787950" w:rsidP="002962A6">
            <w:pPr>
              <w:rPr>
                <w:rFonts w:asciiTheme="minorHAnsi" w:hAnsiTheme="minorHAnsi"/>
                <w:sz w:val="18"/>
              </w:rPr>
            </w:pPr>
            <w:r w:rsidRPr="0059758D">
              <w:rPr>
                <w:rFonts w:asciiTheme="minorHAnsi" w:hAnsiTheme="minorHAnsi"/>
                <w:sz w:val="18"/>
              </w:rPr>
              <w:t>insulin glargine</w:t>
            </w:r>
          </w:p>
        </w:tc>
        <w:tc>
          <w:tcPr>
            <w:tcW w:w="1020" w:type="dxa"/>
          </w:tcPr>
          <w:p w14:paraId="7FF419F2" w14:textId="77777777" w:rsidR="00787950" w:rsidRPr="0059758D" w:rsidRDefault="00787950" w:rsidP="002962A6">
            <w:pPr>
              <w:rPr>
                <w:rFonts w:asciiTheme="minorHAnsi" w:hAnsiTheme="minorHAnsi"/>
                <w:sz w:val="18"/>
              </w:rPr>
            </w:pPr>
            <w:r w:rsidRPr="0059758D">
              <w:rPr>
                <w:rFonts w:asciiTheme="minorHAnsi" w:hAnsiTheme="minorHAnsi"/>
                <w:sz w:val="18"/>
              </w:rPr>
              <w:t>100 unit per mL</w:t>
            </w:r>
          </w:p>
        </w:tc>
        <w:tc>
          <w:tcPr>
            <w:tcW w:w="1272" w:type="dxa"/>
          </w:tcPr>
          <w:p w14:paraId="529446D5" w14:textId="77777777" w:rsidR="00787950" w:rsidRPr="0059758D" w:rsidRDefault="00787950" w:rsidP="002962A6">
            <w:pPr>
              <w:rPr>
                <w:rFonts w:asciiTheme="minorHAnsi" w:hAnsiTheme="minorHAnsi"/>
                <w:sz w:val="18"/>
              </w:rPr>
            </w:pPr>
            <w:r w:rsidRPr="0059758D">
              <w:rPr>
                <w:rFonts w:asciiTheme="minorHAnsi" w:hAnsiTheme="minorHAnsi"/>
                <w:sz w:val="18"/>
              </w:rPr>
              <w:t>solution for injection</w:t>
            </w:r>
          </w:p>
        </w:tc>
        <w:tc>
          <w:tcPr>
            <w:tcW w:w="1405" w:type="dxa"/>
          </w:tcPr>
          <w:p w14:paraId="1D6E4534" w14:textId="77777777" w:rsidR="00787950" w:rsidRPr="0059758D" w:rsidRDefault="00787950" w:rsidP="002962A6">
            <w:pPr>
              <w:rPr>
                <w:rFonts w:asciiTheme="minorHAnsi" w:hAnsiTheme="minorHAnsi"/>
                <w:sz w:val="18"/>
              </w:rPr>
            </w:pPr>
            <w:r w:rsidRPr="0059758D">
              <w:rPr>
                <w:rFonts w:asciiTheme="minorHAnsi" w:hAnsiTheme="minorHAnsi"/>
                <w:sz w:val="18"/>
              </w:rPr>
              <w:t>cartridge</w:t>
            </w:r>
          </w:p>
        </w:tc>
        <w:tc>
          <w:tcPr>
            <w:tcW w:w="1284" w:type="dxa"/>
          </w:tcPr>
          <w:p w14:paraId="2A619DFB" w14:textId="77777777" w:rsidR="00787950" w:rsidRPr="0059758D" w:rsidRDefault="00787950" w:rsidP="002962A6">
            <w:pPr>
              <w:rPr>
                <w:rFonts w:asciiTheme="minorHAnsi" w:hAnsiTheme="minorHAnsi"/>
                <w:sz w:val="18"/>
              </w:rPr>
            </w:pPr>
            <w:r w:rsidRPr="0059758D">
              <w:rPr>
                <w:rFonts w:asciiTheme="minorHAnsi" w:hAnsiTheme="minorHAnsi"/>
                <w:sz w:val="18"/>
              </w:rPr>
              <w:t>3</w:t>
            </w:r>
          </w:p>
        </w:tc>
        <w:tc>
          <w:tcPr>
            <w:tcW w:w="1284" w:type="dxa"/>
          </w:tcPr>
          <w:p w14:paraId="7DF66199" w14:textId="77777777" w:rsidR="00787950" w:rsidRPr="0059758D" w:rsidRDefault="00787950" w:rsidP="002962A6">
            <w:pPr>
              <w:rPr>
                <w:rFonts w:asciiTheme="minorHAnsi" w:hAnsiTheme="minorHAnsi"/>
                <w:sz w:val="18"/>
              </w:rPr>
            </w:pPr>
            <w:r w:rsidRPr="0059758D">
              <w:rPr>
                <w:rFonts w:asciiTheme="minorHAnsi" w:hAnsiTheme="minorHAnsi"/>
                <w:sz w:val="18"/>
              </w:rPr>
              <w:t>mL</w:t>
            </w:r>
          </w:p>
        </w:tc>
        <w:tc>
          <w:tcPr>
            <w:tcW w:w="2410" w:type="dxa"/>
            <w:vMerge/>
          </w:tcPr>
          <w:p w14:paraId="700B2C5B" w14:textId="77777777" w:rsidR="00787950" w:rsidRPr="0059758D" w:rsidRDefault="00787950" w:rsidP="002962A6">
            <w:pPr>
              <w:rPr>
                <w:rFonts w:asciiTheme="minorHAnsi" w:hAnsiTheme="minorHAnsi"/>
                <w:sz w:val="18"/>
              </w:rPr>
            </w:pPr>
          </w:p>
        </w:tc>
      </w:tr>
      <w:tr w:rsidR="0059758D" w:rsidRPr="0059758D" w14:paraId="4DCFA843" w14:textId="77777777" w:rsidTr="002962A6">
        <w:tc>
          <w:tcPr>
            <w:tcW w:w="1178" w:type="dxa"/>
          </w:tcPr>
          <w:p w14:paraId="71ED3977" w14:textId="77777777" w:rsidR="00787950" w:rsidRPr="0059758D" w:rsidRDefault="00787950" w:rsidP="002962A6">
            <w:pPr>
              <w:rPr>
                <w:rFonts w:asciiTheme="minorHAnsi" w:hAnsiTheme="minorHAnsi"/>
                <w:sz w:val="18"/>
              </w:rPr>
            </w:pPr>
            <w:r w:rsidRPr="0059758D">
              <w:rPr>
                <w:rFonts w:ascii="Calibri" w:hAnsi="Calibri"/>
                <w:color w:val="000000"/>
                <w:sz w:val="18"/>
              </w:rPr>
              <w:t>02294338</w:t>
            </w:r>
          </w:p>
        </w:tc>
        <w:tc>
          <w:tcPr>
            <w:tcW w:w="2645" w:type="dxa"/>
          </w:tcPr>
          <w:p w14:paraId="34C28DBB" w14:textId="77777777" w:rsidR="00787950" w:rsidRPr="0059758D" w:rsidRDefault="00787950" w:rsidP="002962A6">
            <w:pPr>
              <w:rPr>
                <w:rFonts w:asciiTheme="minorHAnsi" w:hAnsiTheme="minorHAnsi"/>
                <w:sz w:val="18"/>
                <w:lang w:val="fr-CA"/>
              </w:rPr>
            </w:pPr>
            <w:r w:rsidRPr="0059758D">
              <w:rPr>
                <w:rFonts w:ascii="Calibri" w:hAnsi="Calibri"/>
                <w:color w:val="000000"/>
                <w:sz w:val="18"/>
                <w:lang w:val="fr-CA"/>
              </w:rPr>
              <w:t>LANTUS SANOFI-AVENTIS CANADA INC</w:t>
            </w:r>
          </w:p>
        </w:tc>
        <w:tc>
          <w:tcPr>
            <w:tcW w:w="1531" w:type="dxa"/>
          </w:tcPr>
          <w:p w14:paraId="26C41062" w14:textId="77777777" w:rsidR="00787950" w:rsidRPr="0059758D" w:rsidRDefault="00787950" w:rsidP="002962A6">
            <w:pPr>
              <w:rPr>
                <w:rFonts w:asciiTheme="minorHAnsi" w:hAnsiTheme="minorHAnsi"/>
                <w:sz w:val="18"/>
              </w:rPr>
            </w:pPr>
            <w:r w:rsidRPr="0059758D">
              <w:rPr>
                <w:rFonts w:asciiTheme="minorHAnsi" w:hAnsiTheme="minorHAnsi"/>
                <w:sz w:val="18"/>
              </w:rPr>
              <w:t>insulin glargine</w:t>
            </w:r>
          </w:p>
        </w:tc>
        <w:tc>
          <w:tcPr>
            <w:tcW w:w="1020" w:type="dxa"/>
          </w:tcPr>
          <w:p w14:paraId="4AB54416" w14:textId="77777777" w:rsidR="00787950" w:rsidRPr="0059758D" w:rsidRDefault="00787950" w:rsidP="002962A6">
            <w:pPr>
              <w:rPr>
                <w:rFonts w:asciiTheme="minorHAnsi" w:hAnsiTheme="minorHAnsi"/>
                <w:sz w:val="18"/>
              </w:rPr>
            </w:pPr>
            <w:r w:rsidRPr="0059758D">
              <w:rPr>
                <w:rFonts w:asciiTheme="minorHAnsi" w:hAnsiTheme="minorHAnsi"/>
                <w:sz w:val="18"/>
              </w:rPr>
              <w:t>100 unit per mL</w:t>
            </w:r>
          </w:p>
        </w:tc>
        <w:tc>
          <w:tcPr>
            <w:tcW w:w="1272" w:type="dxa"/>
          </w:tcPr>
          <w:p w14:paraId="2701DA95" w14:textId="77777777" w:rsidR="00787950" w:rsidRPr="0059758D" w:rsidRDefault="00787950" w:rsidP="002962A6">
            <w:pPr>
              <w:rPr>
                <w:rFonts w:asciiTheme="minorHAnsi" w:hAnsiTheme="minorHAnsi"/>
                <w:sz w:val="18"/>
              </w:rPr>
            </w:pPr>
            <w:r w:rsidRPr="0059758D">
              <w:rPr>
                <w:rFonts w:asciiTheme="minorHAnsi" w:hAnsiTheme="minorHAnsi"/>
                <w:sz w:val="18"/>
              </w:rPr>
              <w:t>solution for injection</w:t>
            </w:r>
          </w:p>
        </w:tc>
        <w:tc>
          <w:tcPr>
            <w:tcW w:w="1405" w:type="dxa"/>
          </w:tcPr>
          <w:p w14:paraId="0D2B50C3" w14:textId="77777777" w:rsidR="00787950" w:rsidRPr="0059758D" w:rsidRDefault="00787950" w:rsidP="002962A6">
            <w:pPr>
              <w:rPr>
                <w:rFonts w:asciiTheme="minorHAnsi" w:hAnsiTheme="minorHAnsi"/>
                <w:sz w:val="18"/>
              </w:rPr>
            </w:pPr>
            <w:r w:rsidRPr="0059758D">
              <w:rPr>
                <w:rFonts w:asciiTheme="minorHAnsi" w:hAnsiTheme="minorHAnsi"/>
                <w:sz w:val="18"/>
              </w:rPr>
              <w:t>pen</w:t>
            </w:r>
          </w:p>
        </w:tc>
        <w:tc>
          <w:tcPr>
            <w:tcW w:w="1284" w:type="dxa"/>
          </w:tcPr>
          <w:p w14:paraId="51C5F905" w14:textId="77777777" w:rsidR="00787950" w:rsidRPr="0059758D" w:rsidRDefault="00787950" w:rsidP="002962A6">
            <w:pPr>
              <w:rPr>
                <w:rFonts w:asciiTheme="minorHAnsi" w:hAnsiTheme="minorHAnsi"/>
                <w:sz w:val="18"/>
              </w:rPr>
            </w:pPr>
            <w:r w:rsidRPr="0059758D">
              <w:rPr>
                <w:rFonts w:asciiTheme="minorHAnsi" w:hAnsiTheme="minorHAnsi"/>
                <w:sz w:val="18"/>
              </w:rPr>
              <w:t>3</w:t>
            </w:r>
          </w:p>
        </w:tc>
        <w:tc>
          <w:tcPr>
            <w:tcW w:w="1284" w:type="dxa"/>
          </w:tcPr>
          <w:p w14:paraId="32EF06CA" w14:textId="77777777" w:rsidR="00787950" w:rsidRPr="0059758D" w:rsidRDefault="00787950" w:rsidP="002962A6">
            <w:pPr>
              <w:rPr>
                <w:rFonts w:asciiTheme="minorHAnsi" w:hAnsiTheme="minorHAnsi"/>
                <w:sz w:val="18"/>
              </w:rPr>
            </w:pPr>
            <w:r w:rsidRPr="0059758D">
              <w:rPr>
                <w:rFonts w:asciiTheme="minorHAnsi" w:hAnsiTheme="minorHAnsi"/>
                <w:sz w:val="18"/>
              </w:rPr>
              <w:t>mL</w:t>
            </w:r>
          </w:p>
        </w:tc>
        <w:tc>
          <w:tcPr>
            <w:tcW w:w="2410" w:type="dxa"/>
            <w:vMerge w:val="restart"/>
            <w:vAlign w:val="center"/>
          </w:tcPr>
          <w:p w14:paraId="16E44249" w14:textId="77777777" w:rsidR="00787950" w:rsidRPr="0059758D" w:rsidRDefault="00787950" w:rsidP="002962A6">
            <w:pPr>
              <w:rPr>
                <w:rFonts w:asciiTheme="minorHAnsi" w:hAnsiTheme="minorHAnsi"/>
                <w:sz w:val="18"/>
              </w:rPr>
            </w:pPr>
            <w:r w:rsidRPr="0059758D">
              <w:rPr>
                <w:rFonts w:asciiTheme="minorHAnsi" w:hAnsiTheme="minorHAnsi"/>
                <w:sz w:val="18"/>
              </w:rPr>
              <w:t>insulin glargine 100 unit per mL solution for injection 3 mL pen</w:t>
            </w:r>
          </w:p>
        </w:tc>
      </w:tr>
      <w:tr w:rsidR="0059758D" w:rsidRPr="0059758D" w14:paraId="6CA6C744" w14:textId="77777777" w:rsidTr="002962A6">
        <w:tc>
          <w:tcPr>
            <w:tcW w:w="1178" w:type="dxa"/>
          </w:tcPr>
          <w:p w14:paraId="3276DF98" w14:textId="77777777" w:rsidR="00787950" w:rsidRPr="0059758D" w:rsidRDefault="00787950" w:rsidP="002962A6">
            <w:pPr>
              <w:rPr>
                <w:rFonts w:asciiTheme="minorHAnsi" w:hAnsiTheme="minorHAnsi"/>
                <w:sz w:val="18"/>
              </w:rPr>
            </w:pPr>
            <w:r w:rsidRPr="0059758D">
              <w:rPr>
                <w:rFonts w:ascii="Calibri" w:hAnsi="Calibri"/>
                <w:color w:val="000000"/>
                <w:sz w:val="18"/>
              </w:rPr>
              <w:t>02444852</w:t>
            </w:r>
          </w:p>
        </w:tc>
        <w:tc>
          <w:tcPr>
            <w:tcW w:w="2645" w:type="dxa"/>
          </w:tcPr>
          <w:p w14:paraId="156C881D" w14:textId="77777777" w:rsidR="00787950" w:rsidRPr="0059758D" w:rsidRDefault="00787950" w:rsidP="002962A6">
            <w:pPr>
              <w:rPr>
                <w:rFonts w:asciiTheme="minorHAnsi" w:hAnsiTheme="minorHAnsi"/>
                <w:sz w:val="18"/>
              </w:rPr>
            </w:pPr>
            <w:r w:rsidRPr="0059758D">
              <w:rPr>
                <w:rFonts w:asciiTheme="minorHAnsi" w:hAnsiTheme="minorHAnsi"/>
                <w:sz w:val="18"/>
              </w:rPr>
              <w:t>BASAGLAR ELI LILLY CANADA INC</w:t>
            </w:r>
          </w:p>
        </w:tc>
        <w:tc>
          <w:tcPr>
            <w:tcW w:w="1531" w:type="dxa"/>
          </w:tcPr>
          <w:p w14:paraId="7FAE755B" w14:textId="77777777" w:rsidR="00787950" w:rsidRPr="0059758D" w:rsidRDefault="00787950" w:rsidP="002962A6">
            <w:pPr>
              <w:rPr>
                <w:rFonts w:asciiTheme="minorHAnsi" w:hAnsiTheme="minorHAnsi"/>
                <w:sz w:val="18"/>
              </w:rPr>
            </w:pPr>
            <w:r w:rsidRPr="0059758D">
              <w:rPr>
                <w:rFonts w:asciiTheme="minorHAnsi" w:hAnsiTheme="minorHAnsi"/>
                <w:sz w:val="18"/>
              </w:rPr>
              <w:t>insulin glargine</w:t>
            </w:r>
          </w:p>
        </w:tc>
        <w:tc>
          <w:tcPr>
            <w:tcW w:w="1020" w:type="dxa"/>
          </w:tcPr>
          <w:p w14:paraId="62D9266F" w14:textId="77777777" w:rsidR="00787950" w:rsidRPr="0059758D" w:rsidRDefault="00787950" w:rsidP="002962A6">
            <w:pPr>
              <w:rPr>
                <w:rFonts w:asciiTheme="minorHAnsi" w:hAnsiTheme="minorHAnsi"/>
                <w:sz w:val="18"/>
              </w:rPr>
            </w:pPr>
            <w:r w:rsidRPr="0059758D">
              <w:rPr>
                <w:rFonts w:asciiTheme="minorHAnsi" w:hAnsiTheme="minorHAnsi"/>
                <w:sz w:val="18"/>
              </w:rPr>
              <w:t>100 unit per mL</w:t>
            </w:r>
          </w:p>
        </w:tc>
        <w:tc>
          <w:tcPr>
            <w:tcW w:w="1272" w:type="dxa"/>
          </w:tcPr>
          <w:p w14:paraId="3FA44C43" w14:textId="77777777" w:rsidR="00787950" w:rsidRPr="0059758D" w:rsidRDefault="00787950" w:rsidP="002962A6">
            <w:pPr>
              <w:rPr>
                <w:rFonts w:asciiTheme="minorHAnsi" w:hAnsiTheme="minorHAnsi"/>
                <w:sz w:val="18"/>
              </w:rPr>
            </w:pPr>
            <w:r w:rsidRPr="0059758D">
              <w:rPr>
                <w:rFonts w:asciiTheme="minorHAnsi" w:hAnsiTheme="minorHAnsi"/>
                <w:sz w:val="18"/>
              </w:rPr>
              <w:t>solution for injection</w:t>
            </w:r>
          </w:p>
        </w:tc>
        <w:tc>
          <w:tcPr>
            <w:tcW w:w="1405" w:type="dxa"/>
          </w:tcPr>
          <w:p w14:paraId="1D0E7B50" w14:textId="77777777" w:rsidR="00787950" w:rsidRPr="0059758D" w:rsidRDefault="00787950" w:rsidP="002962A6">
            <w:pPr>
              <w:rPr>
                <w:rFonts w:asciiTheme="minorHAnsi" w:hAnsiTheme="minorHAnsi"/>
                <w:sz w:val="18"/>
              </w:rPr>
            </w:pPr>
            <w:r w:rsidRPr="0059758D">
              <w:rPr>
                <w:rFonts w:asciiTheme="minorHAnsi" w:hAnsiTheme="minorHAnsi"/>
                <w:sz w:val="18"/>
              </w:rPr>
              <w:t>pen</w:t>
            </w:r>
          </w:p>
        </w:tc>
        <w:tc>
          <w:tcPr>
            <w:tcW w:w="1284" w:type="dxa"/>
          </w:tcPr>
          <w:p w14:paraId="4F9D5ECA" w14:textId="77777777" w:rsidR="00787950" w:rsidRPr="0059758D" w:rsidRDefault="00787950" w:rsidP="002962A6">
            <w:pPr>
              <w:rPr>
                <w:rFonts w:asciiTheme="minorHAnsi" w:hAnsiTheme="minorHAnsi"/>
                <w:sz w:val="18"/>
              </w:rPr>
            </w:pPr>
            <w:r w:rsidRPr="0059758D">
              <w:rPr>
                <w:rFonts w:asciiTheme="minorHAnsi" w:hAnsiTheme="minorHAnsi"/>
                <w:sz w:val="18"/>
              </w:rPr>
              <w:t>3</w:t>
            </w:r>
          </w:p>
        </w:tc>
        <w:tc>
          <w:tcPr>
            <w:tcW w:w="1284" w:type="dxa"/>
          </w:tcPr>
          <w:p w14:paraId="634A4419" w14:textId="77777777" w:rsidR="00787950" w:rsidRPr="0059758D" w:rsidRDefault="00787950" w:rsidP="002962A6">
            <w:pPr>
              <w:rPr>
                <w:rFonts w:asciiTheme="minorHAnsi" w:hAnsiTheme="minorHAnsi"/>
                <w:sz w:val="18"/>
              </w:rPr>
            </w:pPr>
            <w:r w:rsidRPr="0059758D">
              <w:rPr>
                <w:rFonts w:asciiTheme="minorHAnsi" w:hAnsiTheme="minorHAnsi"/>
                <w:sz w:val="18"/>
              </w:rPr>
              <w:t>mL</w:t>
            </w:r>
          </w:p>
        </w:tc>
        <w:tc>
          <w:tcPr>
            <w:tcW w:w="2410" w:type="dxa"/>
            <w:vMerge/>
          </w:tcPr>
          <w:p w14:paraId="33234F52" w14:textId="77777777" w:rsidR="00787950" w:rsidRPr="0059758D" w:rsidRDefault="00787950" w:rsidP="002962A6">
            <w:pPr>
              <w:rPr>
                <w:rFonts w:asciiTheme="minorHAnsi" w:hAnsiTheme="minorHAnsi"/>
                <w:sz w:val="18"/>
              </w:rPr>
            </w:pPr>
          </w:p>
        </w:tc>
      </w:tr>
      <w:tr w:rsidR="0059758D" w:rsidRPr="0059758D" w14:paraId="05A2C56A" w14:textId="77777777" w:rsidTr="002962A6">
        <w:tc>
          <w:tcPr>
            <w:tcW w:w="1178" w:type="dxa"/>
          </w:tcPr>
          <w:p w14:paraId="55376AAC" w14:textId="77777777" w:rsidR="00787950" w:rsidRPr="0059758D" w:rsidRDefault="00787950" w:rsidP="002962A6">
            <w:pPr>
              <w:rPr>
                <w:rFonts w:ascii="Calibri" w:hAnsi="Calibri"/>
                <w:color w:val="000000"/>
                <w:sz w:val="18"/>
              </w:rPr>
            </w:pPr>
            <w:r w:rsidRPr="0059758D">
              <w:rPr>
                <w:rFonts w:ascii="Calibri" w:hAnsi="Calibri"/>
                <w:color w:val="000000"/>
                <w:sz w:val="18"/>
              </w:rPr>
              <w:t xml:space="preserve">02246953 (needs </w:t>
            </w:r>
            <w:proofErr w:type="spellStart"/>
            <w:r w:rsidRPr="0059758D">
              <w:rPr>
                <w:rFonts w:ascii="Calibri" w:hAnsi="Calibri"/>
                <w:color w:val="000000"/>
                <w:sz w:val="18"/>
              </w:rPr>
              <w:t>pseudoDIN</w:t>
            </w:r>
            <w:proofErr w:type="spellEnd"/>
            <w:r w:rsidRPr="0059758D">
              <w:rPr>
                <w:rFonts w:ascii="Calibri" w:hAnsi="Calibri"/>
                <w:color w:val="000000"/>
                <w:sz w:val="18"/>
              </w:rPr>
              <w:t>)</w:t>
            </w:r>
          </w:p>
        </w:tc>
        <w:tc>
          <w:tcPr>
            <w:tcW w:w="2645" w:type="dxa"/>
          </w:tcPr>
          <w:p w14:paraId="4A0422C6" w14:textId="77777777" w:rsidR="00787950" w:rsidRPr="0059758D" w:rsidRDefault="00787950" w:rsidP="002962A6">
            <w:pPr>
              <w:rPr>
                <w:rFonts w:ascii="Calibri" w:hAnsi="Calibri"/>
                <w:color w:val="000000"/>
                <w:sz w:val="18"/>
              </w:rPr>
            </w:pPr>
            <w:r w:rsidRPr="0059758D">
              <w:rPr>
                <w:rFonts w:ascii="Calibri" w:hAnsi="Calibri"/>
                <w:color w:val="000000"/>
                <w:sz w:val="18"/>
              </w:rPr>
              <w:t xml:space="preserve">AMIODARONE FOR INJECTION 50MG/ML </w:t>
            </w:r>
            <w:hyperlink r:id="rId13" w:tooltip="More products from this company" w:history="1">
              <w:r w:rsidRPr="0059758D">
                <w:rPr>
                  <w:rFonts w:ascii="Calibri" w:hAnsi="Calibri"/>
                  <w:color w:val="000000"/>
                  <w:sz w:val="18"/>
                </w:rPr>
                <w:t>TEVA CANADA L</w:t>
              </w:r>
            </w:hyperlink>
            <w:r w:rsidRPr="0059758D">
              <w:rPr>
                <w:rFonts w:ascii="Calibri" w:hAnsi="Calibri"/>
                <w:color w:val="000000"/>
                <w:sz w:val="18"/>
              </w:rPr>
              <w:t>IMITED</w:t>
            </w:r>
          </w:p>
        </w:tc>
        <w:tc>
          <w:tcPr>
            <w:tcW w:w="1531" w:type="dxa"/>
          </w:tcPr>
          <w:p w14:paraId="1BB6DB0D" w14:textId="77777777" w:rsidR="00787950" w:rsidRPr="0059758D" w:rsidRDefault="00787950" w:rsidP="002962A6">
            <w:pPr>
              <w:rPr>
                <w:rFonts w:asciiTheme="minorHAnsi" w:hAnsiTheme="minorHAnsi"/>
                <w:sz w:val="18"/>
              </w:rPr>
            </w:pPr>
            <w:r w:rsidRPr="0059758D">
              <w:rPr>
                <w:rFonts w:asciiTheme="minorHAnsi" w:hAnsiTheme="minorHAnsi"/>
                <w:sz w:val="18"/>
              </w:rPr>
              <w:t>amiodarone hydrochloride</w:t>
            </w:r>
          </w:p>
        </w:tc>
        <w:tc>
          <w:tcPr>
            <w:tcW w:w="1020" w:type="dxa"/>
          </w:tcPr>
          <w:p w14:paraId="50FE4263" w14:textId="77777777" w:rsidR="00787950" w:rsidRPr="0059758D" w:rsidRDefault="00787950" w:rsidP="002962A6">
            <w:pPr>
              <w:rPr>
                <w:rFonts w:asciiTheme="minorHAnsi" w:hAnsiTheme="minorHAnsi"/>
                <w:sz w:val="18"/>
              </w:rPr>
            </w:pPr>
            <w:r w:rsidRPr="0059758D">
              <w:rPr>
                <w:rFonts w:asciiTheme="minorHAnsi" w:hAnsiTheme="minorHAnsi"/>
                <w:sz w:val="18"/>
              </w:rPr>
              <w:t>150 mg per 3 mL</w:t>
            </w:r>
          </w:p>
        </w:tc>
        <w:tc>
          <w:tcPr>
            <w:tcW w:w="1272" w:type="dxa"/>
          </w:tcPr>
          <w:p w14:paraId="4545A070" w14:textId="77777777" w:rsidR="00787950" w:rsidRPr="0059758D" w:rsidRDefault="00787950" w:rsidP="002962A6">
            <w:pPr>
              <w:rPr>
                <w:rFonts w:asciiTheme="minorHAnsi" w:hAnsiTheme="minorHAnsi"/>
                <w:sz w:val="18"/>
              </w:rPr>
            </w:pPr>
            <w:r w:rsidRPr="0059758D">
              <w:rPr>
                <w:rFonts w:asciiTheme="minorHAnsi" w:hAnsiTheme="minorHAnsi"/>
                <w:sz w:val="18"/>
              </w:rPr>
              <w:t>solution for injection</w:t>
            </w:r>
          </w:p>
        </w:tc>
        <w:tc>
          <w:tcPr>
            <w:tcW w:w="1405" w:type="dxa"/>
          </w:tcPr>
          <w:p w14:paraId="1B28C5AD" w14:textId="77777777" w:rsidR="00787950" w:rsidRPr="0059758D" w:rsidRDefault="00787950" w:rsidP="002962A6">
            <w:pPr>
              <w:rPr>
                <w:rFonts w:asciiTheme="minorHAnsi" w:hAnsiTheme="minorHAnsi"/>
                <w:sz w:val="18"/>
              </w:rPr>
            </w:pPr>
            <w:r w:rsidRPr="0059758D">
              <w:rPr>
                <w:rFonts w:asciiTheme="minorHAnsi" w:hAnsiTheme="minorHAnsi"/>
                <w:sz w:val="18"/>
              </w:rPr>
              <w:t>vial</w:t>
            </w:r>
          </w:p>
        </w:tc>
        <w:tc>
          <w:tcPr>
            <w:tcW w:w="1284" w:type="dxa"/>
          </w:tcPr>
          <w:p w14:paraId="06344149" w14:textId="77777777" w:rsidR="00787950" w:rsidRPr="0059758D" w:rsidRDefault="00787950" w:rsidP="002962A6">
            <w:pPr>
              <w:rPr>
                <w:rFonts w:asciiTheme="minorHAnsi" w:hAnsiTheme="minorHAnsi"/>
                <w:sz w:val="18"/>
              </w:rPr>
            </w:pPr>
          </w:p>
        </w:tc>
        <w:tc>
          <w:tcPr>
            <w:tcW w:w="1284" w:type="dxa"/>
          </w:tcPr>
          <w:p w14:paraId="1DB95348" w14:textId="77777777" w:rsidR="00787950" w:rsidRPr="0059758D" w:rsidRDefault="00787950" w:rsidP="002962A6">
            <w:pPr>
              <w:rPr>
                <w:rFonts w:asciiTheme="minorHAnsi" w:hAnsiTheme="minorHAnsi"/>
                <w:sz w:val="18"/>
              </w:rPr>
            </w:pPr>
          </w:p>
        </w:tc>
        <w:tc>
          <w:tcPr>
            <w:tcW w:w="2410" w:type="dxa"/>
            <w:vMerge w:val="restart"/>
            <w:vAlign w:val="center"/>
          </w:tcPr>
          <w:p w14:paraId="69BCA8C0" w14:textId="77777777" w:rsidR="00787950" w:rsidRPr="0059758D" w:rsidRDefault="00787950" w:rsidP="002962A6">
            <w:pPr>
              <w:rPr>
                <w:rFonts w:asciiTheme="minorHAnsi" w:hAnsiTheme="minorHAnsi"/>
                <w:sz w:val="18"/>
              </w:rPr>
            </w:pPr>
            <w:r w:rsidRPr="0059758D">
              <w:rPr>
                <w:rFonts w:asciiTheme="minorHAnsi" w:hAnsiTheme="minorHAnsi"/>
                <w:sz w:val="18"/>
              </w:rPr>
              <w:t>amiodarone hydrochloride 150 mg per 3 mL solution for injection vial</w:t>
            </w:r>
          </w:p>
        </w:tc>
      </w:tr>
      <w:tr w:rsidR="0059758D" w:rsidRPr="0059758D" w14:paraId="75EABD36" w14:textId="77777777" w:rsidTr="002962A6">
        <w:tc>
          <w:tcPr>
            <w:tcW w:w="1178" w:type="dxa"/>
          </w:tcPr>
          <w:p w14:paraId="507C2A0E" w14:textId="77777777" w:rsidR="00787950" w:rsidRPr="0059758D" w:rsidRDefault="00787950" w:rsidP="002962A6">
            <w:pPr>
              <w:rPr>
                <w:rFonts w:ascii="Calibri" w:hAnsi="Calibri"/>
                <w:color w:val="000000"/>
                <w:sz w:val="18"/>
              </w:rPr>
            </w:pPr>
            <w:r w:rsidRPr="0059758D">
              <w:rPr>
                <w:rFonts w:ascii="Calibri" w:hAnsi="Calibri"/>
                <w:color w:val="000000"/>
                <w:sz w:val="18"/>
              </w:rPr>
              <w:t xml:space="preserve">02242325 (needs </w:t>
            </w:r>
            <w:proofErr w:type="spellStart"/>
            <w:r w:rsidRPr="0059758D">
              <w:rPr>
                <w:rFonts w:ascii="Calibri" w:hAnsi="Calibri"/>
                <w:color w:val="000000"/>
                <w:sz w:val="18"/>
              </w:rPr>
              <w:t>pseudoDIN</w:t>
            </w:r>
            <w:proofErr w:type="spellEnd"/>
            <w:r w:rsidRPr="0059758D">
              <w:rPr>
                <w:rFonts w:ascii="Calibri" w:hAnsi="Calibri"/>
                <w:color w:val="000000"/>
                <w:sz w:val="18"/>
              </w:rPr>
              <w:t>)</w:t>
            </w:r>
          </w:p>
        </w:tc>
        <w:tc>
          <w:tcPr>
            <w:tcW w:w="2645" w:type="dxa"/>
          </w:tcPr>
          <w:p w14:paraId="46663DEB" w14:textId="77777777" w:rsidR="00787950" w:rsidRPr="0059758D" w:rsidRDefault="00787950" w:rsidP="002962A6">
            <w:pPr>
              <w:rPr>
                <w:rFonts w:ascii="Calibri" w:hAnsi="Calibri"/>
                <w:color w:val="000000"/>
                <w:sz w:val="18"/>
              </w:rPr>
            </w:pPr>
            <w:r w:rsidRPr="0059758D">
              <w:rPr>
                <w:rFonts w:ascii="Calibri" w:hAnsi="Calibri"/>
                <w:color w:val="000000"/>
                <w:sz w:val="18"/>
              </w:rPr>
              <w:t>AMIODARONE HYDROCHLORIDE FOR INJECTION SANDOZ CANADA INCORPORATED</w:t>
            </w:r>
          </w:p>
        </w:tc>
        <w:tc>
          <w:tcPr>
            <w:tcW w:w="1531" w:type="dxa"/>
          </w:tcPr>
          <w:p w14:paraId="5B622A40" w14:textId="77777777" w:rsidR="00787950" w:rsidRPr="0059758D" w:rsidRDefault="00787950" w:rsidP="002962A6">
            <w:pPr>
              <w:rPr>
                <w:rFonts w:asciiTheme="minorHAnsi" w:hAnsiTheme="minorHAnsi"/>
                <w:sz w:val="18"/>
              </w:rPr>
            </w:pPr>
            <w:r w:rsidRPr="0059758D">
              <w:rPr>
                <w:rFonts w:asciiTheme="minorHAnsi" w:hAnsiTheme="minorHAnsi"/>
                <w:sz w:val="18"/>
              </w:rPr>
              <w:t>amiodarone hydrochloride</w:t>
            </w:r>
          </w:p>
        </w:tc>
        <w:tc>
          <w:tcPr>
            <w:tcW w:w="1020" w:type="dxa"/>
          </w:tcPr>
          <w:p w14:paraId="5FFBB6D5" w14:textId="77777777" w:rsidR="00787950" w:rsidRPr="0059758D" w:rsidRDefault="00787950" w:rsidP="002962A6">
            <w:pPr>
              <w:rPr>
                <w:rFonts w:asciiTheme="minorHAnsi" w:hAnsiTheme="minorHAnsi"/>
                <w:sz w:val="18"/>
              </w:rPr>
            </w:pPr>
            <w:r w:rsidRPr="0059758D">
              <w:rPr>
                <w:rFonts w:asciiTheme="minorHAnsi" w:hAnsiTheme="minorHAnsi"/>
                <w:sz w:val="18"/>
              </w:rPr>
              <w:t>150 mg per 3 mL</w:t>
            </w:r>
          </w:p>
        </w:tc>
        <w:tc>
          <w:tcPr>
            <w:tcW w:w="1272" w:type="dxa"/>
          </w:tcPr>
          <w:p w14:paraId="56A2048F" w14:textId="77777777" w:rsidR="00787950" w:rsidRPr="0059758D" w:rsidRDefault="00787950" w:rsidP="002962A6">
            <w:pPr>
              <w:rPr>
                <w:rFonts w:asciiTheme="minorHAnsi" w:hAnsiTheme="minorHAnsi"/>
                <w:sz w:val="18"/>
              </w:rPr>
            </w:pPr>
            <w:r w:rsidRPr="0059758D">
              <w:rPr>
                <w:rFonts w:asciiTheme="minorHAnsi" w:hAnsiTheme="minorHAnsi"/>
                <w:sz w:val="18"/>
              </w:rPr>
              <w:t>solution for injection</w:t>
            </w:r>
          </w:p>
        </w:tc>
        <w:tc>
          <w:tcPr>
            <w:tcW w:w="1405" w:type="dxa"/>
          </w:tcPr>
          <w:p w14:paraId="2095D378" w14:textId="77777777" w:rsidR="00787950" w:rsidRPr="0059758D" w:rsidRDefault="00787950" w:rsidP="002962A6">
            <w:pPr>
              <w:rPr>
                <w:rFonts w:asciiTheme="minorHAnsi" w:hAnsiTheme="minorHAnsi"/>
                <w:sz w:val="18"/>
              </w:rPr>
            </w:pPr>
            <w:r w:rsidRPr="0059758D">
              <w:rPr>
                <w:rFonts w:asciiTheme="minorHAnsi" w:hAnsiTheme="minorHAnsi"/>
                <w:sz w:val="18"/>
              </w:rPr>
              <w:t>vial</w:t>
            </w:r>
          </w:p>
        </w:tc>
        <w:tc>
          <w:tcPr>
            <w:tcW w:w="1284" w:type="dxa"/>
          </w:tcPr>
          <w:p w14:paraId="2EDE5D30" w14:textId="77777777" w:rsidR="00787950" w:rsidRPr="0059758D" w:rsidRDefault="00787950" w:rsidP="002962A6">
            <w:pPr>
              <w:rPr>
                <w:rFonts w:asciiTheme="minorHAnsi" w:hAnsiTheme="minorHAnsi"/>
                <w:sz w:val="18"/>
              </w:rPr>
            </w:pPr>
          </w:p>
        </w:tc>
        <w:tc>
          <w:tcPr>
            <w:tcW w:w="1284" w:type="dxa"/>
          </w:tcPr>
          <w:p w14:paraId="23A9D5ED" w14:textId="77777777" w:rsidR="00787950" w:rsidRPr="0059758D" w:rsidRDefault="00787950" w:rsidP="002962A6">
            <w:pPr>
              <w:rPr>
                <w:rFonts w:asciiTheme="minorHAnsi" w:hAnsiTheme="minorHAnsi"/>
                <w:sz w:val="18"/>
              </w:rPr>
            </w:pPr>
          </w:p>
        </w:tc>
        <w:tc>
          <w:tcPr>
            <w:tcW w:w="2410" w:type="dxa"/>
            <w:vMerge/>
          </w:tcPr>
          <w:p w14:paraId="4580B69F" w14:textId="77777777" w:rsidR="00787950" w:rsidRPr="0059758D" w:rsidRDefault="00787950" w:rsidP="002962A6">
            <w:pPr>
              <w:rPr>
                <w:rFonts w:asciiTheme="minorHAnsi" w:hAnsiTheme="minorHAnsi"/>
                <w:sz w:val="18"/>
              </w:rPr>
            </w:pPr>
          </w:p>
        </w:tc>
      </w:tr>
      <w:tr w:rsidR="0059758D" w:rsidRPr="0059758D" w14:paraId="60463476" w14:textId="77777777" w:rsidTr="002962A6">
        <w:tc>
          <w:tcPr>
            <w:tcW w:w="1178" w:type="dxa"/>
          </w:tcPr>
          <w:p w14:paraId="4969BD73" w14:textId="77777777" w:rsidR="00787950" w:rsidRPr="0059758D" w:rsidRDefault="00787950" w:rsidP="002962A6">
            <w:pPr>
              <w:rPr>
                <w:rFonts w:ascii="Calibri" w:hAnsi="Calibri"/>
                <w:color w:val="000000"/>
                <w:sz w:val="18"/>
              </w:rPr>
            </w:pPr>
            <w:r w:rsidRPr="0059758D">
              <w:rPr>
                <w:rFonts w:ascii="Calibri" w:hAnsi="Calibri"/>
                <w:color w:val="000000"/>
                <w:sz w:val="18"/>
              </w:rPr>
              <w:t xml:space="preserve">02242325 (needs </w:t>
            </w:r>
            <w:proofErr w:type="spellStart"/>
            <w:r w:rsidRPr="0059758D">
              <w:rPr>
                <w:rFonts w:ascii="Calibri" w:hAnsi="Calibri"/>
                <w:color w:val="000000"/>
                <w:sz w:val="18"/>
              </w:rPr>
              <w:t>pseudoDIN</w:t>
            </w:r>
            <w:proofErr w:type="spellEnd"/>
            <w:r w:rsidRPr="0059758D">
              <w:rPr>
                <w:rFonts w:ascii="Calibri" w:hAnsi="Calibri"/>
                <w:color w:val="000000"/>
                <w:sz w:val="18"/>
              </w:rPr>
              <w:t>)</w:t>
            </w:r>
          </w:p>
        </w:tc>
        <w:tc>
          <w:tcPr>
            <w:tcW w:w="2645" w:type="dxa"/>
          </w:tcPr>
          <w:p w14:paraId="7895AFED" w14:textId="77777777" w:rsidR="00787950" w:rsidRPr="0059758D" w:rsidRDefault="00787950" w:rsidP="002962A6">
            <w:pPr>
              <w:rPr>
                <w:rFonts w:ascii="Calibri" w:hAnsi="Calibri"/>
                <w:color w:val="000000"/>
                <w:sz w:val="18"/>
              </w:rPr>
            </w:pPr>
            <w:r w:rsidRPr="0059758D">
              <w:rPr>
                <w:rFonts w:ascii="Calibri" w:hAnsi="Calibri"/>
                <w:color w:val="000000"/>
                <w:sz w:val="18"/>
              </w:rPr>
              <w:t>AMIODARONE HYDROCHLORIDE FOR INJECTION SANDOZ CANADA INCORPORATED</w:t>
            </w:r>
          </w:p>
        </w:tc>
        <w:tc>
          <w:tcPr>
            <w:tcW w:w="1531" w:type="dxa"/>
          </w:tcPr>
          <w:p w14:paraId="218B1E6C" w14:textId="77777777" w:rsidR="00787950" w:rsidRPr="0059758D" w:rsidRDefault="00787950" w:rsidP="002962A6">
            <w:pPr>
              <w:rPr>
                <w:rFonts w:asciiTheme="minorHAnsi" w:hAnsiTheme="minorHAnsi"/>
                <w:sz w:val="18"/>
              </w:rPr>
            </w:pPr>
            <w:r w:rsidRPr="0059758D">
              <w:rPr>
                <w:rFonts w:asciiTheme="minorHAnsi" w:hAnsiTheme="minorHAnsi"/>
                <w:sz w:val="18"/>
              </w:rPr>
              <w:t>amiodarone hydrochloride</w:t>
            </w:r>
          </w:p>
        </w:tc>
        <w:tc>
          <w:tcPr>
            <w:tcW w:w="1020" w:type="dxa"/>
          </w:tcPr>
          <w:p w14:paraId="711ACA81" w14:textId="77777777" w:rsidR="00787950" w:rsidRPr="0059758D" w:rsidRDefault="00787950" w:rsidP="002962A6">
            <w:pPr>
              <w:rPr>
                <w:rFonts w:asciiTheme="minorHAnsi" w:hAnsiTheme="minorHAnsi"/>
                <w:sz w:val="18"/>
              </w:rPr>
            </w:pPr>
            <w:r w:rsidRPr="0059758D">
              <w:rPr>
                <w:rFonts w:asciiTheme="minorHAnsi" w:hAnsiTheme="minorHAnsi"/>
                <w:sz w:val="18"/>
              </w:rPr>
              <w:t>150 mg per 3 mL</w:t>
            </w:r>
          </w:p>
        </w:tc>
        <w:tc>
          <w:tcPr>
            <w:tcW w:w="1272" w:type="dxa"/>
          </w:tcPr>
          <w:p w14:paraId="2BD7BCB0" w14:textId="77777777" w:rsidR="00787950" w:rsidRPr="0059758D" w:rsidRDefault="00787950" w:rsidP="002962A6">
            <w:pPr>
              <w:rPr>
                <w:rFonts w:asciiTheme="minorHAnsi" w:hAnsiTheme="minorHAnsi"/>
                <w:sz w:val="18"/>
              </w:rPr>
            </w:pPr>
            <w:r w:rsidRPr="0059758D">
              <w:rPr>
                <w:rFonts w:asciiTheme="minorHAnsi" w:hAnsiTheme="minorHAnsi"/>
                <w:sz w:val="18"/>
              </w:rPr>
              <w:t>solution for injection</w:t>
            </w:r>
          </w:p>
        </w:tc>
        <w:tc>
          <w:tcPr>
            <w:tcW w:w="1405" w:type="dxa"/>
          </w:tcPr>
          <w:p w14:paraId="0E6E6F4D" w14:textId="77777777" w:rsidR="00787950" w:rsidRPr="0059758D" w:rsidRDefault="00787950" w:rsidP="002962A6">
            <w:pPr>
              <w:rPr>
                <w:rFonts w:asciiTheme="minorHAnsi" w:hAnsiTheme="minorHAnsi"/>
                <w:sz w:val="18"/>
              </w:rPr>
            </w:pPr>
            <w:r w:rsidRPr="0059758D">
              <w:rPr>
                <w:rFonts w:asciiTheme="minorHAnsi" w:hAnsiTheme="minorHAnsi"/>
                <w:sz w:val="18"/>
              </w:rPr>
              <w:t>syringe</w:t>
            </w:r>
          </w:p>
        </w:tc>
        <w:tc>
          <w:tcPr>
            <w:tcW w:w="1284" w:type="dxa"/>
          </w:tcPr>
          <w:p w14:paraId="3DB09BC3" w14:textId="77777777" w:rsidR="00787950" w:rsidRPr="0059758D" w:rsidRDefault="00787950" w:rsidP="002962A6">
            <w:pPr>
              <w:rPr>
                <w:rFonts w:asciiTheme="minorHAnsi" w:hAnsiTheme="minorHAnsi"/>
                <w:sz w:val="18"/>
              </w:rPr>
            </w:pPr>
          </w:p>
        </w:tc>
        <w:tc>
          <w:tcPr>
            <w:tcW w:w="1284" w:type="dxa"/>
          </w:tcPr>
          <w:p w14:paraId="3B5469EC" w14:textId="77777777" w:rsidR="00787950" w:rsidRPr="0059758D" w:rsidRDefault="00787950" w:rsidP="002962A6">
            <w:pPr>
              <w:rPr>
                <w:rFonts w:asciiTheme="minorHAnsi" w:hAnsiTheme="minorHAnsi"/>
                <w:sz w:val="18"/>
              </w:rPr>
            </w:pPr>
          </w:p>
        </w:tc>
        <w:tc>
          <w:tcPr>
            <w:tcW w:w="2410" w:type="dxa"/>
          </w:tcPr>
          <w:p w14:paraId="307053A9" w14:textId="77777777" w:rsidR="00787950" w:rsidRPr="0059758D" w:rsidRDefault="00787950" w:rsidP="002962A6">
            <w:pPr>
              <w:rPr>
                <w:rFonts w:asciiTheme="minorHAnsi" w:hAnsiTheme="minorHAnsi"/>
                <w:sz w:val="18"/>
              </w:rPr>
            </w:pPr>
            <w:r w:rsidRPr="0059758D">
              <w:rPr>
                <w:rFonts w:asciiTheme="minorHAnsi" w:hAnsiTheme="minorHAnsi"/>
                <w:sz w:val="18"/>
              </w:rPr>
              <w:t>amiodarone hydrochloride 150 mg per 3 mL solution for injection syringe</w:t>
            </w:r>
          </w:p>
        </w:tc>
      </w:tr>
      <w:tr w:rsidR="0059758D" w:rsidRPr="0059758D" w14:paraId="2DFBC168" w14:textId="77777777" w:rsidTr="002962A6">
        <w:tc>
          <w:tcPr>
            <w:tcW w:w="1178" w:type="dxa"/>
          </w:tcPr>
          <w:p w14:paraId="00578A4F" w14:textId="77777777" w:rsidR="00787950" w:rsidRPr="0059758D" w:rsidRDefault="00787950" w:rsidP="002962A6">
            <w:pPr>
              <w:rPr>
                <w:rFonts w:ascii="Calibri" w:hAnsi="Calibri"/>
                <w:color w:val="000000"/>
                <w:sz w:val="18"/>
              </w:rPr>
            </w:pPr>
            <w:r w:rsidRPr="0059758D">
              <w:rPr>
                <w:rFonts w:ascii="Calibri" w:hAnsi="Calibri"/>
                <w:color w:val="000000"/>
                <w:sz w:val="18"/>
              </w:rPr>
              <w:t xml:space="preserve">02242325 (needs </w:t>
            </w:r>
            <w:proofErr w:type="spellStart"/>
            <w:r w:rsidRPr="0059758D">
              <w:rPr>
                <w:rFonts w:ascii="Calibri" w:hAnsi="Calibri"/>
                <w:color w:val="000000"/>
                <w:sz w:val="18"/>
              </w:rPr>
              <w:t>pseudoDIN</w:t>
            </w:r>
            <w:proofErr w:type="spellEnd"/>
            <w:r w:rsidRPr="0059758D">
              <w:rPr>
                <w:rFonts w:ascii="Calibri" w:hAnsi="Calibri"/>
                <w:color w:val="000000"/>
                <w:sz w:val="18"/>
              </w:rPr>
              <w:t>)</w:t>
            </w:r>
          </w:p>
        </w:tc>
        <w:tc>
          <w:tcPr>
            <w:tcW w:w="2645" w:type="dxa"/>
          </w:tcPr>
          <w:p w14:paraId="39619A58" w14:textId="77777777" w:rsidR="00787950" w:rsidRPr="0059758D" w:rsidRDefault="00787950" w:rsidP="002962A6">
            <w:pPr>
              <w:rPr>
                <w:rFonts w:ascii="Calibri" w:hAnsi="Calibri"/>
                <w:color w:val="000000"/>
                <w:sz w:val="18"/>
              </w:rPr>
            </w:pPr>
            <w:r w:rsidRPr="0059758D">
              <w:rPr>
                <w:rFonts w:ascii="Calibri" w:hAnsi="Calibri"/>
                <w:color w:val="000000"/>
                <w:sz w:val="18"/>
              </w:rPr>
              <w:t>AMIODARONE HYDROCHLORIDE FOR INJECTION SANDOZ CANADA INCORPORATED</w:t>
            </w:r>
          </w:p>
        </w:tc>
        <w:tc>
          <w:tcPr>
            <w:tcW w:w="1531" w:type="dxa"/>
          </w:tcPr>
          <w:p w14:paraId="706AEACC" w14:textId="77777777" w:rsidR="00787950" w:rsidRPr="0059758D" w:rsidRDefault="00787950" w:rsidP="002962A6">
            <w:pPr>
              <w:rPr>
                <w:rFonts w:asciiTheme="minorHAnsi" w:hAnsiTheme="minorHAnsi"/>
                <w:sz w:val="18"/>
              </w:rPr>
            </w:pPr>
            <w:r w:rsidRPr="0059758D">
              <w:rPr>
                <w:rFonts w:asciiTheme="minorHAnsi" w:hAnsiTheme="minorHAnsi"/>
                <w:sz w:val="18"/>
              </w:rPr>
              <w:t>amiodarone hydrochloride</w:t>
            </w:r>
          </w:p>
        </w:tc>
        <w:tc>
          <w:tcPr>
            <w:tcW w:w="1020" w:type="dxa"/>
          </w:tcPr>
          <w:p w14:paraId="50BE919D" w14:textId="77777777" w:rsidR="00787950" w:rsidRPr="0059758D" w:rsidRDefault="00787950" w:rsidP="002962A6">
            <w:pPr>
              <w:rPr>
                <w:rFonts w:asciiTheme="minorHAnsi" w:hAnsiTheme="minorHAnsi"/>
                <w:sz w:val="18"/>
              </w:rPr>
            </w:pPr>
            <w:r w:rsidRPr="0059758D">
              <w:rPr>
                <w:rFonts w:asciiTheme="minorHAnsi" w:hAnsiTheme="minorHAnsi"/>
                <w:sz w:val="18"/>
              </w:rPr>
              <w:t>450 mg per 9 mL</w:t>
            </w:r>
          </w:p>
        </w:tc>
        <w:tc>
          <w:tcPr>
            <w:tcW w:w="1272" w:type="dxa"/>
          </w:tcPr>
          <w:p w14:paraId="39E51777" w14:textId="77777777" w:rsidR="00787950" w:rsidRPr="0059758D" w:rsidRDefault="00787950" w:rsidP="002962A6">
            <w:pPr>
              <w:rPr>
                <w:rFonts w:asciiTheme="minorHAnsi" w:hAnsiTheme="minorHAnsi"/>
                <w:sz w:val="18"/>
              </w:rPr>
            </w:pPr>
            <w:r w:rsidRPr="0059758D">
              <w:rPr>
                <w:rFonts w:asciiTheme="minorHAnsi" w:hAnsiTheme="minorHAnsi"/>
                <w:sz w:val="18"/>
              </w:rPr>
              <w:t>solution for injection</w:t>
            </w:r>
          </w:p>
        </w:tc>
        <w:tc>
          <w:tcPr>
            <w:tcW w:w="1405" w:type="dxa"/>
          </w:tcPr>
          <w:p w14:paraId="24C20B7F" w14:textId="77777777" w:rsidR="00787950" w:rsidRPr="0059758D" w:rsidRDefault="00787950" w:rsidP="002962A6">
            <w:pPr>
              <w:rPr>
                <w:rFonts w:asciiTheme="minorHAnsi" w:hAnsiTheme="minorHAnsi"/>
                <w:sz w:val="18"/>
              </w:rPr>
            </w:pPr>
            <w:r w:rsidRPr="0059758D">
              <w:rPr>
                <w:rFonts w:asciiTheme="minorHAnsi" w:hAnsiTheme="minorHAnsi"/>
                <w:sz w:val="18"/>
              </w:rPr>
              <w:t>vial</w:t>
            </w:r>
          </w:p>
        </w:tc>
        <w:tc>
          <w:tcPr>
            <w:tcW w:w="1284" w:type="dxa"/>
          </w:tcPr>
          <w:p w14:paraId="433FC3C1" w14:textId="77777777" w:rsidR="00787950" w:rsidRPr="0059758D" w:rsidRDefault="00787950" w:rsidP="002962A6">
            <w:pPr>
              <w:rPr>
                <w:rFonts w:asciiTheme="minorHAnsi" w:hAnsiTheme="minorHAnsi"/>
                <w:sz w:val="18"/>
              </w:rPr>
            </w:pPr>
          </w:p>
        </w:tc>
        <w:tc>
          <w:tcPr>
            <w:tcW w:w="1284" w:type="dxa"/>
          </w:tcPr>
          <w:p w14:paraId="00459AEF" w14:textId="77777777" w:rsidR="00787950" w:rsidRPr="0059758D" w:rsidRDefault="00787950" w:rsidP="002962A6">
            <w:pPr>
              <w:rPr>
                <w:rFonts w:asciiTheme="minorHAnsi" w:hAnsiTheme="minorHAnsi"/>
                <w:sz w:val="18"/>
              </w:rPr>
            </w:pPr>
          </w:p>
        </w:tc>
        <w:tc>
          <w:tcPr>
            <w:tcW w:w="2410" w:type="dxa"/>
          </w:tcPr>
          <w:p w14:paraId="095571CF" w14:textId="77777777" w:rsidR="00787950" w:rsidRPr="0059758D" w:rsidRDefault="00787950" w:rsidP="002962A6">
            <w:pPr>
              <w:rPr>
                <w:rFonts w:asciiTheme="minorHAnsi" w:hAnsiTheme="minorHAnsi"/>
                <w:sz w:val="18"/>
              </w:rPr>
            </w:pPr>
            <w:r w:rsidRPr="0059758D">
              <w:rPr>
                <w:rFonts w:asciiTheme="minorHAnsi" w:hAnsiTheme="minorHAnsi"/>
                <w:sz w:val="18"/>
              </w:rPr>
              <w:t>amiodarone hydrochloride 450 mg per 9 mL solution for injection vial</w:t>
            </w:r>
          </w:p>
        </w:tc>
      </w:tr>
      <w:tr w:rsidR="0059758D" w:rsidRPr="0059758D" w14:paraId="3C706457" w14:textId="77777777" w:rsidTr="002962A6">
        <w:tc>
          <w:tcPr>
            <w:tcW w:w="1178" w:type="dxa"/>
          </w:tcPr>
          <w:p w14:paraId="2E378545" w14:textId="77777777" w:rsidR="00787950" w:rsidRPr="0059758D" w:rsidRDefault="00787950" w:rsidP="002962A6">
            <w:pPr>
              <w:rPr>
                <w:rFonts w:ascii="Calibri" w:hAnsi="Calibri"/>
                <w:color w:val="000000"/>
                <w:sz w:val="18"/>
              </w:rPr>
            </w:pPr>
            <w:r w:rsidRPr="0059758D">
              <w:rPr>
                <w:rFonts w:ascii="Calibri" w:hAnsi="Calibri"/>
                <w:color w:val="000000"/>
                <w:sz w:val="18"/>
              </w:rPr>
              <w:t xml:space="preserve">02246953 (needs </w:t>
            </w:r>
            <w:proofErr w:type="spellStart"/>
            <w:r w:rsidRPr="0059758D">
              <w:rPr>
                <w:rFonts w:ascii="Calibri" w:hAnsi="Calibri"/>
                <w:color w:val="000000"/>
                <w:sz w:val="18"/>
              </w:rPr>
              <w:t>pseudoDIN</w:t>
            </w:r>
            <w:proofErr w:type="spellEnd"/>
            <w:r w:rsidRPr="0059758D">
              <w:rPr>
                <w:rFonts w:ascii="Calibri" w:hAnsi="Calibri"/>
                <w:color w:val="000000"/>
                <w:sz w:val="18"/>
              </w:rPr>
              <w:t>)</w:t>
            </w:r>
          </w:p>
        </w:tc>
        <w:tc>
          <w:tcPr>
            <w:tcW w:w="2645" w:type="dxa"/>
          </w:tcPr>
          <w:p w14:paraId="23007223" w14:textId="77777777" w:rsidR="00787950" w:rsidRPr="0059758D" w:rsidRDefault="00787950" w:rsidP="002962A6">
            <w:pPr>
              <w:rPr>
                <w:rFonts w:asciiTheme="minorHAnsi" w:hAnsiTheme="minorHAnsi"/>
                <w:sz w:val="18"/>
              </w:rPr>
            </w:pPr>
            <w:r w:rsidRPr="0059758D">
              <w:rPr>
                <w:rFonts w:ascii="Calibri" w:hAnsi="Calibri"/>
                <w:color w:val="000000"/>
                <w:sz w:val="18"/>
              </w:rPr>
              <w:t xml:space="preserve">AMIODARONE FOR INJECTION 50MG/ML </w:t>
            </w:r>
            <w:hyperlink r:id="rId14" w:tooltip="More products from this company" w:history="1">
              <w:r w:rsidRPr="0059758D">
                <w:rPr>
                  <w:rFonts w:ascii="Calibri" w:hAnsi="Calibri"/>
                  <w:color w:val="000000"/>
                  <w:sz w:val="18"/>
                </w:rPr>
                <w:t>TEVA CANADA L</w:t>
              </w:r>
            </w:hyperlink>
            <w:r w:rsidRPr="0059758D">
              <w:rPr>
                <w:rFonts w:ascii="Calibri" w:hAnsi="Calibri"/>
                <w:color w:val="000000"/>
                <w:sz w:val="18"/>
              </w:rPr>
              <w:t>IMITED</w:t>
            </w:r>
          </w:p>
        </w:tc>
        <w:tc>
          <w:tcPr>
            <w:tcW w:w="1531" w:type="dxa"/>
          </w:tcPr>
          <w:p w14:paraId="63275E2D" w14:textId="77777777" w:rsidR="00787950" w:rsidRPr="0059758D" w:rsidRDefault="00787950" w:rsidP="002962A6">
            <w:pPr>
              <w:rPr>
                <w:rFonts w:asciiTheme="minorHAnsi" w:hAnsiTheme="minorHAnsi"/>
                <w:sz w:val="18"/>
              </w:rPr>
            </w:pPr>
            <w:r w:rsidRPr="0059758D">
              <w:rPr>
                <w:rFonts w:asciiTheme="minorHAnsi" w:hAnsiTheme="minorHAnsi"/>
                <w:sz w:val="18"/>
              </w:rPr>
              <w:t>amiodarone hydrochloride</w:t>
            </w:r>
          </w:p>
        </w:tc>
        <w:tc>
          <w:tcPr>
            <w:tcW w:w="1020" w:type="dxa"/>
          </w:tcPr>
          <w:p w14:paraId="7854C20B" w14:textId="77777777" w:rsidR="00787950" w:rsidRPr="0059758D" w:rsidRDefault="00787950" w:rsidP="002962A6">
            <w:pPr>
              <w:rPr>
                <w:rFonts w:asciiTheme="minorHAnsi" w:hAnsiTheme="minorHAnsi"/>
                <w:sz w:val="18"/>
              </w:rPr>
            </w:pPr>
            <w:r w:rsidRPr="0059758D">
              <w:rPr>
                <w:rFonts w:asciiTheme="minorHAnsi" w:hAnsiTheme="minorHAnsi"/>
                <w:sz w:val="18"/>
              </w:rPr>
              <w:t>900 mg per 18 mL</w:t>
            </w:r>
          </w:p>
        </w:tc>
        <w:tc>
          <w:tcPr>
            <w:tcW w:w="1272" w:type="dxa"/>
          </w:tcPr>
          <w:p w14:paraId="66A5127C" w14:textId="77777777" w:rsidR="00787950" w:rsidRPr="0059758D" w:rsidRDefault="00787950" w:rsidP="002962A6">
            <w:pPr>
              <w:rPr>
                <w:rFonts w:asciiTheme="minorHAnsi" w:hAnsiTheme="minorHAnsi"/>
                <w:sz w:val="18"/>
              </w:rPr>
            </w:pPr>
            <w:r w:rsidRPr="0059758D">
              <w:rPr>
                <w:rFonts w:asciiTheme="minorHAnsi" w:hAnsiTheme="minorHAnsi"/>
                <w:sz w:val="18"/>
              </w:rPr>
              <w:t>solution for injection</w:t>
            </w:r>
          </w:p>
        </w:tc>
        <w:tc>
          <w:tcPr>
            <w:tcW w:w="1405" w:type="dxa"/>
          </w:tcPr>
          <w:p w14:paraId="65C30DDD" w14:textId="77777777" w:rsidR="00787950" w:rsidRPr="0059758D" w:rsidRDefault="00787950" w:rsidP="002962A6">
            <w:pPr>
              <w:rPr>
                <w:rFonts w:asciiTheme="minorHAnsi" w:hAnsiTheme="minorHAnsi"/>
                <w:sz w:val="18"/>
              </w:rPr>
            </w:pPr>
            <w:r w:rsidRPr="0059758D">
              <w:rPr>
                <w:rFonts w:asciiTheme="minorHAnsi" w:hAnsiTheme="minorHAnsi"/>
                <w:sz w:val="18"/>
              </w:rPr>
              <w:t>vial</w:t>
            </w:r>
          </w:p>
        </w:tc>
        <w:tc>
          <w:tcPr>
            <w:tcW w:w="1284" w:type="dxa"/>
          </w:tcPr>
          <w:p w14:paraId="06F7C9EE" w14:textId="77777777" w:rsidR="00787950" w:rsidRPr="0059758D" w:rsidRDefault="00787950" w:rsidP="002962A6">
            <w:pPr>
              <w:rPr>
                <w:rFonts w:asciiTheme="minorHAnsi" w:hAnsiTheme="minorHAnsi"/>
                <w:sz w:val="18"/>
              </w:rPr>
            </w:pPr>
          </w:p>
        </w:tc>
        <w:tc>
          <w:tcPr>
            <w:tcW w:w="1284" w:type="dxa"/>
          </w:tcPr>
          <w:p w14:paraId="6B0A5F7D" w14:textId="77777777" w:rsidR="00787950" w:rsidRPr="0059758D" w:rsidRDefault="00787950" w:rsidP="002962A6">
            <w:pPr>
              <w:rPr>
                <w:rFonts w:asciiTheme="minorHAnsi" w:hAnsiTheme="minorHAnsi"/>
                <w:sz w:val="18"/>
              </w:rPr>
            </w:pPr>
          </w:p>
        </w:tc>
        <w:tc>
          <w:tcPr>
            <w:tcW w:w="2410" w:type="dxa"/>
            <w:vMerge w:val="restart"/>
            <w:vAlign w:val="center"/>
          </w:tcPr>
          <w:p w14:paraId="07FE28D0" w14:textId="77777777" w:rsidR="00787950" w:rsidRPr="0059758D" w:rsidRDefault="00787950" w:rsidP="002962A6">
            <w:pPr>
              <w:rPr>
                <w:rFonts w:asciiTheme="minorHAnsi" w:hAnsiTheme="minorHAnsi"/>
                <w:sz w:val="18"/>
              </w:rPr>
            </w:pPr>
            <w:r w:rsidRPr="0059758D">
              <w:rPr>
                <w:rFonts w:asciiTheme="minorHAnsi" w:hAnsiTheme="minorHAnsi"/>
                <w:sz w:val="18"/>
              </w:rPr>
              <w:t>amiodarone hydrochloride 900 mg per 18 mL solution for injection vial</w:t>
            </w:r>
          </w:p>
        </w:tc>
      </w:tr>
      <w:tr w:rsidR="0059758D" w:rsidRPr="0059758D" w14:paraId="294387B8" w14:textId="77777777" w:rsidTr="002962A6">
        <w:tc>
          <w:tcPr>
            <w:tcW w:w="1178" w:type="dxa"/>
          </w:tcPr>
          <w:p w14:paraId="3EC640F6" w14:textId="77777777" w:rsidR="00787950" w:rsidRPr="0059758D" w:rsidRDefault="00787950" w:rsidP="002962A6">
            <w:pPr>
              <w:rPr>
                <w:rFonts w:ascii="Calibri" w:hAnsi="Calibri"/>
                <w:color w:val="000000"/>
                <w:sz w:val="18"/>
              </w:rPr>
            </w:pPr>
            <w:r w:rsidRPr="0059758D">
              <w:rPr>
                <w:rFonts w:ascii="Calibri" w:hAnsi="Calibri"/>
                <w:color w:val="000000"/>
                <w:sz w:val="18"/>
              </w:rPr>
              <w:t xml:space="preserve">02242325 (needs </w:t>
            </w:r>
            <w:proofErr w:type="spellStart"/>
            <w:r w:rsidRPr="0059758D">
              <w:rPr>
                <w:rFonts w:ascii="Calibri" w:hAnsi="Calibri"/>
                <w:color w:val="000000"/>
                <w:sz w:val="18"/>
              </w:rPr>
              <w:t>pseudoDIN</w:t>
            </w:r>
            <w:proofErr w:type="spellEnd"/>
            <w:r w:rsidRPr="0059758D">
              <w:rPr>
                <w:rFonts w:ascii="Calibri" w:hAnsi="Calibri"/>
                <w:color w:val="000000"/>
                <w:sz w:val="18"/>
              </w:rPr>
              <w:t>)</w:t>
            </w:r>
          </w:p>
        </w:tc>
        <w:tc>
          <w:tcPr>
            <w:tcW w:w="2645" w:type="dxa"/>
          </w:tcPr>
          <w:p w14:paraId="56B6F1A9" w14:textId="77777777" w:rsidR="00787950" w:rsidRPr="0059758D" w:rsidRDefault="00787950" w:rsidP="002962A6">
            <w:pPr>
              <w:rPr>
                <w:rFonts w:ascii="Calibri" w:hAnsi="Calibri"/>
                <w:color w:val="000000"/>
                <w:sz w:val="18"/>
              </w:rPr>
            </w:pPr>
            <w:r w:rsidRPr="0059758D">
              <w:rPr>
                <w:rFonts w:ascii="Calibri" w:hAnsi="Calibri"/>
                <w:color w:val="000000"/>
                <w:sz w:val="18"/>
              </w:rPr>
              <w:t>AMIODARONE HYDROCHLORIDE FOR INJECTION SANDOZ CANADA INCORPORATED</w:t>
            </w:r>
          </w:p>
        </w:tc>
        <w:tc>
          <w:tcPr>
            <w:tcW w:w="1531" w:type="dxa"/>
          </w:tcPr>
          <w:p w14:paraId="4361C77F" w14:textId="77777777" w:rsidR="00787950" w:rsidRPr="0059758D" w:rsidRDefault="00787950" w:rsidP="002962A6">
            <w:pPr>
              <w:rPr>
                <w:rFonts w:asciiTheme="minorHAnsi" w:hAnsiTheme="minorHAnsi"/>
                <w:sz w:val="18"/>
              </w:rPr>
            </w:pPr>
            <w:r w:rsidRPr="0059758D">
              <w:rPr>
                <w:rFonts w:asciiTheme="minorHAnsi" w:hAnsiTheme="minorHAnsi"/>
                <w:sz w:val="18"/>
              </w:rPr>
              <w:t>amiodarone hydrochloride</w:t>
            </w:r>
          </w:p>
        </w:tc>
        <w:tc>
          <w:tcPr>
            <w:tcW w:w="1020" w:type="dxa"/>
          </w:tcPr>
          <w:p w14:paraId="192F2A95" w14:textId="77777777" w:rsidR="00787950" w:rsidRPr="0059758D" w:rsidRDefault="00787950" w:rsidP="002962A6">
            <w:pPr>
              <w:rPr>
                <w:rFonts w:asciiTheme="minorHAnsi" w:hAnsiTheme="minorHAnsi"/>
                <w:sz w:val="18"/>
              </w:rPr>
            </w:pPr>
            <w:r w:rsidRPr="0059758D">
              <w:rPr>
                <w:rFonts w:asciiTheme="minorHAnsi" w:hAnsiTheme="minorHAnsi"/>
                <w:sz w:val="18"/>
              </w:rPr>
              <w:t>900 mg per 18 mL</w:t>
            </w:r>
          </w:p>
        </w:tc>
        <w:tc>
          <w:tcPr>
            <w:tcW w:w="1272" w:type="dxa"/>
          </w:tcPr>
          <w:p w14:paraId="418148A1" w14:textId="77777777" w:rsidR="00787950" w:rsidRPr="0059758D" w:rsidRDefault="00787950" w:rsidP="002962A6">
            <w:pPr>
              <w:rPr>
                <w:rFonts w:asciiTheme="minorHAnsi" w:hAnsiTheme="minorHAnsi"/>
                <w:sz w:val="18"/>
              </w:rPr>
            </w:pPr>
            <w:r w:rsidRPr="0059758D">
              <w:rPr>
                <w:rFonts w:asciiTheme="minorHAnsi" w:hAnsiTheme="minorHAnsi"/>
                <w:sz w:val="18"/>
              </w:rPr>
              <w:t>solution for injection</w:t>
            </w:r>
          </w:p>
        </w:tc>
        <w:tc>
          <w:tcPr>
            <w:tcW w:w="1405" w:type="dxa"/>
          </w:tcPr>
          <w:p w14:paraId="17CC32AA" w14:textId="77777777" w:rsidR="00787950" w:rsidRPr="0059758D" w:rsidRDefault="00787950" w:rsidP="002962A6">
            <w:pPr>
              <w:rPr>
                <w:rFonts w:asciiTheme="minorHAnsi" w:hAnsiTheme="minorHAnsi"/>
                <w:sz w:val="18"/>
              </w:rPr>
            </w:pPr>
            <w:r w:rsidRPr="0059758D">
              <w:rPr>
                <w:rFonts w:asciiTheme="minorHAnsi" w:hAnsiTheme="minorHAnsi"/>
                <w:sz w:val="18"/>
              </w:rPr>
              <w:t>vial</w:t>
            </w:r>
          </w:p>
        </w:tc>
        <w:tc>
          <w:tcPr>
            <w:tcW w:w="1284" w:type="dxa"/>
          </w:tcPr>
          <w:p w14:paraId="0FC065FF" w14:textId="77777777" w:rsidR="00787950" w:rsidRPr="0059758D" w:rsidRDefault="00787950" w:rsidP="002962A6">
            <w:pPr>
              <w:rPr>
                <w:rFonts w:asciiTheme="minorHAnsi" w:hAnsiTheme="minorHAnsi"/>
                <w:sz w:val="18"/>
              </w:rPr>
            </w:pPr>
          </w:p>
        </w:tc>
        <w:tc>
          <w:tcPr>
            <w:tcW w:w="1284" w:type="dxa"/>
          </w:tcPr>
          <w:p w14:paraId="6315B0FD" w14:textId="77777777" w:rsidR="00787950" w:rsidRPr="0059758D" w:rsidRDefault="00787950" w:rsidP="002962A6">
            <w:pPr>
              <w:rPr>
                <w:rFonts w:asciiTheme="minorHAnsi" w:hAnsiTheme="minorHAnsi"/>
                <w:sz w:val="18"/>
              </w:rPr>
            </w:pPr>
          </w:p>
        </w:tc>
        <w:tc>
          <w:tcPr>
            <w:tcW w:w="2410" w:type="dxa"/>
            <w:vMerge/>
          </w:tcPr>
          <w:p w14:paraId="5233D371" w14:textId="77777777" w:rsidR="00787950" w:rsidRPr="0059758D" w:rsidRDefault="00787950" w:rsidP="002962A6">
            <w:pPr>
              <w:rPr>
                <w:rFonts w:asciiTheme="minorHAnsi" w:hAnsiTheme="minorHAnsi"/>
                <w:sz w:val="18"/>
              </w:rPr>
            </w:pPr>
          </w:p>
        </w:tc>
      </w:tr>
    </w:tbl>
    <w:p w14:paraId="1040A6B9" w14:textId="77777777" w:rsidR="00787950" w:rsidRPr="00226036" w:rsidRDefault="00787950" w:rsidP="00226036">
      <w:pPr>
        <w:rPr>
          <w:i/>
          <w:color w:val="BFBFBF" w:themeColor="background1" w:themeShade="BF"/>
        </w:rPr>
      </w:pPr>
      <w:bookmarkStart w:id="0" w:name="_GoBack"/>
      <w:bookmarkEnd w:id="0"/>
    </w:p>
    <w:p w14:paraId="55A02B88" w14:textId="77777777" w:rsidR="00787950" w:rsidRPr="00067C58" w:rsidRDefault="00787950" w:rsidP="0059758D">
      <w:pPr>
        <w:pStyle w:val="ListParagraph"/>
        <w:numPr>
          <w:ilvl w:val="0"/>
          <w:numId w:val="5"/>
        </w:numPr>
        <w:spacing w:after="0" w:line="240" w:lineRule="auto"/>
        <w:rPr>
          <w:rFonts w:asciiTheme="minorHAnsi" w:hAnsiTheme="minorHAnsi"/>
        </w:rPr>
      </w:pPr>
      <w:r>
        <w:rPr>
          <w:rFonts w:asciiTheme="minorHAnsi" w:hAnsiTheme="minorHAnsi"/>
        </w:rPr>
        <w:t>Note: not all presentations for insulin glargine or amiodarone are shown in the table</w:t>
      </w:r>
    </w:p>
    <w:p w14:paraId="4851DC7B" w14:textId="6E6AD1E1" w:rsidR="00943BBE" w:rsidRDefault="00943BBE" w:rsidP="00324720">
      <w:pPr>
        <w:pStyle w:val="CHIBodyCopy"/>
      </w:pPr>
    </w:p>
    <w:p w14:paraId="13029DFA" w14:textId="77777777" w:rsidR="002962A6" w:rsidRDefault="002962A6" w:rsidP="00324720">
      <w:pPr>
        <w:pStyle w:val="CHIBodyCopy"/>
        <w:sectPr w:rsidR="002962A6" w:rsidSect="00787950">
          <w:headerReference w:type="first" r:id="rId15"/>
          <w:pgSz w:w="15840" w:h="12240" w:orient="landscape"/>
          <w:pgMar w:top="1296" w:right="2160" w:bottom="720" w:left="1080" w:header="720" w:footer="518" w:gutter="0"/>
          <w:cols w:space="720"/>
          <w:titlePg/>
          <w:docGrid w:linePitch="326"/>
        </w:sectPr>
      </w:pPr>
    </w:p>
    <w:p w14:paraId="748C999C" w14:textId="3EAB3376" w:rsidR="00943BBE" w:rsidRDefault="00943BBE" w:rsidP="00943BBE">
      <w:pPr>
        <w:pStyle w:val="Heading3"/>
        <w:rPr>
          <w:i/>
          <w:sz w:val="32"/>
        </w:rPr>
      </w:pPr>
      <w:r>
        <w:rPr>
          <w:i/>
          <w:sz w:val="32"/>
        </w:rPr>
        <w:lastRenderedPageBreak/>
        <w:t>Appendices</w:t>
      </w:r>
    </w:p>
    <w:p w14:paraId="60243608" w14:textId="6802E217" w:rsidR="00943BBE" w:rsidRDefault="00943BBE" w:rsidP="00943BBE">
      <w:pPr>
        <w:pStyle w:val="Heading2"/>
      </w:pPr>
      <w:r>
        <w:t>Observations from the UK’s NHS dm+d (Dictionary of Medicines and Devices)</w:t>
      </w:r>
    </w:p>
    <w:p w14:paraId="6839BBAD" w14:textId="77777777" w:rsidR="00943BBE" w:rsidRDefault="00943BBE" w:rsidP="00943BBE">
      <w:pPr>
        <w:rPr>
          <w:rFonts w:asciiTheme="minorHAnsi" w:hAnsiTheme="minorHAnsi"/>
        </w:rPr>
      </w:pPr>
    </w:p>
    <w:p w14:paraId="09E1D5D6" w14:textId="77777777" w:rsidR="00943BBE" w:rsidRDefault="00943BBE" w:rsidP="00943BBE">
      <w:pPr>
        <w:rPr>
          <w:rFonts w:asciiTheme="minorHAnsi" w:hAnsiTheme="minorHAnsi"/>
        </w:rPr>
      </w:pPr>
      <w:r>
        <w:rPr>
          <w:rFonts w:asciiTheme="minorHAnsi" w:hAnsiTheme="minorHAnsi"/>
        </w:rPr>
        <w:t>One of the things that was useful to help folk understand the role of the unit of presentation in defining the  VMP (the equivalent to the NTP) was to say that the VMP concept represented “</w:t>
      </w:r>
      <w:r w:rsidRPr="00416493">
        <w:rPr>
          <w:rFonts w:asciiTheme="minorHAnsi" w:hAnsiTheme="minorHAnsi"/>
          <w:b/>
        </w:rPr>
        <w:t>the one thing you hold in your hand</w:t>
      </w:r>
      <w:r>
        <w:rPr>
          <w:rFonts w:asciiTheme="minorHAnsi" w:hAnsiTheme="minorHAnsi"/>
        </w:rPr>
        <w:t>” without any outer packaging.  Sometimes that meant that there needed to be something extra, beyond ‘substance-strength set and dosage form’, to fully describe what that “one thing” was:</w:t>
      </w:r>
    </w:p>
    <w:p w14:paraId="37D51B21" w14:textId="77777777" w:rsidR="00943BBE" w:rsidRDefault="00943BBE" w:rsidP="00943BBE">
      <w:pPr>
        <w:rPr>
          <w:rFonts w:asciiTheme="minorHAnsi" w:hAnsiTheme="minorHAnsi"/>
        </w:rPr>
      </w:pPr>
    </w:p>
    <w:p w14:paraId="057E9729" w14:textId="4AD5D3D6" w:rsidR="00943BBE" w:rsidRPr="00943BBE" w:rsidRDefault="00943BBE" w:rsidP="0059758D">
      <w:pPr>
        <w:pStyle w:val="ListParagraph"/>
        <w:numPr>
          <w:ilvl w:val="0"/>
          <w:numId w:val="11"/>
        </w:numPr>
        <w:rPr>
          <w:rFonts w:asciiTheme="minorHAnsi" w:hAnsiTheme="minorHAnsi"/>
        </w:rPr>
      </w:pPr>
      <w:r w:rsidRPr="00943BBE">
        <w:rPr>
          <w:rFonts w:asciiTheme="minorHAnsi" w:hAnsiTheme="minorHAnsi"/>
        </w:rPr>
        <w:t xml:space="preserve">For </w:t>
      </w:r>
      <w:r w:rsidRPr="00943BBE">
        <w:rPr>
          <w:rFonts w:asciiTheme="minorHAnsi" w:hAnsiTheme="minorHAnsi"/>
          <w:b/>
        </w:rPr>
        <w:t>discrete solid dosage forms</w:t>
      </w:r>
      <w:r w:rsidRPr="00943BBE">
        <w:rPr>
          <w:rFonts w:asciiTheme="minorHAnsi" w:hAnsiTheme="minorHAnsi"/>
        </w:rPr>
        <w:t>: tablet, capsule, suppository, pessary, vial/ampoule of dry powder for injection; sachet of powder or granules (where the strength is amount per sachet), the one thing you hold in your hand can be explicitly identified just using ‘substance-strength set and dosage form’ because the dosage form tells you what t</w:t>
      </w:r>
      <w:r>
        <w:rPr>
          <w:rFonts w:asciiTheme="minorHAnsi" w:hAnsiTheme="minorHAnsi"/>
        </w:rPr>
        <w:t>ype of thing the ‘one thing’ is</w:t>
      </w:r>
    </w:p>
    <w:p w14:paraId="6479AF06" w14:textId="77777777" w:rsidR="00943BBE" w:rsidRDefault="00943BBE" w:rsidP="00943BBE">
      <w:pPr>
        <w:rPr>
          <w:rFonts w:asciiTheme="minorHAnsi" w:hAnsiTheme="minorHAnsi"/>
        </w:rPr>
      </w:pPr>
    </w:p>
    <w:p w14:paraId="2B3C5CB0" w14:textId="3D926702" w:rsidR="00943BBE" w:rsidRDefault="00943BBE" w:rsidP="0059758D">
      <w:pPr>
        <w:pStyle w:val="ListParagraph"/>
        <w:numPr>
          <w:ilvl w:val="0"/>
          <w:numId w:val="11"/>
        </w:numPr>
        <w:rPr>
          <w:rFonts w:asciiTheme="minorHAnsi" w:hAnsiTheme="minorHAnsi"/>
        </w:rPr>
      </w:pPr>
      <w:r w:rsidRPr="00943BBE">
        <w:rPr>
          <w:rFonts w:asciiTheme="minorHAnsi" w:hAnsiTheme="minorHAnsi"/>
        </w:rPr>
        <w:t xml:space="preserve">For </w:t>
      </w:r>
      <w:r w:rsidRPr="00943BBE">
        <w:rPr>
          <w:rFonts w:asciiTheme="minorHAnsi" w:hAnsiTheme="minorHAnsi"/>
          <w:b/>
        </w:rPr>
        <w:t>discrete presentations of solid dosage forms</w:t>
      </w:r>
      <w:r w:rsidRPr="00943BBE">
        <w:rPr>
          <w:rFonts w:asciiTheme="minorHAnsi" w:hAnsiTheme="minorHAnsi"/>
        </w:rPr>
        <w:t xml:space="preserve"> such as sachets of powder or granules the one thing you hold in your hand</w:t>
      </w:r>
      <w:r>
        <w:rPr>
          <w:rFonts w:asciiTheme="minorHAnsi" w:hAnsiTheme="minorHAnsi"/>
        </w:rPr>
        <w:t xml:space="preserve"> (the sachet)</w:t>
      </w:r>
      <w:r w:rsidRPr="00943BBE">
        <w:rPr>
          <w:rFonts w:asciiTheme="minorHAnsi" w:hAnsiTheme="minorHAnsi"/>
        </w:rPr>
        <w:t xml:space="preserve"> can be explicitly identified just using ‘substance-strength set and dosage form’ because the strength denominator is explicit (</w:t>
      </w:r>
      <w:r>
        <w:rPr>
          <w:rFonts w:asciiTheme="minorHAnsi" w:hAnsiTheme="minorHAnsi"/>
        </w:rPr>
        <w:t xml:space="preserve">exotocillin 250 mg </w:t>
      </w:r>
      <w:r w:rsidRPr="00943BBE">
        <w:rPr>
          <w:rFonts w:asciiTheme="minorHAnsi" w:hAnsiTheme="minorHAnsi"/>
        </w:rPr>
        <w:t xml:space="preserve">per </w:t>
      </w:r>
      <w:r>
        <w:rPr>
          <w:rFonts w:asciiTheme="minorHAnsi" w:hAnsiTheme="minorHAnsi"/>
        </w:rPr>
        <w:t xml:space="preserve">1 </w:t>
      </w:r>
      <w:r w:rsidRPr="00943BBE">
        <w:rPr>
          <w:rFonts w:asciiTheme="minorHAnsi" w:hAnsiTheme="minorHAnsi"/>
        </w:rPr>
        <w:t>sachet</w:t>
      </w:r>
      <w:r>
        <w:rPr>
          <w:rFonts w:asciiTheme="minorHAnsi" w:hAnsiTheme="minorHAnsi"/>
        </w:rPr>
        <w:t xml:space="preserve"> oral powder</w:t>
      </w:r>
      <w:r w:rsidRPr="00943BBE">
        <w:rPr>
          <w:rFonts w:asciiTheme="minorHAnsi" w:hAnsiTheme="minorHAnsi"/>
        </w:rPr>
        <w:t xml:space="preserve">) </w:t>
      </w:r>
    </w:p>
    <w:p w14:paraId="68D9DB7E" w14:textId="77777777" w:rsidR="00943BBE" w:rsidRPr="00943BBE" w:rsidRDefault="00943BBE" w:rsidP="00943BBE">
      <w:pPr>
        <w:pStyle w:val="ListParagraph"/>
        <w:rPr>
          <w:rFonts w:asciiTheme="minorHAnsi" w:hAnsiTheme="minorHAnsi"/>
        </w:rPr>
      </w:pPr>
    </w:p>
    <w:p w14:paraId="6651BD59" w14:textId="7BF06282" w:rsidR="00943BBE" w:rsidRPr="00943BBE" w:rsidRDefault="00943BBE" w:rsidP="0059758D">
      <w:pPr>
        <w:pStyle w:val="ListParagraph"/>
        <w:numPr>
          <w:ilvl w:val="0"/>
          <w:numId w:val="11"/>
        </w:numPr>
        <w:rPr>
          <w:rFonts w:asciiTheme="minorHAnsi" w:hAnsiTheme="minorHAnsi"/>
        </w:rPr>
      </w:pPr>
      <w:r w:rsidRPr="00943BBE">
        <w:rPr>
          <w:rFonts w:asciiTheme="minorHAnsi" w:hAnsiTheme="minorHAnsi"/>
        </w:rPr>
        <w:t xml:space="preserve">For </w:t>
      </w:r>
      <w:r w:rsidRPr="00943BBE">
        <w:rPr>
          <w:rFonts w:asciiTheme="minorHAnsi" w:hAnsiTheme="minorHAnsi"/>
          <w:b/>
        </w:rPr>
        <w:t>discrete presentations of solid dosage forms</w:t>
      </w:r>
      <w:r w:rsidRPr="00943BBE">
        <w:rPr>
          <w:rFonts w:asciiTheme="minorHAnsi" w:hAnsiTheme="minorHAnsi"/>
        </w:rPr>
        <w:t xml:space="preserve"> such as vials/ampoules of dry powder for injection the one thing you hold in your hand </w:t>
      </w:r>
      <w:r>
        <w:rPr>
          <w:rFonts w:asciiTheme="minorHAnsi" w:hAnsiTheme="minorHAnsi"/>
        </w:rPr>
        <w:t>is</w:t>
      </w:r>
      <w:r w:rsidRPr="00943BBE">
        <w:rPr>
          <w:rFonts w:asciiTheme="minorHAnsi" w:hAnsiTheme="minorHAnsi"/>
        </w:rPr>
        <w:t xml:space="preserve"> a vial or ampoule of some sort</w:t>
      </w:r>
      <w:r>
        <w:rPr>
          <w:rFonts w:asciiTheme="minorHAnsi" w:hAnsiTheme="minorHAnsi"/>
        </w:rPr>
        <w:t xml:space="preserve">; this is the unit of presentation, </w:t>
      </w:r>
      <w:r w:rsidRPr="00943BBE">
        <w:rPr>
          <w:rFonts w:asciiTheme="minorHAnsi" w:hAnsiTheme="minorHAnsi"/>
        </w:rPr>
        <w:t xml:space="preserve">NHS dm+d </w:t>
      </w:r>
      <w:r>
        <w:rPr>
          <w:rFonts w:asciiTheme="minorHAnsi" w:hAnsiTheme="minorHAnsi"/>
        </w:rPr>
        <w:t>expresses explicitly (</w:t>
      </w:r>
      <w:proofErr w:type="spellStart"/>
      <w:r>
        <w:rPr>
          <w:rFonts w:asciiTheme="minorHAnsi" w:hAnsiTheme="minorHAnsi"/>
        </w:rPr>
        <w:t>exotamumab</w:t>
      </w:r>
      <w:proofErr w:type="spellEnd"/>
      <w:r>
        <w:rPr>
          <w:rFonts w:asciiTheme="minorHAnsi" w:hAnsiTheme="minorHAnsi"/>
        </w:rPr>
        <w:t xml:space="preserve"> 100 mg powder for solution for injection vial)</w:t>
      </w:r>
    </w:p>
    <w:p w14:paraId="45BC87CE" w14:textId="77777777" w:rsidR="00943BBE" w:rsidRDefault="00943BBE" w:rsidP="00943BBE">
      <w:pPr>
        <w:rPr>
          <w:rFonts w:asciiTheme="minorHAnsi" w:hAnsiTheme="minorHAnsi"/>
        </w:rPr>
      </w:pPr>
    </w:p>
    <w:p w14:paraId="6CB2C8B1" w14:textId="0194C3CF" w:rsidR="00943BBE" w:rsidRPr="0059758D" w:rsidRDefault="00943BBE" w:rsidP="0059758D">
      <w:pPr>
        <w:pStyle w:val="ListParagraph"/>
        <w:numPr>
          <w:ilvl w:val="0"/>
          <w:numId w:val="11"/>
        </w:numPr>
        <w:rPr>
          <w:rFonts w:asciiTheme="minorHAnsi" w:hAnsiTheme="minorHAnsi"/>
        </w:rPr>
      </w:pPr>
      <w:r w:rsidRPr="0059758D">
        <w:rPr>
          <w:rFonts w:asciiTheme="minorHAnsi" w:hAnsiTheme="minorHAnsi"/>
        </w:rPr>
        <w:t xml:space="preserve">For </w:t>
      </w:r>
      <w:r w:rsidRPr="0059758D">
        <w:rPr>
          <w:rFonts w:asciiTheme="minorHAnsi" w:hAnsiTheme="minorHAnsi"/>
          <w:b/>
        </w:rPr>
        <w:t>continuous</w:t>
      </w:r>
      <w:r w:rsidRPr="0059758D">
        <w:rPr>
          <w:rFonts w:asciiTheme="minorHAnsi" w:hAnsiTheme="minorHAnsi"/>
        </w:rPr>
        <w:t xml:space="preserve"> </w:t>
      </w:r>
      <w:r w:rsidRPr="0059758D">
        <w:rPr>
          <w:rFonts w:asciiTheme="minorHAnsi" w:hAnsiTheme="minorHAnsi"/>
          <w:b/>
        </w:rPr>
        <w:t>dosage forms</w:t>
      </w:r>
      <w:r w:rsidRPr="0059758D">
        <w:rPr>
          <w:rFonts w:asciiTheme="minorHAnsi" w:hAnsiTheme="minorHAnsi"/>
        </w:rPr>
        <w:t>: such as: a 5 mL teaspoonful; vials/ampoules/cartridges of solution/suspension/emulsion for injection; oral solutions/suspensions presented as drops; prefilled syringes; “</w:t>
      </w:r>
      <w:proofErr w:type="spellStart"/>
      <w:r w:rsidRPr="0059758D">
        <w:rPr>
          <w:rFonts w:asciiTheme="minorHAnsi" w:hAnsiTheme="minorHAnsi"/>
        </w:rPr>
        <w:t>nebules</w:t>
      </w:r>
      <w:proofErr w:type="spellEnd"/>
      <w:r w:rsidRPr="0059758D">
        <w:rPr>
          <w:rFonts w:asciiTheme="minorHAnsi" w:hAnsiTheme="minorHAnsi"/>
        </w:rPr>
        <w:t>”/unit dose vials</w:t>
      </w:r>
      <w:r w:rsidR="0059758D" w:rsidRPr="0059758D">
        <w:rPr>
          <w:rFonts w:asciiTheme="minorHAnsi" w:hAnsiTheme="minorHAnsi"/>
        </w:rPr>
        <w:t>; E</w:t>
      </w:r>
      <w:r w:rsidRPr="0059758D">
        <w:rPr>
          <w:rFonts w:asciiTheme="minorHAnsi" w:hAnsiTheme="minorHAnsi"/>
        </w:rPr>
        <w:t>xpression of presentation strength</w:t>
      </w:r>
      <w:r w:rsidR="0059758D" w:rsidRPr="0059758D">
        <w:rPr>
          <w:rFonts w:asciiTheme="minorHAnsi" w:hAnsiTheme="minorHAnsi"/>
        </w:rPr>
        <w:t xml:space="preserve"> is explicit for what is held in the hand</w:t>
      </w:r>
      <w:r w:rsidRPr="0059758D">
        <w:rPr>
          <w:rFonts w:asciiTheme="minorHAnsi" w:hAnsiTheme="minorHAnsi"/>
        </w:rPr>
        <w:t>…</w:t>
      </w:r>
      <w:r w:rsidRPr="0059758D">
        <w:rPr>
          <w:rFonts w:asciiTheme="minorHAnsi" w:hAnsiTheme="minorHAnsi"/>
          <w:i/>
          <w:color w:val="FF0000"/>
        </w:rPr>
        <w:t>for everything but insulins</w:t>
      </w:r>
      <w:r w:rsidRPr="0059758D">
        <w:rPr>
          <w:rFonts w:asciiTheme="minorHAnsi" w:hAnsiTheme="minorHAnsi"/>
          <w:color w:val="FF0000"/>
        </w:rPr>
        <w:t xml:space="preserve"> </w:t>
      </w:r>
      <w:r w:rsidRPr="0059758D">
        <w:rPr>
          <w:rFonts w:asciiTheme="minorHAnsi" w:hAnsiTheme="minorHAnsi"/>
        </w:rPr>
        <w:t>etc. where presentation strength</w:t>
      </w:r>
      <w:r w:rsidR="0059758D" w:rsidRPr="0059758D">
        <w:rPr>
          <w:rFonts w:asciiTheme="minorHAnsi" w:hAnsiTheme="minorHAnsi"/>
        </w:rPr>
        <w:t xml:space="preserve"> is not used</w:t>
      </w:r>
      <w:r w:rsidRPr="0059758D">
        <w:rPr>
          <w:rFonts w:asciiTheme="minorHAnsi" w:hAnsiTheme="minorHAnsi"/>
        </w:rPr>
        <w:t xml:space="preserve">.  NHS dm+d is explicit in </w:t>
      </w:r>
      <w:r w:rsidR="0059758D" w:rsidRPr="0059758D">
        <w:rPr>
          <w:rFonts w:asciiTheme="minorHAnsi" w:hAnsiTheme="minorHAnsi"/>
        </w:rPr>
        <w:t xml:space="preserve">providing the unit of presentation type with the </w:t>
      </w:r>
      <w:r w:rsidRPr="0059758D">
        <w:rPr>
          <w:rFonts w:asciiTheme="minorHAnsi" w:hAnsiTheme="minorHAnsi"/>
        </w:rPr>
        <w:t>presentation strength</w:t>
      </w:r>
      <w:r w:rsidR="0059758D" w:rsidRPr="0059758D">
        <w:rPr>
          <w:rFonts w:asciiTheme="minorHAnsi" w:hAnsiTheme="minorHAnsi"/>
        </w:rPr>
        <w:t xml:space="preserve"> when this is sufficient (e.g. methotrexate 12.5mg/0.5ml solution for injection pre-filled syringe) but for those products like the insulins when this is not sufficient, it provides unit of presentation type and amount </w:t>
      </w:r>
      <w:r w:rsidRPr="0059758D">
        <w:rPr>
          <w:rFonts w:asciiTheme="minorHAnsi" w:hAnsiTheme="minorHAnsi"/>
        </w:rPr>
        <w:t xml:space="preserve">(e.g. insulin lispro 100units/ml solution for injection </w:t>
      </w:r>
      <w:r w:rsidRPr="0059758D">
        <w:rPr>
          <w:rFonts w:asciiTheme="minorHAnsi" w:hAnsiTheme="minorHAnsi"/>
          <w:b/>
        </w:rPr>
        <w:t>10ml vial</w:t>
      </w:r>
      <w:r w:rsidRPr="0059758D">
        <w:rPr>
          <w:rFonts w:asciiTheme="minorHAnsi" w:hAnsiTheme="minorHAnsi"/>
        </w:rPr>
        <w:t xml:space="preserve"> and insulin lispro 100units/ml solution for injection </w:t>
      </w:r>
      <w:r w:rsidRPr="0059758D">
        <w:rPr>
          <w:rFonts w:asciiTheme="minorHAnsi" w:hAnsiTheme="minorHAnsi"/>
          <w:b/>
        </w:rPr>
        <w:t>3ml cartridge</w:t>
      </w:r>
      <w:r w:rsidRPr="0059758D">
        <w:rPr>
          <w:rFonts w:asciiTheme="minorHAnsi" w:hAnsiTheme="minorHAnsi"/>
        </w:rPr>
        <w:t xml:space="preserve">) </w:t>
      </w:r>
    </w:p>
    <w:p w14:paraId="21CA2CDB" w14:textId="77777777" w:rsidR="00943BBE" w:rsidRDefault="00943BBE" w:rsidP="00943BBE">
      <w:pPr>
        <w:rPr>
          <w:rFonts w:asciiTheme="minorHAnsi" w:hAnsiTheme="minorHAnsi"/>
        </w:rPr>
      </w:pPr>
    </w:p>
    <w:p w14:paraId="64279F74" w14:textId="7E26E86C" w:rsidR="00943BBE" w:rsidRPr="00943BBE" w:rsidRDefault="00943BBE" w:rsidP="0059758D">
      <w:pPr>
        <w:pStyle w:val="ListParagraph"/>
        <w:numPr>
          <w:ilvl w:val="0"/>
          <w:numId w:val="11"/>
        </w:numPr>
        <w:rPr>
          <w:rFonts w:asciiTheme="minorHAnsi" w:hAnsiTheme="minorHAnsi"/>
        </w:rPr>
      </w:pPr>
      <w:r w:rsidRPr="00943BBE">
        <w:rPr>
          <w:rFonts w:asciiTheme="minorHAnsi" w:hAnsiTheme="minorHAnsi"/>
        </w:rPr>
        <w:t xml:space="preserve">For continuous </w:t>
      </w:r>
      <w:r w:rsidRPr="00943BBE">
        <w:rPr>
          <w:rFonts w:asciiTheme="minorHAnsi" w:hAnsiTheme="minorHAnsi"/>
          <w:b/>
        </w:rPr>
        <w:t>dosage forms</w:t>
      </w:r>
      <w:r w:rsidRPr="00943BBE">
        <w:rPr>
          <w:rFonts w:asciiTheme="minorHAnsi" w:hAnsiTheme="minorHAnsi"/>
        </w:rPr>
        <w:t xml:space="preserve"> </w:t>
      </w:r>
      <w:r w:rsidRPr="00943BBE">
        <w:rPr>
          <w:rFonts w:asciiTheme="minorHAnsi" w:hAnsiTheme="minorHAnsi"/>
          <w:b/>
        </w:rPr>
        <w:t>where strength is expressed as a percentage</w:t>
      </w:r>
      <w:r w:rsidRPr="00943BBE">
        <w:rPr>
          <w:rFonts w:asciiTheme="minorHAnsi" w:hAnsiTheme="minorHAnsi"/>
        </w:rPr>
        <w:t xml:space="preserve">, </w:t>
      </w:r>
      <w:r w:rsidR="0059758D">
        <w:rPr>
          <w:rFonts w:asciiTheme="minorHAnsi" w:hAnsiTheme="minorHAnsi"/>
        </w:rPr>
        <w:t xml:space="preserve">this is just “continuous stuff”; </w:t>
      </w:r>
      <w:r w:rsidRPr="00943BBE">
        <w:rPr>
          <w:rFonts w:asciiTheme="minorHAnsi" w:hAnsiTheme="minorHAnsi"/>
        </w:rPr>
        <w:t>creams, ointments, gels, eye drops, ear ointments</w:t>
      </w:r>
      <w:r w:rsidR="0059758D">
        <w:rPr>
          <w:rFonts w:asciiTheme="minorHAnsi" w:hAnsiTheme="minorHAnsi"/>
        </w:rPr>
        <w:t>.  T</w:t>
      </w:r>
      <w:r w:rsidRPr="00943BBE">
        <w:rPr>
          <w:rFonts w:asciiTheme="minorHAnsi" w:hAnsiTheme="minorHAnsi"/>
        </w:rPr>
        <w:t xml:space="preserve">he “one thing you hold in your hand is a </w:t>
      </w:r>
      <w:proofErr w:type="spellStart"/>
      <w:r w:rsidRPr="00943BBE">
        <w:rPr>
          <w:rFonts w:asciiTheme="minorHAnsi" w:hAnsiTheme="minorHAnsi"/>
        </w:rPr>
        <w:t>squidge</w:t>
      </w:r>
      <w:proofErr w:type="spellEnd"/>
      <w:r w:rsidRPr="00943BBE">
        <w:rPr>
          <w:rFonts w:asciiTheme="minorHAnsi" w:hAnsiTheme="minorHAnsi"/>
        </w:rPr>
        <w:t xml:space="preserve"> or a drop” so a unit of presentation does not usually get stated formally (sometimes a drop does, particularly for products that can reliably say a strength per drop).  This is OK, unless you have unit dose presentations…</w:t>
      </w:r>
      <w:r w:rsidRPr="00943BBE">
        <w:rPr>
          <w:rFonts w:asciiTheme="minorHAnsi" w:hAnsiTheme="minorHAnsi"/>
          <w:i/>
          <w:color w:val="FF0000"/>
        </w:rPr>
        <w:t xml:space="preserve">like the testosterone gels in sachets </w:t>
      </w:r>
      <w:r w:rsidRPr="00943BBE">
        <w:rPr>
          <w:rFonts w:asciiTheme="minorHAnsi" w:hAnsiTheme="minorHAnsi"/>
        </w:rPr>
        <w:t>NHS dm+d uses presentation strength in these cases: testosterone 50mg/5g unit does sachet or testosterone 50mg/5g unit does tube</w:t>
      </w:r>
    </w:p>
    <w:p w14:paraId="6A64F8D7" w14:textId="77777777" w:rsidR="00943BBE" w:rsidRPr="00943BBE" w:rsidRDefault="00943BBE" w:rsidP="00943BBE"/>
    <w:p w14:paraId="45D41BC5" w14:textId="77777777" w:rsidR="0059758D" w:rsidRPr="00BB2847" w:rsidRDefault="0059758D" w:rsidP="0059758D">
      <w:pPr>
        <w:pStyle w:val="Heading2"/>
      </w:pPr>
      <w:r w:rsidRPr="00BB2847">
        <w:lastRenderedPageBreak/>
        <w:t>Avoiding confusion with pack (size) description</w:t>
      </w:r>
    </w:p>
    <w:p w14:paraId="753A2B41" w14:textId="2ED689EA" w:rsidR="0059758D" w:rsidRDefault="0059758D" w:rsidP="0059758D">
      <w:pPr>
        <w:rPr>
          <w:rFonts w:asciiTheme="minorHAnsi" w:hAnsiTheme="minorHAnsi"/>
        </w:rPr>
      </w:pPr>
      <w:r>
        <w:rPr>
          <w:rFonts w:asciiTheme="minorHAnsi" w:hAnsiTheme="minorHAnsi"/>
        </w:rPr>
        <w:t xml:space="preserve">Pack size description should provide the information on </w:t>
      </w:r>
      <w:r w:rsidRPr="00BB2847">
        <w:rPr>
          <w:rFonts w:asciiTheme="minorHAnsi" w:hAnsiTheme="minorHAnsi"/>
        </w:rPr>
        <w:t xml:space="preserve">how many units of presentation are present in </w:t>
      </w:r>
      <w:r>
        <w:rPr>
          <w:rFonts w:asciiTheme="minorHAnsi" w:hAnsiTheme="minorHAnsi"/>
        </w:rPr>
        <w:t xml:space="preserve">the licensed and supplied package.  Some terminologies include this as one of their classes, usually called something like “packaged product” (e.g. NHS dm+d and AMT); to date that requirement has not been presented for CCDD (or indeed for </w:t>
      </w:r>
      <w:proofErr w:type="spellStart"/>
      <w:r>
        <w:rPr>
          <w:rFonts w:asciiTheme="minorHAnsi" w:hAnsiTheme="minorHAnsi"/>
        </w:rPr>
        <w:t>RxNorm</w:t>
      </w:r>
      <w:proofErr w:type="spellEnd"/>
      <w:r>
        <w:rPr>
          <w:rFonts w:asciiTheme="minorHAnsi" w:hAnsiTheme="minorHAnsi"/>
        </w:rPr>
        <w:t xml:space="preserve">).  Pack size information usually supports reimbursement and supply chain use cases – for example it provides a link to one of the main types of GS1 identifier.  It is also important in cultures where there is ‘original pack prescribing and dispensing’ (which is not the case in Canada); to support this practice, prescribers need to know pack size as well as dispensers.   </w:t>
      </w:r>
    </w:p>
    <w:p w14:paraId="539A62E2" w14:textId="77777777" w:rsidR="0059758D" w:rsidRDefault="0059758D" w:rsidP="0059758D">
      <w:pPr>
        <w:rPr>
          <w:rFonts w:asciiTheme="minorHAnsi" w:hAnsiTheme="minorHAnsi"/>
        </w:rPr>
      </w:pPr>
      <w:r>
        <w:rPr>
          <w:rFonts w:asciiTheme="minorHAnsi" w:hAnsiTheme="minorHAnsi"/>
        </w:rPr>
        <w:t xml:space="preserve">IDMP is more detailed, dealing with both intermediate packs (e.g. 14 tablets in a blister strip) and what in clinical care would be the main “package” (of 28 tablets - 2 blister strips in the box).  IDMP does not specify how many levels of recursion, so it can deal with pre-filled syringes (unit of presentation), individually wrapped in sterile bags (next layer) in a blister strip of 5 bags (next layer), in a box of 25 (5 blisters of 5 strips) – the “package”.  </w:t>
      </w:r>
    </w:p>
    <w:p w14:paraId="2A8E9024" w14:textId="3D2D229C" w:rsidR="0059758D" w:rsidRDefault="0059758D" w:rsidP="0059758D">
      <w:pPr>
        <w:rPr>
          <w:rFonts w:asciiTheme="minorHAnsi" w:hAnsiTheme="minorHAnsi"/>
        </w:rPr>
      </w:pPr>
      <w:r>
        <w:rPr>
          <w:rFonts w:asciiTheme="minorHAnsi" w:hAnsiTheme="minorHAnsi"/>
        </w:rPr>
        <w:t>The following table gives some examples of the relationship between package size/quantity, intermediate packaging, unit of presentation and exemplar dose form.</w:t>
      </w:r>
    </w:p>
    <w:p w14:paraId="3A3C7A50" w14:textId="77777777" w:rsidR="0059758D" w:rsidRDefault="0059758D" w:rsidP="0059758D">
      <w:pPr>
        <w:rPr>
          <w:rFonts w:asciiTheme="minorHAnsi" w:hAnsiTheme="minorHAnsi"/>
        </w:rPr>
      </w:pPr>
    </w:p>
    <w:tbl>
      <w:tblPr>
        <w:tblW w:w="0" w:type="auto"/>
        <w:tblCellMar>
          <w:left w:w="0" w:type="dxa"/>
          <w:right w:w="0" w:type="dxa"/>
        </w:tblCellMar>
        <w:tblLook w:val="04A0" w:firstRow="1" w:lastRow="0" w:firstColumn="1" w:lastColumn="0" w:noHBand="0" w:noVBand="1"/>
      </w:tblPr>
      <w:tblGrid>
        <w:gridCol w:w="955"/>
        <w:gridCol w:w="1326"/>
        <w:gridCol w:w="1328"/>
        <w:gridCol w:w="1339"/>
        <w:gridCol w:w="1180"/>
        <w:gridCol w:w="1515"/>
        <w:gridCol w:w="1363"/>
      </w:tblGrid>
      <w:tr w:rsidR="0059758D" w:rsidRPr="0059758D" w14:paraId="50AA4FC1" w14:textId="77777777" w:rsidTr="0059758D">
        <w:tc>
          <w:tcPr>
            <w:tcW w:w="955" w:type="dxa"/>
            <w:tcBorders>
              <w:top w:val="single" w:sz="8" w:space="0" w:color="auto"/>
              <w:left w:val="single" w:sz="8" w:space="0" w:color="auto"/>
              <w:bottom w:val="single" w:sz="8" w:space="0" w:color="auto"/>
              <w:right w:val="single" w:sz="8" w:space="0" w:color="auto"/>
            </w:tcBorders>
            <w:shd w:val="clear" w:color="auto" w:fill="FFFFCC"/>
            <w:tcMar>
              <w:top w:w="0" w:type="dxa"/>
              <w:left w:w="108" w:type="dxa"/>
              <w:bottom w:w="0" w:type="dxa"/>
              <w:right w:w="108" w:type="dxa"/>
            </w:tcMar>
            <w:hideMark/>
          </w:tcPr>
          <w:p w14:paraId="39FC36DC" w14:textId="77777777" w:rsidR="0059758D" w:rsidRPr="0059758D" w:rsidRDefault="0059758D" w:rsidP="00402A47">
            <w:pPr>
              <w:rPr>
                <w:rFonts w:asciiTheme="minorHAnsi" w:hAnsiTheme="minorHAnsi"/>
                <w:b/>
                <w:sz w:val="20"/>
              </w:rPr>
            </w:pPr>
            <w:r w:rsidRPr="0059758D">
              <w:rPr>
                <w:rFonts w:asciiTheme="minorHAnsi" w:hAnsiTheme="minorHAnsi"/>
                <w:b/>
                <w:sz w:val="20"/>
              </w:rPr>
              <w:t>Pack size quantity</w:t>
            </w:r>
          </w:p>
        </w:tc>
        <w:tc>
          <w:tcPr>
            <w:tcW w:w="1326" w:type="dxa"/>
            <w:tcBorders>
              <w:top w:val="single" w:sz="8" w:space="0" w:color="auto"/>
              <w:left w:val="nil"/>
              <w:bottom w:val="single" w:sz="8" w:space="0" w:color="auto"/>
              <w:right w:val="single" w:sz="8" w:space="0" w:color="auto"/>
            </w:tcBorders>
            <w:shd w:val="clear" w:color="auto" w:fill="FFFFCC"/>
            <w:tcMar>
              <w:top w:w="0" w:type="dxa"/>
              <w:left w:w="108" w:type="dxa"/>
              <w:bottom w:w="0" w:type="dxa"/>
              <w:right w:w="108" w:type="dxa"/>
            </w:tcMar>
            <w:hideMark/>
          </w:tcPr>
          <w:p w14:paraId="1BD166C6" w14:textId="77777777" w:rsidR="0059758D" w:rsidRPr="0059758D" w:rsidRDefault="0059758D" w:rsidP="00402A47">
            <w:pPr>
              <w:rPr>
                <w:rFonts w:asciiTheme="minorHAnsi" w:hAnsiTheme="minorHAnsi"/>
                <w:b/>
                <w:sz w:val="20"/>
              </w:rPr>
            </w:pPr>
            <w:r w:rsidRPr="0059758D">
              <w:rPr>
                <w:rFonts w:asciiTheme="minorHAnsi" w:hAnsiTheme="minorHAnsi"/>
                <w:b/>
                <w:sz w:val="20"/>
              </w:rPr>
              <w:t>Unit of presentation</w:t>
            </w:r>
          </w:p>
        </w:tc>
        <w:tc>
          <w:tcPr>
            <w:tcW w:w="1328" w:type="dxa"/>
            <w:tcBorders>
              <w:top w:val="single" w:sz="8" w:space="0" w:color="auto"/>
              <w:left w:val="nil"/>
              <w:bottom w:val="single" w:sz="8" w:space="0" w:color="auto"/>
              <w:right w:val="single" w:sz="8" w:space="0" w:color="auto"/>
            </w:tcBorders>
            <w:shd w:val="clear" w:color="auto" w:fill="FFFFCC"/>
            <w:tcMar>
              <w:top w:w="0" w:type="dxa"/>
              <w:left w:w="108" w:type="dxa"/>
              <w:bottom w:w="0" w:type="dxa"/>
              <w:right w:w="108" w:type="dxa"/>
            </w:tcMar>
            <w:hideMark/>
          </w:tcPr>
          <w:p w14:paraId="4B606D08" w14:textId="77777777" w:rsidR="0059758D" w:rsidRPr="0059758D" w:rsidRDefault="0059758D" w:rsidP="00402A47">
            <w:pPr>
              <w:rPr>
                <w:rFonts w:asciiTheme="minorHAnsi" w:hAnsiTheme="minorHAnsi"/>
                <w:b/>
                <w:sz w:val="20"/>
              </w:rPr>
            </w:pPr>
            <w:r w:rsidRPr="0059758D">
              <w:rPr>
                <w:rFonts w:asciiTheme="minorHAnsi" w:hAnsiTheme="minorHAnsi"/>
                <w:b/>
                <w:sz w:val="20"/>
              </w:rPr>
              <w:t>Intermediate package</w:t>
            </w:r>
          </w:p>
        </w:tc>
        <w:tc>
          <w:tcPr>
            <w:tcW w:w="1339" w:type="dxa"/>
            <w:tcBorders>
              <w:top w:val="single" w:sz="8" w:space="0" w:color="auto"/>
              <w:left w:val="nil"/>
              <w:bottom w:val="single" w:sz="8" w:space="0" w:color="auto"/>
              <w:right w:val="single" w:sz="8" w:space="0" w:color="auto"/>
            </w:tcBorders>
            <w:shd w:val="clear" w:color="auto" w:fill="FFFFCC"/>
            <w:tcMar>
              <w:top w:w="0" w:type="dxa"/>
              <w:left w:w="108" w:type="dxa"/>
              <w:bottom w:w="0" w:type="dxa"/>
              <w:right w:w="108" w:type="dxa"/>
            </w:tcMar>
            <w:hideMark/>
          </w:tcPr>
          <w:p w14:paraId="4D43A119" w14:textId="77777777" w:rsidR="0059758D" w:rsidRPr="0059758D" w:rsidRDefault="0059758D" w:rsidP="00402A47">
            <w:pPr>
              <w:rPr>
                <w:rFonts w:asciiTheme="minorHAnsi" w:hAnsiTheme="minorHAnsi"/>
                <w:b/>
                <w:sz w:val="20"/>
              </w:rPr>
            </w:pPr>
            <w:r w:rsidRPr="0059758D">
              <w:rPr>
                <w:rFonts w:asciiTheme="minorHAnsi" w:hAnsiTheme="minorHAnsi"/>
                <w:b/>
                <w:sz w:val="20"/>
              </w:rPr>
              <w:t>Intermediate package quantities</w:t>
            </w:r>
          </w:p>
        </w:tc>
        <w:tc>
          <w:tcPr>
            <w:tcW w:w="1180" w:type="dxa"/>
            <w:tcBorders>
              <w:top w:val="single" w:sz="8" w:space="0" w:color="auto"/>
              <w:left w:val="nil"/>
              <w:bottom w:val="single" w:sz="8" w:space="0" w:color="auto"/>
              <w:right w:val="single" w:sz="8" w:space="0" w:color="auto"/>
            </w:tcBorders>
            <w:shd w:val="clear" w:color="auto" w:fill="FFFFCC"/>
            <w:tcMar>
              <w:top w:w="0" w:type="dxa"/>
              <w:left w:w="108" w:type="dxa"/>
              <w:bottom w:w="0" w:type="dxa"/>
              <w:right w:w="108" w:type="dxa"/>
            </w:tcMar>
            <w:hideMark/>
          </w:tcPr>
          <w:p w14:paraId="36882A14" w14:textId="77777777" w:rsidR="0059758D" w:rsidRPr="0059758D" w:rsidRDefault="0059758D" w:rsidP="00402A47">
            <w:pPr>
              <w:rPr>
                <w:rFonts w:asciiTheme="minorHAnsi" w:hAnsiTheme="minorHAnsi"/>
                <w:b/>
                <w:sz w:val="20"/>
              </w:rPr>
            </w:pPr>
            <w:r w:rsidRPr="0059758D">
              <w:rPr>
                <w:rFonts w:asciiTheme="minorHAnsi" w:hAnsiTheme="minorHAnsi"/>
                <w:b/>
                <w:sz w:val="20"/>
              </w:rPr>
              <w:t>Out pack description</w:t>
            </w:r>
          </w:p>
        </w:tc>
        <w:tc>
          <w:tcPr>
            <w:tcW w:w="1515" w:type="dxa"/>
            <w:tcBorders>
              <w:top w:val="single" w:sz="8" w:space="0" w:color="auto"/>
              <w:left w:val="nil"/>
              <w:bottom w:val="single" w:sz="8" w:space="0" w:color="auto"/>
              <w:right w:val="single" w:sz="8" w:space="0" w:color="auto"/>
            </w:tcBorders>
            <w:shd w:val="clear" w:color="auto" w:fill="FFFFCC"/>
            <w:tcMar>
              <w:top w:w="0" w:type="dxa"/>
              <w:left w:w="108" w:type="dxa"/>
              <w:bottom w:w="0" w:type="dxa"/>
              <w:right w:w="108" w:type="dxa"/>
            </w:tcMar>
            <w:hideMark/>
          </w:tcPr>
          <w:p w14:paraId="20C30D9F" w14:textId="77777777" w:rsidR="0059758D" w:rsidRPr="0059758D" w:rsidRDefault="0059758D" w:rsidP="00402A47">
            <w:pPr>
              <w:rPr>
                <w:rFonts w:asciiTheme="minorHAnsi" w:hAnsiTheme="minorHAnsi"/>
                <w:b/>
                <w:sz w:val="20"/>
              </w:rPr>
            </w:pPr>
            <w:r w:rsidRPr="0059758D">
              <w:rPr>
                <w:rFonts w:asciiTheme="minorHAnsi" w:hAnsiTheme="minorHAnsi"/>
                <w:b/>
                <w:sz w:val="20"/>
              </w:rPr>
              <w:t>Original pack description (text)</w:t>
            </w:r>
          </w:p>
        </w:tc>
        <w:tc>
          <w:tcPr>
            <w:tcW w:w="1363" w:type="dxa"/>
            <w:tcBorders>
              <w:top w:val="single" w:sz="8" w:space="0" w:color="auto"/>
              <w:left w:val="nil"/>
              <w:bottom w:val="single" w:sz="8" w:space="0" w:color="auto"/>
              <w:right w:val="single" w:sz="8" w:space="0" w:color="auto"/>
            </w:tcBorders>
            <w:shd w:val="clear" w:color="auto" w:fill="FFFFCC"/>
            <w:tcMar>
              <w:top w:w="0" w:type="dxa"/>
              <w:left w:w="108" w:type="dxa"/>
              <w:bottom w:w="0" w:type="dxa"/>
              <w:right w:w="108" w:type="dxa"/>
            </w:tcMar>
            <w:hideMark/>
          </w:tcPr>
          <w:p w14:paraId="75EE43C2" w14:textId="77777777" w:rsidR="0059758D" w:rsidRPr="0059758D" w:rsidRDefault="0059758D" w:rsidP="00402A47">
            <w:pPr>
              <w:rPr>
                <w:rFonts w:asciiTheme="minorHAnsi" w:hAnsiTheme="minorHAnsi"/>
                <w:b/>
                <w:sz w:val="20"/>
              </w:rPr>
            </w:pPr>
            <w:r w:rsidRPr="0059758D">
              <w:rPr>
                <w:rFonts w:asciiTheme="minorHAnsi" w:hAnsiTheme="minorHAnsi"/>
                <w:b/>
                <w:sz w:val="20"/>
              </w:rPr>
              <w:t>Exemplar dose form (info only)</w:t>
            </w:r>
          </w:p>
        </w:tc>
      </w:tr>
      <w:tr w:rsidR="0059758D" w:rsidRPr="0059758D" w14:paraId="0DA78BA0"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C276B5"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28</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2F50BE32"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tablets</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479D3FBB"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 xml:space="preserve">blister strip </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76A2D248"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2 x 14 tablets</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5F69FCD4"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Box</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001547C8"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“Box of 28 tablets”</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4B6F734F"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oral tablet, prolonged release oral tablet, gastro-release tablet, chewable tablet, dispersible oral tablet; vaginal tablet</w:t>
            </w:r>
          </w:p>
        </w:tc>
      </w:tr>
      <w:tr w:rsidR="0059758D" w:rsidRPr="0059758D" w14:paraId="3CFF2705"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A425C8"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100</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074A4D64"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capsules</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48879FD0"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160AC808"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36A889BD"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Bottle</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7AB8DF4A"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“Bottle of 100 capsules”</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215B0C9A"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oral capsule, modified release oral tablet,</w:t>
            </w:r>
          </w:p>
        </w:tc>
      </w:tr>
      <w:tr w:rsidR="0059758D" w:rsidRPr="0059758D" w14:paraId="065A41A5"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88B1B3"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10</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4E15F36C"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suppositories</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3B285671"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blister strip</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15890F96"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2 x 5 suppositories</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46279B80"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Carton</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78854534"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“Carton of 10 suppositories”</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2BBCD593"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suppository</w:t>
            </w:r>
          </w:p>
        </w:tc>
      </w:tr>
      <w:tr w:rsidR="0059758D" w:rsidRPr="0059758D" w14:paraId="5B598F08"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95173B"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30</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25A9066E"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sachets</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60687530"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22649A5D"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0882B928"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Box</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1A05DF11"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“Box of 30 sachets”</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6E4B571B"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oral powder, oral granules</w:t>
            </w:r>
          </w:p>
        </w:tc>
      </w:tr>
      <w:tr w:rsidR="0059758D" w:rsidRPr="0059758D" w14:paraId="4A52C2EE"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D11939"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50</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11C16817"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actuations</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43C2FFAA"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2AD6F746"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13D8FC18"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Bottle</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064BD906"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“Spray bottle of 50 actuations”</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26D1666A"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nasal spray, cutaneous spray, mouthwash, gingival spray</w:t>
            </w:r>
          </w:p>
        </w:tc>
      </w:tr>
      <w:tr w:rsidR="0059758D" w:rsidRPr="0059758D" w14:paraId="3ADB406A"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0CF6CE"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200</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60652E93"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actuations</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24B8B344"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5CC206D3"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1A8CC5AA"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Inhaler</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2587CBA6"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“200 actuation inhaler”</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659C5E51" w14:textId="77777777" w:rsidR="0059758D" w:rsidRPr="0059758D" w:rsidRDefault="0059758D" w:rsidP="00402A47">
            <w:pPr>
              <w:rPr>
                <w:rFonts w:asciiTheme="minorHAnsi" w:hAnsiTheme="minorHAnsi"/>
                <w:sz w:val="20"/>
                <w:szCs w:val="20"/>
              </w:rPr>
            </w:pPr>
            <w:proofErr w:type="spellStart"/>
            <w:r w:rsidRPr="0059758D">
              <w:rPr>
                <w:rFonts w:asciiTheme="minorHAnsi" w:hAnsiTheme="minorHAnsi"/>
                <w:sz w:val="20"/>
                <w:szCs w:val="20"/>
              </w:rPr>
              <w:t>pressurised</w:t>
            </w:r>
            <w:proofErr w:type="spellEnd"/>
            <w:r w:rsidRPr="0059758D">
              <w:rPr>
                <w:rFonts w:asciiTheme="minorHAnsi" w:hAnsiTheme="minorHAnsi"/>
                <w:sz w:val="20"/>
                <w:szCs w:val="20"/>
              </w:rPr>
              <w:t xml:space="preserve"> inhalation, </w:t>
            </w:r>
            <w:r w:rsidRPr="0059758D">
              <w:rPr>
                <w:rFonts w:asciiTheme="minorHAnsi" w:hAnsiTheme="minorHAnsi"/>
                <w:sz w:val="20"/>
                <w:szCs w:val="20"/>
              </w:rPr>
              <w:lastRenderedPageBreak/>
              <w:t>inhalation powder</w:t>
            </w:r>
          </w:p>
        </w:tc>
      </w:tr>
      <w:tr w:rsidR="0059758D" w:rsidRPr="0059758D" w14:paraId="5B6A818C"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42E712"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lastRenderedPageBreak/>
              <w:t>20</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09A758BC"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(unit dose) vials</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7403EACD"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vial strip</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5553B7C0"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4 x 5 vial strips</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07BD3591"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Box</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00BCB5F9"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“Box of 20 vials”</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629DD112" w14:textId="77777777" w:rsidR="0059758D" w:rsidRPr="0059758D" w:rsidRDefault="0059758D" w:rsidP="00402A47">
            <w:pPr>
              <w:rPr>
                <w:rFonts w:asciiTheme="minorHAnsi" w:hAnsiTheme="minorHAnsi"/>
                <w:sz w:val="20"/>
                <w:szCs w:val="20"/>
              </w:rPr>
            </w:pPr>
            <w:proofErr w:type="spellStart"/>
            <w:r w:rsidRPr="0059758D">
              <w:rPr>
                <w:rFonts w:asciiTheme="minorHAnsi" w:hAnsiTheme="minorHAnsi"/>
                <w:sz w:val="20"/>
                <w:szCs w:val="20"/>
              </w:rPr>
              <w:t>nebuliser</w:t>
            </w:r>
            <w:proofErr w:type="spellEnd"/>
            <w:r w:rsidRPr="0059758D">
              <w:rPr>
                <w:rFonts w:asciiTheme="minorHAnsi" w:hAnsiTheme="minorHAnsi"/>
                <w:sz w:val="20"/>
                <w:szCs w:val="20"/>
              </w:rPr>
              <w:t xml:space="preserve"> solution, </w:t>
            </w:r>
            <w:proofErr w:type="spellStart"/>
            <w:r w:rsidRPr="0059758D">
              <w:rPr>
                <w:rFonts w:asciiTheme="minorHAnsi" w:hAnsiTheme="minorHAnsi"/>
                <w:sz w:val="20"/>
                <w:szCs w:val="20"/>
              </w:rPr>
              <w:t>nebuliser</w:t>
            </w:r>
            <w:proofErr w:type="spellEnd"/>
            <w:r w:rsidRPr="0059758D">
              <w:rPr>
                <w:rFonts w:asciiTheme="minorHAnsi" w:hAnsiTheme="minorHAnsi"/>
                <w:sz w:val="20"/>
                <w:szCs w:val="20"/>
              </w:rPr>
              <w:t xml:space="preserve"> suspension</w:t>
            </w:r>
          </w:p>
        </w:tc>
      </w:tr>
      <w:tr w:rsidR="0059758D" w:rsidRPr="0059758D" w14:paraId="701023A0"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F8AD48"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10</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221C5955"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vials</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349BD1DE"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58CF1022"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1AAAC411"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Carton</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2430803E"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“Carton of 10 vials”</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73B4899C"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powder for solution for injection, powder for suspension for injection</w:t>
            </w:r>
          </w:p>
        </w:tc>
      </w:tr>
      <w:tr w:rsidR="0059758D" w:rsidRPr="0059758D" w14:paraId="1AD5E93A"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339801"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5</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745B20F9"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cartridges</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670CDCA7"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blister strip</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7379D798"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1 x 5 cartridge strip</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2450D5C3"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Box</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4C2550E9"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“Box of 5 cartridges”</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4E9DE7E4"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solution for injection, suspension for injection</w:t>
            </w:r>
          </w:p>
        </w:tc>
      </w:tr>
      <w:tr w:rsidR="0059758D" w:rsidRPr="0059758D" w14:paraId="399A934C"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610FEB"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10</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75AC6689"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syringes</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71E69080"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35426CB8"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5051B02D"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Box</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68E08650"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“Box of 10 pre-filled syringes”</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088D8E59"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solution for injection, suspension for injection</w:t>
            </w:r>
          </w:p>
        </w:tc>
      </w:tr>
      <w:tr w:rsidR="0059758D" w:rsidRPr="0059758D" w14:paraId="6B498B2E"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118F77"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100</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0EB9C5AA"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mL</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07E0C0EF"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bottle</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545650D0"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0E671A0D"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Box</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245F1A13"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“100 mL bottle”</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6F780AF7"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oral solution, oral suspension</w:t>
            </w:r>
          </w:p>
        </w:tc>
      </w:tr>
      <w:tr w:rsidR="0059758D" w:rsidRPr="0059758D" w14:paraId="0C82AED2"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6D61D0"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5</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224E5D61"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mL</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33610C9C"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339" w:type="dxa"/>
            <w:tcBorders>
              <w:top w:val="nil"/>
              <w:left w:val="nil"/>
              <w:bottom w:val="single" w:sz="8" w:space="0" w:color="auto"/>
              <w:right w:val="single" w:sz="8" w:space="0" w:color="auto"/>
            </w:tcBorders>
            <w:tcMar>
              <w:top w:w="0" w:type="dxa"/>
              <w:left w:w="108" w:type="dxa"/>
              <w:bottom w:w="0" w:type="dxa"/>
              <w:right w:w="108" w:type="dxa"/>
            </w:tcMar>
            <w:hideMark/>
          </w:tcPr>
          <w:p w14:paraId="2D2D8341"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46113280"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Bottle</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1CCB22D5"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“10 mL bottle”</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3804000C"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 xml:space="preserve">ophthalmic drops, </w:t>
            </w:r>
            <w:proofErr w:type="spellStart"/>
            <w:r w:rsidRPr="0059758D">
              <w:rPr>
                <w:rFonts w:asciiTheme="minorHAnsi" w:hAnsiTheme="minorHAnsi"/>
                <w:sz w:val="20"/>
                <w:szCs w:val="20"/>
              </w:rPr>
              <w:t>otic</w:t>
            </w:r>
            <w:proofErr w:type="spellEnd"/>
            <w:r w:rsidRPr="0059758D">
              <w:rPr>
                <w:rFonts w:asciiTheme="minorHAnsi" w:hAnsiTheme="minorHAnsi"/>
                <w:sz w:val="20"/>
                <w:szCs w:val="20"/>
              </w:rPr>
              <w:t xml:space="preserve"> drops, nasal drops</w:t>
            </w:r>
          </w:p>
        </w:tc>
      </w:tr>
      <w:tr w:rsidR="0059758D" w:rsidRPr="0059758D" w14:paraId="1F8DA87F" w14:textId="77777777" w:rsidTr="00402A47">
        <w:tc>
          <w:tcPr>
            <w:tcW w:w="9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795555"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30</w:t>
            </w:r>
          </w:p>
        </w:tc>
        <w:tc>
          <w:tcPr>
            <w:tcW w:w="1326" w:type="dxa"/>
            <w:tcBorders>
              <w:top w:val="nil"/>
              <w:left w:val="nil"/>
              <w:bottom w:val="single" w:sz="8" w:space="0" w:color="auto"/>
              <w:right w:val="single" w:sz="8" w:space="0" w:color="auto"/>
            </w:tcBorders>
            <w:tcMar>
              <w:top w:w="0" w:type="dxa"/>
              <w:left w:w="108" w:type="dxa"/>
              <w:bottom w:w="0" w:type="dxa"/>
              <w:right w:w="108" w:type="dxa"/>
            </w:tcMar>
            <w:hideMark/>
          </w:tcPr>
          <w:p w14:paraId="25CB4358"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g</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01E359EB"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NA</w:t>
            </w:r>
          </w:p>
        </w:tc>
        <w:tc>
          <w:tcPr>
            <w:tcW w:w="1339" w:type="dxa"/>
            <w:tcBorders>
              <w:top w:val="nil"/>
              <w:left w:val="nil"/>
              <w:bottom w:val="single" w:sz="8" w:space="0" w:color="auto"/>
              <w:right w:val="single" w:sz="8" w:space="0" w:color="auto"/>
            </w:tcBorders>
            <w:tcMar>
              <w:top w:w="0" w:type="dxa"/>
              <w:left w:w="108" w:type="dxa"/>
              <w:bottom w:w="0" w:type="dxa"/>
              <w:right w:w="108" w:type="dxa"/>
            </w:tcMar>
          </w:tcPr>
          <w:p w14:paraId="09FD42C6" w14:textId="77777777" w:rsidR="0059758D" w:rsidRPr="0059758D" w:rsidRDefault="0059758D" w:rsidP="00402A47">
            <w:pPr>
              <w:rPr>
                <w:rFonts w:asciiTheme="minorHAnsi" w:hAnsiTheme="minorHAnsi"/>
                <w:sz w:val="20"/>
                <w:szCs w:val="20"/>
              </w:rPr>
            </w:pP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53F75476"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Tube</w:t>
            </w:r>
          </w:p>
        </w:tc>
        <w:tc>
          <w:tcPr>
            <w:tcW w:w="1515" w:type="dxa"/>
            <w:tcBorders>
              <w:top w:val="nil"/>
              <w:left w:val="nil"/>
              <w:bottom w:val="single" w:sz="8" w:space="0" w:color="auto"/>
              <w:right w:val="single" w:sz="8" w:space="0" w:color="auto"/>
            </w:tcBorders>
            <w:tcMar>
              <w:top w:w="0" w:type="dxa"/>
              <w:left w:w="108" w:type="dxa"/>
              <w:bottom w:w="0" w:type="dxa"/>
              <w:right w:w="108" w:type="dxa"/>
            </w:tcMar>
            <w:hideMark/>
          </w:tcPr>
          <w:p w14:paraId="52701BFB"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“30 g tube”</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31EE5708" w14:textId="77777777" w:rsidR="0059758D" w:rsidRPr="0059758D" w:rsidRDefault="0059758D" w:rsidP="00402A47">
            <w:pPr>
              <w:rPr>
                <w:rFonts w:asciiTheme="minorHAnsi" w:hAnsiTheme="minorHAnsi"/>
                <w:sz w:val="20"/>
                <w:szCs w:val="20"/>
              </w:rPr>
            </w:pPr>
            <w:r w:rsidRPr="0059758D">
              <w:rPr>
                <w:rFonts w:asciiTheme="minorHAnsi" w:hAnsiTheme="minorHAnsi"/>
                <w:sz w:val="20"/>
                <w:szCs w:val="20"/>
              </w:rPr>
              <w:t>cutaneous cream, cutaneous ointment, cutaneous gel</w:t>
            </w:r>
          </w:p>
        </w:tc>
      </w:tr>
    </w:tbl>
    <w:p w14:paraId="78CF0B94" w14:textId="77777777" w:rsidR="0059758D" w:rsidRDefault="0059758D" w:rsidP="0059758D">
      <w:pPr>
        <w:rPr>
          <w:rFonts w:asciiTheme="minorHAnsi" w:hAnsiTheme="minorHAnsi"/>
        </w:rPr>
      </w:pPr>
    </w:p>
    <w:p w14:paraId="14F35A2F" w14:textId="27FDA28E" w:rsidR="00F96F31" w:rsidRDefault="00F96F31" w:rsidP="00324720">
      <w:pPr>
        <w:pStyle w:val="CHIBodyCopy"/>
      </w:pPr>
    </w:p>
    <w:sectPr w:rsidR="00F96F31" w:rsidSect="00943BBE">
      <w:pgSz w:w="12240" w:h="15840"/>
      <w:pgMar w:top="2160" w:right="720" w:bottom="1080" w:left="1296" w:header="720" w:footer="51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2F1D8" w14:textId="77777777" w:rsidR="003458A1" w:rsidRDefault="003458A1">
      <w:r>
        <w:separator/>
      </w:r>
    </w:p>
  </w:endnote>
  <w:endnote w:type="continuationSeparator" w:id="0">
    <w:p w14:paraId="744F1308" w14:textId="77777777" w:rsidR="003458A1" w:rsidRDefault="0034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786A" w14:textId="77777777" w:rsidR="00D47E5D" w:rsidRPr="00903E0D" w:rsidRDefault="00D47E5D" w:rsidP="006D61F7">
    <w:pPr>
      <w:pStyle w:val="CHIMouseType"/>
      <w:tabs>
        <w:tab w:val="right" w:pos="10080"/>
      </w:tabs>
    </w:pPr>
    <w:r>
      <w:rPr>
        <w:noProof/>
        <w:lang w:val="en-CA" w:eastAsia="en-CA"/>
      </w:rPr>
      <mc:AlternateContent>
        <mc:Choice Requires="wps">
          <w:drawing>
            <wp:anchor distT="0" distB="0" distL="114300" distR="114300" simplePos="0" relativeHeight="251659264" behindDoc="1" locked="1" layoutInCell="1" allowOverlap="1" wp14:anchorId="0B2D40A9" wp14:editId="621643F2">
              <wp:simplePos x="0" y="0"/>
              <wp:positionH relativeFrom="page">
                <wp:align>center</wp:align>
              </wp:positionH>
              <wp:positionV relativeFrom="page">
                <wp:align>bottom</wp:align>
              </wp:positionV>
              <wp:extent cx="7772400" cy="4572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0"/>
                      </a:xfrm>
                      <a:prstGeom prst="rect">
                        <a:avLst/>
                      </a:prstGeom>
                      <a:solidFill>
                        <a:srgbClr val="003A63"/>
                      </a:solidFill>
                      <a:ln w="9525" cap="flat" cmpd="sng" algn="ctr">
                        <a:noFill/>
                        <a:prstDash val="solid"/>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142B76F5" id="Rectangle 7" o:spid="_x0000_s1026" style="position:absolute;margin-left:0;margin-top:0;width:612pt;height:36pt;z-index:-251657216;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" fillcolor="#003a63" stroked="f">
              <v:path arrowok="t"/>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C7CBB" w14:textId="77777777" w:rsidR="00D47E5D" w:rsidRDefault="00D47E5D">
    <w:pPr>
      <w:pStyle w:val="Footer"/>
    </w:pPr>
    <w:r>
      <w:rPr>
        <w:noProof/>
        <w:lang w:val="en-CA" w:eastAsia="en-CA"/>
      </w:rPr>
      <mc:AlternateContent>
        <mc:Choice Requires="wps">
          <w:drawing>
            <wp:anchor distT="0" distB="0" distL="114300" distR="114300" simplePos="0" relativeHeight="251655168" behindDoc="0" locked="1" layoutInCell="1" allowOverlap="1" wp14:anchorId="05279E0D" wp14:editId="5BE7145D">
              <wp:simplePos x="0" y="0"/>
              <wp:positionH relativeFrom="page">
                <wp:posOffset>851535</wp:posOffset>
              </wp:positionH>
              <wp:positionV relativeFrom="page">
                <wp:posOffset>9738360</wp:posOffset>
              </wp:positionV>
              <wp:extent cx="6566535" cy="228600"/>
              <wp:effectExtent l="0" t="0" r="5715" b="0"/>
              <wp:wrapThrough wrapText="bothSides">
                <wp:wrapPolygon edited="0">
                  <wp:start x="0" y="0"/>
                  <wp:lineTo x="0" y="19800"/>
                  <wp:lineTo x="21556" y="19800"/>
                  <wp:lineTo x="21556" y="0"/>
                  <wp:lineTo x="0"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65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6AD48B35" w14:textId="77777777" w:rsidR="00D47E5D" w:rsidRPr="004E6844" w:rsidRDefault="00D47E5D" w:rsidP="00F75B01">
                          <w:pPr>
                            <w:tabs>
                              <w:tab w:val="left" w:pos="4050"/>
                            </w:tabs>
                            <w:rPr>
                              <w:rFonts w:ascii="Verdana" w:hAnsi="Verdana"/>
                              <w:color w:val="FFFFFF"/>
                              <w:sz w:val="16"/>
                              <w:lang w:val="fr-C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279E0D" id="_x0000_t202" coordsize="21600,21600" o:spt="202" path="m,l,21600r21600,l21600,xe">
              <v:stroke joinstyle="miter"/>
              <v:path gradientshapeok="t" o:connecttype="rect"/>
            </v:shapetype>
            <v:shape id="Text Box 9" o:spid="_x0000_s1027" type="#_x0000_t202" style="position:absolute;margin-left:67.05pt;margin-top:766.8pt;width:517.0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" filled="f" stroked="f">
              <v:textbox inset="0,0,0,0">
                <w:txbxContent>
                  <w:p w14:paraId="6AD48B35" w14:textId="77777777" w:rsidR="00D47E5D" w:rsidRPr="004E6844" w:rsidRDefault="00D47E5D" w:rsidP="00F75B01">
                    <w:pPr>
                      <w:tabs>
                        <w:tab w:val="left" w:pos="4050"/>
                      </w:tabs>
                      <w:rPr>
                        <w:rFonts w:ascii="Verdana" w:hAnsi="Verdana"/>
                        <w:color w:val="FFFFFF"/>
                        <w:sz w:val="16"/>
                        <w:lang w:val="fr-CA"/>
                      </w:rPr>
                    </w:pPr>
                  </w:p>
                </w:txbxContent>
              </v:textbox>
              <w10:wrap type="through" anchorx="page" anchory="page"/>
              <w10:anchorlock/>
            </v:shape>
          </w:pict>
        </mc:Fallback>
      </mc:AlternateContent>
    </w:r>
    <w:r>
      <w:rPr>
        <w:noProof/>
        <w:lang w:val="en-CA" w:eastAsia="en-CA"/>
      </w:rPr>
      <mc:AlternateContent>
        <mc:Choice Requires="wps">
          <w:drawing>
            <wp:anchor distT="0" distB="0" distL="114300" distR="114300" simplePos="0" relativeHeight="251657216" behindDoc="1" locked="1" layoutInCell="1" allowOverlap="1" wp14:anchorId="4B05241A" wp14:editId="1F46DE00">
              <wp:simplePos x="0" y="0"/>
              <wp:positionH relativeFrom="page">
                <wp:posOffset>0</wp:posOffset>
              </wp:positionH>
              <wp:positionV relativeFrom="page">
                <wp:posOffset>9601200</wp:posOffset>
              </wp:positionV>
              <wp:extent cx="7772400" cy="457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0"/>
                      </a:xfrm>
                      <a:prstGeom prst="rect">
                        <a:avLst/>
                      </a:prstGeom>
                      <a:solidFill>
                        <a:srgbClr val="003A63"/>
                      </a:solidFill>
                      <a:ln w="9525" cap="flat" cmpd="sng" algn="ctr">
                        <a:noFill/>
                        <a:prstDash val="solid"/>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rect w14:anchorId="52BFBCB0" id="Rectangle 1" o:spid="_x0000_s1026" style="position:absolute;margin-left:0;margin-top:756pt;width:612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" fillcolor="#003a63" stroked="f">
              <v:path arrowok="t"/>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D9152" w14:textId="77777777" w:rsidR="003458A1" w:rsidRDefault="003458A1">
      <w:r>
        <w:separator/>
      </w:r>
    </w:p>
  </w:footnote>
  <w:footnote w:type="continuationSeparator" w:id="0">
    <w:p w14:paraId="34371370" w14:textId="77777777" w:rsidR="003458A1" w:rsidRDefault="00345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CA135" w14:textId="77777777" w:rsidR="00D47E5D" w:rsidRDefault="00D47E5D">
    <w:r>
      <w:rPr>
        <w:noProof/>
        <w:lang w:val="en-CA" w:eastAsia="en-CA"/>
      </w:rPr>
      <w:drawing>
        <wp:anchor distT="0" distB="0" distL="114300" distR="114300" simplePos="0" relativeHeight="251660288" behindDoc="1" locked="1" layoutInCell="1" allowOverlap="1" wp14:anchorId="4415731B" wp14:editId="05EDB45E">
          <wp:simplePos x="0" y="0"/>
          <wp:positionH relativeFrom="page">
            <wp:align>center</wp:align>
          </wp:positionH>
          <wp:positionV relativeFrom="page">
            <wp:align>top</wp:align>
          </wp:positionV>
          <wp:extent cx="7772400" cy="1344295"/>
          <wp:effectExtent l="0" t="0" r="0" b="825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3442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C003F" w14:textId="77777777" w:rsidR="00924FC2" w:rsidRDefault="00D47E5D">
    <w:pPr>
      <w:pStyle w:val="Header"/>
    </w:pPr>
    <w:r>
      <w:rPr>
        <w:noProof/>
        <w:lang w:val="en-CA" w:eastAsia="en-CA"/>
      </w:rPr>
      <w:drawing>
        <wp:anchor distT="0" distB="0" distL="114300" distR="114300" simplePos="0" relativeHeight="251658240" behindDoc="1" locked="1" layoutInCell="1" allowOverlap="1" wp14:anchorId="0B398FBB" wp14:editId="68EAD998">
          <wp:simplePos x="0" y="0"/>
          <wp:positionH relativeFrom="page">
            <wp:align>center</wp:align>
          </wp:positionH>
          <wp:positionV relativeFrom="page">
            <wp:align>top</wp:align>
          </wp:positionV>
          <wp:extent cx="7772400" cy="2614930"/>
          <wp:effectExtent l="0" t="0" r="0" b="4445"/>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6149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15E18" w14:textId="062DDAA5" w:rsidR="00924FC2" w:rsidRDefault="00924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2EDF"/>
    <w:multiLevelType w:val="hybridMultilevel"/>
    <w:tmpl w:val="B002E0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64FD2"/>
    <w:multiLevelType w:val="hybridMultilevel"/>
    <w:tmpl w:val="B0646DE8"/>
    <w:lvl w:ilvl="0" w:tplc="185891C8">
      <w:start w:val="1"/>
      <w:numFmt w:val="bullet"/>
      <w:pStyle w:val="CHIBodyBullets"/>
      <w:lvlText w:val=""/>
      <w:lvlJc w:val="left"/>
      <w:pPr>
        <w:tabs>
          <w:tab w:val="num" w:pos="1166"/>
        </w:tabs>
        <w:ind w:left="1166" w:hanging="360"/>
      </w:pPr>
      <w:rPr>
        <w:rFonts w:ascii="Symbol" w:hAnsi="Symbol" w:hint="default"/>
      </w:rPr>
    </w:lvl>
    <w:lvl w:ilvl="1" w:tplc="CD26BEB2">
      <w:start w:val="1"/>
      <w:numFmt w:val="bullet"/>
      <w:lvlText w:val="o"/>
      <w:lvlJc w:val="left"/>
      <w:pPr>
        <w:tabs>
          <w:tab w:val="num" w:pos="1886"/>
        </w:tabs>
        <w:ind w:left="1886" w:hanging="360"/>
      </w:pPr>
      <w:rPr>
        <w:rFonts w:ascii="Courier New" w:hAnsi="Courier New" w:hint="default"/>
      </w:rPr>
    </w:lvl>
    <w:lvl w:ilvl="2" w:tplc="00050409" w:tentative="1">
      <w:start w:val="1"/>
      <w:numFmt w:val="bullet"/>
      <w:lvlText w:val=""/>
      <w:lvlJc w:val="left"/>
      <w:pPr>
        <w:tabs>
          <w:tab w:val="num" w:pos="2606"/>
        </w:tabs>
        <w:ind w:left="2606" w:hanging="360"/>
      </w:pPr>
      <w:rPr>
        <w:rFonts w:ascii="Wingdings" w:hAnsi="Wingdings" w:hint="default"/>
      </w:rPr>
    </w:lvl>
    <w:lvl w:ilvl="3" w:tplc="00010409" w:tentative="1">
      <w:start w:val="1"/>
      <w:numFmt w:val="bullet"/>
      <w:lvlText w:val=""/>
      <w:lvlJc w:val="left"/>
      <w:pPr>
        <w:tabs>
          <w:tab w:val="num" w:pos="3326"/>
        </w:tabs>
        <w:ind w:left="3326" w:hanging="360"/>
      </w:pPr>
      <w:rPr>
        <w:rFonts w:ascii="Symbol" w:hAnsi="Symbol" w:hint="default"/>
      </w:rPr>
    </w:lvl>
    <w:lvl w:ilvl="4" w:tplc="00030409" w:tentative="1">
      <w:start w:val="1"/>
      <w:numFmt w:val="bullet"/>
      <w:lvlText w:val="o"/>
      <w:lvlJc w:val="left"/>
      <w:pPr>
        <w:tabs>
          <w:tab w:val="num" w:pos="4046"/>
        </w:tabs>
        <w:ind w:left="4046" w:hanging="360"/>
      </w:pPr>
      <w:rPr>
        <w:rFonts w:ascii="Courier New" w:hAnsi="Courier New" w:hint="default"/>
      </w:rPr>
    </w:lvl>
    <w:lvl w:ilvl="5" w:tplc="00050409" w:tentative="1">
      <w:start w:val="1"/>
      <w:numFmt w:val="bullet"/>
      <w:lvlText w:val=""/>
      <w:lvlJc w:val="left"/>
      <w:pPr>
        <w:tabs>
          <w:tab w:val="num" w:pos="4766"/>
        </w:tabs>
        <w:ind w:left="4766" w:hanging="360"/>
      </w:pPr>
      <w:rPr>
        <w:rFonts w:ascii="Wingdings" w:hAnsi="Wingdings" w:hint="default"/>
      </w:rPr>
    </w:lvl>
    <w:lvl w:ilvl="6" w:tplc="00010409" w:tentative="1">
      <w:start w:val="1"/>
      <w:numFmt w:val="bullet"/>
      <w:lvlText w:val=""/>
      <w:lvlJc w:val="left"/>
      <w:pPr>
        <w:tabs>
          <w:tab w:val="num" w:pos="5486"/>
        </w:tabs>
        <w:ind w:left="5486" w:hanging="360"/>
      </w:pPr>
      <w:rPr>
        <w:rFonts w:ascii="Symbol" w:hAnsi="Symbol" w:hint="default"/>
      </w:rPr>
    </w:lvl>
    <w:lvl w:ilvl="7" w:tplc="00030409" w:tentative="1">
      <w:start w:val="1"/>
      <w:numFmt w:val="bullet"/>
      <w:lvlText w:val="o"/>
      <w:lvlJc w:val="left"/>
      <w:pPr>
        <w:tabs>
          <w:tab w:val="num" w:pos="6206"/>
        </w:tabs>
        <w:ind w:left="6206" w:hanging="360"/>
      </w:pPr>
      <w:rPr>
        <w:rFonts w:ascii="Courier New" w:hAnsi="Courier New" w:hint="default"/>
      </w:rPr>
    </w:lvl>
    <w:lvl w:ilvl="8" w:tplc="00050409" w:tentative="1">
      <w:start w:val="1"/>
      <w:numFmt w:val="bullet"/>
      <w:lvlText w:val=""/>
      <w:lvlJc w:val="left"/>
      <w:pPr>
        <w:tabs>
          <w:tab w:val="num" w:pos="6926"/>
        </w:tabs>
        <w:ind w:left="6926" w:hanging="360"/>
      </w:pPr>
      <w:rPr>
        <w:rFonts w:ascii="Wingdings" w:hAnsi="Wingdings" w:hint="default"/>
      </w:rPr>
    </w:lvl>
  </w:abstractNum>
  <w:abstractNum w:abstractNumId="2" w15:restartNumberingAfterBreak="0">
    <w:nsid w:val="329711C3"/>
    <w:multiLevelType w:val="multilevel"/>
    <w:tmpl w:val="DCF064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B1C7309"/>
    <w:multiLevelType w:val="hybridMultilevel"/>
    <w:tmpl w:val="F678FB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3C6FC0"/>
    <w:multiLevelType w:val="multilevel"/>
    <w:tmpl w:val="F40AC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6059C8"/>
    <w:multiLevelType w:val="hybridMultilevel"/>
    <w:tmpl w:val="4552D6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A748F3"/>
    <w:multiLevelType w:val="hybridMultilevel"/>
    <w:tmpl w:val="CEC84F6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A3E8D"/>
    <w:multiLevelType w:val="hybridMultilevel"/>
    <w:tmpl w:val="D9064196"/>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BB3789"/>
    <w:multiLevelType w:val="hybridMultilevel"/>
    <w:tmpl w:val="A29A6A70"/>
    <w:lvl w:ilvl="0" w:tplc="0726B4DC">
      <w:start w:val="1"/>
      <w:numFmt w:val="bullet"/>
      <w:pStyle w:val="CHIBodyBullets2"/>
      <w:lvlText w:val="o"/>
      <w:lvlJc w:val="left"/>
      <w:pPr>
        <w:tabs>
          <w:tab w:val="num" w:pos="1886"/>
        </w:tabs>
        <w:ind w:left="1886"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64EDE"/>
    <w:multiLevelType w:val="hybridMultilevel"/>
    <w:tmpl w:val="D1809BF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45ED4"/>
    <w:multiLevelType w:val="multilevel"/>
    <w:tmpl w:val="783C0E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2"/>
  </w:num>
  <w:num w:numId="4">
    <w:abstractNumId w:val="9"/>
  </w:num>
  <w:num w:numId="5">
    <w:abstractNumId w:val="0"/>
  </w:num>
  <w:num w:numId="6">
    <w:abstractNumId w:val="3"/>
  </w:num>
  <w:num w:numId="7">
    <w:abstractNumId w:val="5"/>
  </w:num>
  <w:num w:numId="8">
    <w:abstractNumId w:val="4"/>
  </w:num>
  <w:num w:numId="9">
    <w:abstractNumId w:val="10"/>
  </w:num>
  <w:num w:numId="10">
    <w:abstractNumId w:val="7"/>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8B"/>
    <w:rsid w:val="0001451C"/>
    <w:rsid w:val="00047102"/>
    <w:rsid w:val="00072E41"/>
    <w:rsid w:val="000846CF"/>
    <w:rsid w:val="00097C46"/>
    <w:rsid w:val="000B2368"/>
    <w:rsid w:val="000E5DA0"/>
    <w:rsid w:val="00102FB2"/>
    <w:rsid w:val="00107987"/>
    <w:rsid w:val="00114D83"/>
    <w:rsid w:val="00120B42"/>
    <w:rsid w:val="00121863"/>
    <w:rsid w:val="00126B59"/>
    <w:rsid w:val="00160343"/>
    <w:rsid w:val="001663D7"/>
    <w:rsid w:val="00172F46"/>
    <w:rsid w:val="00173814"/>
    <w:rsid w:val="00183737"/>
    <w:rsid w:val="00186C74"/>
    <w:rsid w:val="00190C64"/>
    <w:rsid w:val="00195B85"/>
    <w:rsid w:val="001A72D6"/>
    <w:rsid w:val="001C0713"/>
    <w:rsid w:val="001C6ACB"/>
    <w:rsid w:val="00223BB6"/>
    <w:rsid w:val="00225CB6"/>
    <w:rsid w:val="00226036"/>
    <w:rsid w:val="002516EB"/>
    <w:rsid w:val="002523E0"/>
    <w:rsid w:val="00256BD7"/>
    <w:rsid w:val="002635FB"/>
    <w:rsid w:val="00272257"/>
    <w:rsid w:val="00283C1A"/>
    <w:rsid w:val="002962A6"/>
    <w:rsid w:val="002B143E"/>
    <w:rsid w:val="002B4FB2"/>
    <w:rsid w:val="002B5818"/>
    <w:rsid w:val="002C3F48"/>
    <w:rsid w:val="002D0042"/>
    <w:rsid w:val="002D0368"/>
    <w:rsid w:val="002D7397"/>
    <w:rsid w:val="002E7005"/>
    <w:rsid w:val="002F7F1A"/>
    <w:rsid w:val="003078FD"/>
    <w:rsid w:val="00311E8D"/>
    <w:rsid w:val="00312D43"/>
    <w:rsid w:val="00313D8D"/>
    <w:rsid w:val="00317ABB"/>
    <w:rsid w:val="00320739"/>
    <w:rsid w:val="00324720"/>
    <w:rsid w:val="003458A1"/>
    <w:rsid w:val="003556A5"/>
    <w:rsid w:val="00365582"/>
    <w:rsid w:val="00377401"/>
    <w:rsid w:val="00384F03"/>
    <w:rsid w:val="00394C7C"/>
    <w:rsid w:val="003950D5"/>
    <w:rsid w:val="003A0F84"/>
    <w:rsid w:val="003B7D76"/>
    <w:rsid w:val="003F6013"/>
    <w:rsid w:val="0041286C"/>
    <w:rsid w:val="00433516"/>
    <w:rsid w:val="004350FB"/>
    <w:rsid w:val="004379FB"/>
    <w:rsid w:val="00472124"/>
    <w:rsid w:val="00482FE0"/>
    <w:rsid w:val="00483A35"/>
    <w:rsid w:val="00485E56"/>
    <w:rsid w:val="004918EF"/>
    <w:rsid w:val="00494AEE"/>
    <w:rsid w:val="004A0A17"/>
    <w:rsid w:val="004B2172"/>
    <w:rsid w:val="004B6478"/>
    <w:rsid w:val="004C229A"/>
    <w:rsid w:val="004E4050"/>
    <w:rsid w:val="004F3E5D"/>
    <w:rsid w:val="004F4B02"/>
    <w:rsid w:val="004F7A6D"/>
    <w:rsid w:val="00501AEF"/>
    <w:rsid w:val="00546466"/>
    <w:rsid w:val="00547344"/>
    <w:rsid w:val="00553B18"/>
    <w:rsid w:val="005620FC"/>
    <w:rsid w:val="00574C15"/>
    <w:rsid w:val="00597273"/>
    <w:rsid w:val="0059758D"/>
    <w:rsid w:val="005B1F27"/>
    <w:rsid w:val="005B360A"/>
    <w:rsid w:val="005C1D53"/>
    <w:rsid w:val="005D2D68"/>
    <w:rsid w:val="00616AD5"/>
    <w:rsid w:val="00664D00"/>
    <w:rsid w:val="00681AAD"/>
    <w:rsid w:val="00685833"/>
    <w:rsid w:val="00695106"/>
    <w:rsid w:val="006A3CAA"/>
    <w:rsid w:val="006B1567"/>
    <w:rsid w:val="006B7FB0"/>
    <w:rsid w:val="006C2F60"/>
    <w:rsid w:val="006D3ED0"/>
    <w:rsid w:val="006D61F7"/>
    <w:rsid w:val="006D74AC"/>
    <w:rsid w:val="006E3D69"/>
    <w:rsid w:val="006E49B1"/>
    <w:rsid w:val="006E7A02"/>
    <w:rsid w:val="00704F00"/>
    <w:rsid w:val="0073287E"/>
    <w:rsid w:val="00737172"/>
    <w:rsid w:val="0078289D"/>
    <w:rsid w:val="00787950"/>
    <w:rsid w:val="00794AE6"/>
    <w:rsid w:val="007C0F4A"/>
    <w:rsid w:val="007D085C"/>
    <w:rsid w:val="007D35E0"/>
    <w:rsid w:val="007E22C4"/>
    <w:rsid w:val="007F7411"/>
    <w:rsid w:val="0080781D"/>
    <w:rsid w:val="0081598B"/>
    <w:rsid w:val="00833C7C"/>
    <w:rsid w:val="00834984"/>
    <w:rsid w:val="008419CC"/>
    <w:rsid w:val="00843564"/>
    <w:rsid w:val="00843777"/>
    <w:rsid w:val="008438CC"/>
    <w:rsid w:val="00846335"/>
    <w:rsid w:val="00856341"/>
    <w:rsid w:val="00865177"/>
    <w:rsid w:val="008756AA"/>
    <w:rsid w:val="00877466"/>
    <w:rsid w:val="0089274A"/>
    <w:rsid w:val="008A4BD1"/>
    <w:rsid w:val="008A6BE5"/>
    <w:rsid w:val="008B2A8B"/>
    <w:rsid w:val="008B63E1"/>
    <w:rsid w:val="008C410E"/>
    <w:rsid w:val="008E5328"/>
    <w:rsid w:val="008F5641"/>
    <w:rsid w:val="00903E0D"/>
    <w:rsid w:val="0091227A"/>
    <w:rsid w:val="00924D4B"/>
    <w:rsid w:val="00924FC2"/>
    <w:rsid w:val="00934216"/>
    <w:rsid w:val="00943BBE"/>
    <w:rsid w:val="00951FAA"/>
    <w:rsid w:val="00974A36"/>
    <w:rsid w:val="00982C7B"/>
    <w:rsid w:val="00990106"/>
    <w:rsid w:val="009919AA"/>
    <w:rsid w:val="009952EB"/>
    <w:rsid w:val="009A0B98"/>
    <w:rsid w:val="009B4C2D"/>
    <w:rsid w:val="009C5DBD"/>
    <w:rsid w:val="009D3204"/>
    <w:rsid w:val="009D5F1A"/>
    <w:rsid w:val="009F6AD7"/>
    <w:rsid w:val="00A00D18"/>
    <w:rsid w:val="00A40E4B"/>
    <w:rsid w:val="00A500E5"/>
    <w:rsid w:val="00A562DC"/>
    <w:rsid w:val="00A67B2B"/>
    <w:rsid w:val="00A75279"/>
    <w:rsid w:val="00A86297"/>
    <w:rsid w:val="00A920AE"/>
    <w:rsid w:val="00AA46C9"/>
    <w:rsid w:val="00AB274C"/>
    <w:rsid w:val="00AC2A9C"/>
    <w:rsid w:val="00AC6930"/>
    <w:rsid w:val="00AD18AF"/>
    <w:rsid w:val="00AD74D8"/>
    <w:rsid w:val="00AE15B9"/>
    <w:rsid w:val="00AF1079"/>
    <w:rsid w:val="00AF6FFA"/>
    <w:rsid w:val="00B01A6B"/>
    <w:rsid w:val="00B06831"/>
    <w:rsid w:val="00B403EE"/>
    <w:rsid w:val="00B50E08"/>
    <w:rsid w:val="00B7288E"/>
    <w:rsid w:val="00B82C13"/>
    <w:rsid w:val="00B92B0E"/>
    <w:rsid w:val="00BA57E4"/>
    <w:rsid w:val="00BB4EED"/>
    <w:rsid w:val="00BC051E"/>
    <w:rsid w:val="00BC37BB"/>
    <w:rsid w:val="00BE200F"/>
    <w:rsid w:val="00BF5DFC"/>
    <w:rsid w:val="00BF5F4E"/>
    <w:rsid w:val="00C165A4"/>
    <w:rsid w:val="00C2019D"/>
    <w:rsid w:val="00C25C55"/>
    <w:rsid w:val="00C403C6"/>
    <w:rsid w:val="00C64009"/>
    <w:rsid w:val="00C66631"/>
    <w:rsid w:val="00C6699B"/>
    <w:rsid w:val="00C70DBA"/>
    <w:rsid w:val="00C71A8A"/>
    <w:rsid w:val="00CA14C8"/>
    <w:rsid w:val="00CA3FB0"/>
    <w:rsid w:val="00CC1F88"/>
    <w:rsid w:val="00D116B2"/>
    <w:rsid w:val="00D14C6F"/>
    <w:rsid w:val="00D20ABF"/>
    <w:rsid w:val="00D31601"/>
    <w:rsid w:val="00D3238C"/>
    <w:rsid w:val="00D40249"/>
    <w:rsid w:val="00D47E5D"/>
    <w:rsid w:val="00D822DC"/>
    <w:rsid w:val="00D82FB2"/>
    <w:rsid w:val="00D8423E"/>
    <w:rsid w:val="00DC0587"/>
    <w:rsid w:val="00DD5621"/>
    <w:rsid w:val="00E15E98"/>
    <w:rsid w:val="00E32429"/>
    <w:rsid w:val="00E40D8A"/>
    <w:rsid w:val="00E465AB"/>
    <w:rsid w:val="00E7615C"/>
    <w:rsid w:val="00E949F2"/>
    <w:rsid w:val="00E95587"/>
    <w:rsid w:val="00E96A7E"/>
    <w:rsid w:val="00EB0AD5"/>
    <w:rsid w:val="00EB1850"/>
    <w:rsid w:val="00EC2532"/>
    <w:rsid w:val="00EC5DFA"/>
    <w:rsid w:val="00ED1579"/>
    <w:rsid w:val="00EE0D1E"/>
    <w:rsid w:val="00EE43CD"/>
    <w:rsid w:val="00F059E8"/>
    <w:rsid w:val="00F22980"/>
    <w:rsid w:val="00F2469A"/>
    <w:rsid w:val="00F45616"/>
    <w:rsid w:val="00F57D2B"/>
    <w:rsid w:val="00F75B01"/>
    <w:rsid w:val="00F7733D"/>
    <w:rsid w:val="00F9528D"/>
    <w:rsid w:val="00F96F31"/>
    <w:rsid w:val="00FA13B8"/>
    <w:rsid w:val="00FA494B"/>
    <w:rsid w:val="00FC17C0"/>
    <w:rsid w:val="00FC628E"/>
    <w:rsid w:val="00FF13BA"/>
    <w:rsid w:val="00FF7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4D3EF2C"/>
  <w14:defaultImageDpi w14:val="300"/>
  <w15:docId w15:val="{40E0DA0F-2BBF-4D69-982A-7271FF49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56BD7"/>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qFormat/>
    <w:rsid w:val="00256BD7"/>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qFormat/>
    <w:rsid w:val="00BF5DFC"/>
    <w:pPr>
      <w:keepNext/>
      <w:keepLines/>
      <w:spacing w:before="200"/>
      <w:outlineLvl w:val="2"/>
    </w:pPr>
    <w:rPr>
      <w:rFonts w:ascii="Calibri" w:eastAsia="MS PGothic" w:hAnsi="Calibri"/>
      <w:b/>
      <w:bCs/>
      <w:color w:val="DC5A23"/>
    </w:rPr>
  </w:style>
  <w:style w:type="paragraph" w:styleId="Heading4">
    <w:name w:val="heading 4"/>
    <w:basedOn w:val="Normal"/>
    <w:next w:val="Normal"/>
    <w:link w:val="Heading4Char"/>
    <w:uiPriority w:val="9"/>
    <w:unhideWhenUsed/>
    <w:qFormat/>
    <w:rsid w:val="00AD18A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D18A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BodyCopy">
    <w:name w:val="CHI Body Copy"/>
    <w:basedOn w:val="Normal"/>
    <w:qFormat/>
    <w:rsid w:val="00077D87"/>
    <w:pPr>
      <w:spacing w:after="240" w:line="300" w:lineRule="exact"/>
    </w:pPr>
    <w:rPr>
      <w:rFonts w:ascii="Verdana" w:hAnsi="Verdana"/>
      <w:sz w:val="20"/>
    </w:rPr>
  </w:style>
  <w:style w:type="paragraph" w:customStyle="1" w:styleId="CHI-BodyNoteInset">
    <w:name w:val="CHI - Body Note Inset"/>
    <w:basedOn w:val="CHIBodyCopy"/>
    <w:qFormat/>
    <w:rsid w:val="00077D87"/>
    <w:pPr>
      <w:ind w:left="720"/>
    </w:pPr>
    <w:rPr>
      <w:sz w:val="18"/>
      <w:lang w:val="en-CA"/>
    </w:rPr>
  </w:style>
  <w:style w:type="paragraph" w:customStyle="1" w:styleId="CHIBody-Statement">
    <w:name w:val="CHI Body - Statement"/>
    <w:basedOn w:val="CHIBodyCopy"/>
    <w:qFormat/>
    <w:rsid w:val="00077D87"/>
    <w:rPr>
      <w:b/>
      <w:caps/>
      <w:sz w:val="16"/>
    </w:rPr>
  </w:style>
  <w:style w:type="paragraph" w:customStyle="1" w:styleId="CHIBodyBullets">
    <w:name w:val="CHI Body Bullets"/>
    <w:basedOn w:val="CHIBodyCopy"/>
    <w:qFormat/>
    <w:rsid w:val="00077D87"/>
    <w:pPr>
      <w:numPr>
        <w:numId w:val="1"/>
      </w:numPr>
      <w:tabs>
        <w:tab w:val="clear" w:pos="1166"/>
      </w:tabs>
      <w:spacing w:after="120"/>
      <w:ind w:left="0" w:hanging="270"/>
    </w:pPr>
  </w:style>
  <w:style w:type="paragraph" w:customStyle="1" w:styleId="CHIFootnoteHeader">
    <w:name w:val="CHI Footnote Header"/>
    <w:basedOn w:val="Normal"/>
    <w:autoRedefine/>
    <w:qFormat/>
    <w:rsid w:val="005620FC"/>
    <w:pPr>
      <w:spacing w:line="240" w:lineRule="exact"/>
    </w:pPr>
    <w:rPr>
      <w:rFonts w:ascii="Verdana" w:hAnsi="Verdana"/>
      <w:b/>
      <w:bCs/>
      <w:caps/>
      <w:color w:val="003A63"/>
      <w:sz w:val="16"/>
      <w:szCs w:val="16"/>
    </w:rPr>
  </w:style>
  <w:style w:type="character" w:customStyle="1" w:styleId="Heading1Char">
    <w:name w:val="Heading 1 Char"/>
    <w:link w:val="Heading1"/>
    <w:uiPriority w:val="9"/>
    <w:rsid w:val="00256BD7"/>
    <w:rPr>
      <w:rFonts w:ascii="Calibri" w:eastAsia="MS Gothic" w:hAnsi="Calibri" w:cs="Times New Roman"/>
      <w:b/>
      <w:bCs/>
      <w:kern w:val="32"/>
      <w:sz w:val="32"/>
      <w:szCs w:val="32"/>
    </w:rPr>
  </w:style>
  <w:style w:type="paragraph" w:customStyle="1" w:styleId="CHITitleHeader">
    <w:name w:val="CHI Title Header"/>
    <w:basedOn w:val="Normal"/>
    <w:autoRedefine/>
    <w:rsid w:val="005620FC"/>
    <w:pPr>
      <w:spacing w:after="180" w:line="640" w:lineRule="exact"/>
    </w:pPr>
    <w:rPr>
      <w:rFonts w:ascii="Verdana" w:hAnsi="Verdana"/>
      <w:color w:val="DC5A23"/>
      <w:sz w:val="56"/>
      <w:szCs w:val="56"/>
    </w:rPr>
  </w:style>
  <w:style w:type="paragraph" w:customStyle="1" w:styleId="CHIHeader">
    <w:name w:val="CHI Header"/>
    <w:basedOn w:val="CHITitleHeader"/>
    <w:autoRedefine/>
    <w:qFormat/>
    <w:rsid w:val="00BF5DFC"/>
    <w:rPr>
      <w:sz w:val="36"/>
      <w:szCs w:val="36"/>
    </w:rPr>
  </w:style>
  <w:style w:type="paragraph" w:customStyle="1" w:styleId="CHIMouseType">
    <w:name w:val="CHI Mouse Type"/>
    <w:basedOn w:val="Normal"/>
    <w:qFormat/>
    <w:rsid w:val="00256BD7"/>
    <w:pPr>
      <w:spacing w:line="200" w:lineRule="exact"/>
    </w:pPr>
    <w:rPr>
      <w:rFonts w:ascii="Verdana" w:hAnsi="Verdana"/>
      <w:color w:val="ABAFA6"/>
      <w:sz w:val="16"/>
      <w:szCs w:val="16"/>
    </w:rPr>
  </w:style>
  <w:style w:type="paragraph" w:customStyle="1" w:styleId="CHISubhead">
    <w:name w:val="CHI Subhead"/>
    <w:basedOn w:val="Normal"/>
    <w:qFormat/>
    <w:rsid w:val="00077D87"/>
    <w:pPr>
      <w:spacing w:before="120" w:after="120" w:line="320" w:lineRule="exact"/>
    </w:pPr>
    <w:rPr>
      <w:rFonts w:ascii="Verdana" w:hAnsi="Verdana"/>
      <w:bCs/>
      <w:caps/>
      <w:spacing w:val="6"/>
      <w:sz w:val="22"/>
      <w:lang w:val="en-CA"/>
    </w:rPr>
  </w:style>
  <w:style w:type="paragraph" w:customStyle="1" w:styleId="CHITableBodyCopy">
    <w:name w:val="CHI Table Body Copy"/>
    <w:basedOn w:val="CHIBodyCopy"/>
    <w:qFormat/>
    <w:rsid w:val="00077D87"/>
    <w:pPr>
      <w:spacing w:after="0"/>
      <w:ind w:left="65"/>
    </w:pPr>
  </w:style>
  <w:style w:type="paragraph" w:customStyle="1" w:styleId="CHITableBodyHeader">
    <w:name w:val="CHI Table Body Header"/>
    <w:basedOn w:val="CHITableBodyCopy"/>
    <w:qFormat/>
    <w:rsid w:val="00077D87"/>
    <w:rPr>
      <w:b/>
      <w:lang w:val="en-CA"/>
    </w:rPr>
  </w:style>
  <w:style w:type="paragraph" w:customStyle="1" w:styleId="CHITertiaryHead">
    <w:name w:val="CHI Tertiary Head"/>
    <w:basedOn w:val="Normal"/>
    <w:autoRedefine/>
    <w:qFormat/>
    <w:rsid w:val="005620FC"/>
    <w:pPr>
      <w:spacing w:before="120" w:after="60" w:line="320" w:lineRule="exact"/>
    </w:pPr>
    <w:rPr>
      <w:rFonts w:ascii="Verdana" w:hAnsi="Verdana"/>
      <w:color w:val="003A63"/>
      <w:lang w:val="en-CA"/>
    </w:rPr>
  </w:style>
  <w:style w:type="character" w:customStyle="1" w:styleId="Heading2Char">
    <w:name w:val="Heading 2 Char"/>
    <w:link w:val="Heading2"/>
    <w:uiPriority w:val="9"/>
    <w:rsid w:val="00256BD7"/>
    <w:rPr>
      <w:rFonts w:ascii="Calibri" w:eastAsia="MS Gothic" w:hAnsi="Calibri" w:cs="Times New Roman"/>
      <w:b/>
      <w:bCs/>
      <w:i/>
      <w:iCs/>
      <w:sz w:val="28"/>
      <w:szCs w:val="28"/>
    </w:rPr>
  </w:style>
  <w:style w:type="paragraph" w:styleId="Footer">
    <w:name w:val="footer"/>
    <w:basedOn w:val="Normal"/>
    <w:qFormat/>
    <w:rsid w:val="00077D87"/>
    <w:pPr>
      <w:tabs>
        <w:tab w:val="center" w:pos="4320"/>
        <w:tab w:val="right" w:pos="8640"/>
      </w:tabs>
    </w:pPr>
  </w:style>
  <w:style w:type="character" w:styleId="PageNumber">
    <w:name w:val="page number"/>
    <w:uiPriority w:val="99"/>
    <w:semiHidden/>
    <w:unhideWhenUsed/>
    <w:rsid w:val="002635FB"/>
  </w:style>
  <w:style w:type="paragraph" w:styleId="Header">
    <w:name w:val="header"/>
    <w:basedOn w:val="Normal"/>
    <w:link w:val="HeaderChar"/>
    <w:autoRedefine/>
    <w:qFormat/>
    <w:rsid w:val="00BF5DFC"/>
    <w:pPr>
      <w:tabs>
        <w:tab w:val="center" w:pos="4320"/>
        <w:tab w:val="right" w:pos="8640"/>
      </w:tabs>
      <w:spacing w:after="180" w:line="640" w:lineRule="exact"/>
    </w:pPr>
    <w:rPr>
      <w:rFonts w:ascii="Verdana" w:hAnsi="Verdana"/>
      <w:color w:val="DC5A23"/>
      <w:spacing w:val="-3"/>
      <w:sz w:val="36"/>
      <w:szCs w:val="36"/>
    </w:rPr>
  </w:style>
  <w:style w:type="character" w:customStyle="1" w:styleId="HeaderChar">
    <w:name w:val="Header Char"/>
    <w:link w:val="Header"/>
    <w:rsid w:val="00BF5DFC"/>
    <w:rPr>
      <w:rFonts w:ascii="Verdana" w:hAnsi="Verdana"/>
      <w:color w:val="DC5A23"/>
      <w:spacing w:val="-3"/>
      <w:sz w:val="36"/>
      <w:szCs w:val="36"/>
    </w:rPr>
  </w:style>
  <w:style w:type="paragraph" w:customStyle="1" w:styleId="CHIFooter">
    <w:name w:val="CHI Footer"/>
    <w:basedOn w:val="Normal"/>
    <w:autoRedefine/>
    <w:qFormat/>
    <w:rsid w:val="005620FC"/>
    <w:pPr>
      <w:spacing w:line="200" w:lineRule="exact"/>
    </w:pPr>
    <w:rPr>
      <w:rFonts w:ascii="Verdana" w:hAnsi="Verdana"/>
      <w:color w:val="979A91"/>
      <w:sz w:val="16"/>
      <w:szCs w:val="16"/>
    </w:rPr>
  </w:style>
  <w:style w:type="paragraph" w:customStyle="1" w:styleId="CHIBodyBullets2">
    <w:name w:val="CHI Body Bullets 2"/>
    <w:basedOn w:val="Normal"/>
    <w:next w:val="Normal"/>
    <w:qFormat/>
    <w:rsid w:val="003556A5"/>
    <w:pPr>
      <w:numPr>
        <w:numId w:val="2"/>
      </w:numPr>
      <w:tabs>
        <w:tab w:val="clear" w:pos="1886"/>
        <w:tab w:val="left" w:pos="360"/>
      </w:tabs>
      <w:spacing w:after="120" w:line="300" w:lineRule="exact"/>
      <w:ind w:left="360"/>
    </w:pPr>
    <w:rPr>
      <w:rFonts w:ascii="Verdana" w:hAnsi="Verdana"/>
      <w:sz w:val="20"/>
    </w:rPr>
  </w:style>
  <w:style w:type="table" w:styleId="TableGrid">
    <w:name w:val="Table Grid"/>
    <w:basedOn w:val="TableNormal"/>
    <w:uiPriority w:val="39"/>
    <w:rsid w:val="00A00D18"/>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5DFC"/>
    <w:rPr>
      <w:rFonts w:ascii="Lucida Grande" w:hAnsi="Lucida Grande" w:cs="Lucida Grande"/>
      <w:sz w:val="18"/>
      <w:szCs w:val="18"/>
    </w:rPr>
  </w:style>
  <w:style w:type="character" w:customStyle="1" w:styleId="BalloonTextChar">
    <w:name w:val="Balloon Text Char"/>
    <w:link w:val="BalloonText"/>
    <w:uiPriority w:val="99"/>
    <w:semiHidden/>
    <w:rsid w:val="00BF5DFC"/>
    <w:rPr>
      <w:rFonts w:ascii="Lucida Grande" w:hAnsi="Lucida Grande" w:cs="Lucida Grande"/>
      <w:sz w:val="18"/>
      <w:szCs w:val="18"/>
    </w:rPr>
  </w:style>
  <w:style w:type="character" w:customStyle="1" w:styleId="Heading3Char">
    <w:name w:val="Heading 3 Char"/>
    <w:link w:val="Heading3"/>
    <w:uiPriority w:val="9"/>
    <w:semiHidden/>
    <w:rsid w:val="00BF5DFC"/>
    <w:rPr>
      <w:rFonts w:ascii="Calibri" w:eastAsia="MS PGothic" w:hAnsi="Calibri" w:cs="Times New Roman"/>
      <w:b/>
      <w:bCs/>
      <w:color w:val="DC5A23"/>
      <w:sz w:val="24"/>
      <w:szCs w:val="24"/>
    </w:rPr>
  </w:style>
  <w:style w:type="paragraph" w:styleId="ListParagraph">
    <w:name w:val="List Paragraph"/>
    <w:basedOn w:val="Normal"/>
    <w:uiPriority w:val="34"/>
    <w:qFormat/>
    <w:rsid w:val="00226036"/>
    <w:pPr>
      <w:spacing w:after="160" w:line="256" w:lineRule="auto"/>
      <w:ind w:left="720"/>
      <w:contextualSpacing/>
    </w:pPr>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CC1F88"/>
    <w:rPr>
      <w:sz w:val="16"/>
      <w:szCs w:val="16"/>
    </w:rPr>
  </w:style>
  <w:style w:type="paragraph" w:styleId="CommentText">
    <w:name w:val="annotation text"/>
    <w:basedOn w:val="Normal"/>
    <w:link w:val="CommentTextChar"/>
    <w:uiPriority w:val="99"/>
    <w:semiHidden/>
    <w:unhideWhenUsed/>
    <w:rsid w:val="00CC1F88"/>
    <w:rPr>
      <w:sz w:val="20"/>
      <w:szCs w:val="20"/>
    </w:rPr>
  </w:style>
  <w:style w:type="character" w:customStyle="1" w:styleId="CommentTextChar">
    <w:name w:val="Comment Text Char"/>
    <w:basedOn w:val="DefaultParagraphFont"/>
    <w:link w:val="CommentText"/>
    <w:uiPriority w:val="99"/>
    <w:semiHidden/>
    <w:rsid w:val="00CC1F88"/>
    <w:rPr>
      <w:lang w:val="en-US" w:eastAsia="en-US"/>
    </w:rPr>
  </w:style>
  <w:style w:type="paragraph" w:styleId="CommentSubject">
    <w:name w:val="annotation subject"/>
    <w:basedOn w:val="CommentText"/>
    <w:next w:val="CommentText"/>
    <w:link w:val="CommentSubjectChar"/>
    <w:uiPriority w:val="99"/>
    <w:semiHidden/>
    <w:unhideWhenUsed/>
    <w:rsid w:val="00CC1F88"/>
    <w:rPr>
      <w:b/>
      <w:bCs/>
    </w:rPr>
  </w:style>
  <w:style w:type="character" w:customStyle="1" w:styleId="CommentSubjectChar">
    <w:name w:val="Comment Subject Char"/>
    <w:basedOn w:val="CommentTextChar"/>
    <w:link w:val="CommentSubject"/>
    <w:uiPriority w:val="99"/>
    <w:semiHidden/>
    <w:rsid w:val="00CC1F88"/>
    <w:rPr>
      <w:b/>
      <w:bCs/>
      <w:lang w:val="en-US" w:eastAsia="en-US"/>
    </w:rPr>
  </w:style>
  <w:style w:type="paragraph" w:styleId="FootnoteText">
    <w:name w:val="footnote text"/>
    <w:basedOn w:val="Normal"/>
    <w:link w:val="FootnoteTextChar"/>
    <w:uiPriority w:val="99"/>
    <w:semiHidden/>
    <w:unhideWhenUsed/>
    <w:rsid w:val="00E15E98"/>
    <w:rPr>
      <w:sz w:val="20"/>
      <w:szCs w:val="20"/>
    </w:rPr>
  </w:style>
  <w:style w:type="character" w:customStyle="1" w:styleId="FootnoteTextChar">
    <w:name w:val="Footnote Text Char"/>
    <w:basedOn w:val="DefaultParagraphFont"/>
    <w:link w:val="FootnoteText"/>
    <w:uiPriority w:val="99"/>
    <w:semiHidden/>
    <w:rsid w:val="00E15E98"/>
    <w:rPr>
      <w:lang w:val="en-US" w:eastAsia="en-US"/>
    </w:rPr>
  </w:style>
  <w:style w:type="character" w:styleId="FootnoteReference">
    <w:name w:val="footnote reference"/>
    <w:basedOn w:val="DefaultParagraphFont"/>
    <w:uiPriority w:val="99"/>
    <w:semiHidden/>
    <w:unhideWhenUsed/>
    <w:rsid w:val="00E15E98"/>
    <w:rPr>
      <w:vertAlign w:val="superscript"/>
    </w:rPr>
  </w:style>
  <w:style w:type="character" w:styleId="Hyperlink">
    <w:name w:val="Hyperlink"/>
    <w:basedOn w:val="DefaultParagraphFont"/>
    <w:uiPriority w:val="99"/>
    <w:unhideWhenUsed/>
    <w:rsid w:val="00E15E98"/>
    <w:rPr>
      <w:color w:val="0000FF" w:themeColor="hyperlink"/>
      <w:u w:val="single"/>
    </w:rPr>
  </w:style>
  <w:style w:type="paragraph" w:customStyle="1" w:styleId="IssuesTemplate">
    <w:name w:val="Issues Template"/>
    <w:basedOn w:val="Heading3"/>
    <w:link w:val="IssuesTemplateChar"/>
    <w:qFormat/>
    <w:rsid w:val="00AD18AF"/>
    <w:rPr>
      <w:i/>
      <w:sz w:val="32"/>
    </w:rPr>
  </w:style>
  <w:style w:type="character" w:customStyle="1" w:styleId="Heading4Char">
    <w:name w:val="Heading 4 Char"/>
    <w:basedOn w:val="DefaultParagraphFont"/>
    <w:link w:val="Heading4"/>
    <w:uiPriority w:val="9"/>
    <w:rsid w:val="00AD18AF"/>
    <w:rPr>
      <w:rFonts w:asciiTheme="majorHAnsi" w:eastAsiaTheme="majorEastAsia" w:hAnsiTheme="majorHAnsi" w:cstheme="majorBidi"/>
      <w:i/>
      <w:iCs/>
      <w:color w:val="365F91" w:themeColor="accent1" w:themeShade="BF"/>
      <w:sz w:val="24"/>
      <w:szCs w:val="24"/>
      <w:lang w:val="en-US" w:eastAsia="en-US"/>
    </w:rPr>
  </w:style>
  <w:style w:type="character" w:customStyle="1" w:styleId="IssuesTemplateChar">
    <w:name w:val="Issues Template Char"/>
    <w:basedOn w:val="Heading3Char"/>
    <w:link w:val="IssuesTemplate"/>
    <w:rsid w:val="00AD18AF"/>
    <w:rPr>
      <w:rFonts w:ascii="Calibri" w:eastAsia="MS PGothic" w:hAnsi="Calibri" w:cs="Times New Roman"/>
      <w:b/>
      <w:bCs/>
      <w:i/>
      <w:color w:val="DC5A23"/>
      <w:sz w:val="32"/>
      <w:szCs w:val="24"/>
      <w:lang w:val="en-US" w:eastAsia="en-US"/>
    </w:rPr>
  </w:style>
  <w:style w:type="character" w:customStyle="1" w:styleId="Heading5Char">
    <w:name w:val="Heading 5 Char"/>
    <w:basedOn w:val="DefaultParagraphFont"/>
    <w:link w:val="Heading5"/>
    <w:uiPriority w:val="9"/>
    <w:rsid w:val="00AD18AF"/>
    <w:rPr>
      <w:rFonts w:asciiTheme="majorHAnsi" w:eastAsiaTheme="majorEastAsia" w:hAnsiTheme="majorHAnsi" w:cstheme="majorBidi"/>
      <w:color w:val="365F91" w:themeColor="accent1" w:themeShade="BF"/>
      <w:sz w:val="24"/>
      <w:szCs w:val="24"/>
      <w:lang w:val="en-US" w:eastAsia="en-US"/>
    </w:rPr>
  </w:style>
  <w:style w:type="character" w:styleId="Strong">
    <w:name w:val="Strong"/>
    <w:basedOn w:val="DefaultParagraphFont"/>
    <w:uiPriority w:val="22"/>
    <w:qFormat/>
    <w:rsid w:val="004F7A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5251">
      <w:bodyDiv w:val="1"/>
      <w:marLeft w:val="0"/>
      <w:marRight w:val="0"/>
      <w:marTop w:val="0"/>
      <w:marBottom w:val="0"/>
      <w:divBdr>
        <w:top w:val="none" w:sz="0" w:space="0" w:color="auto"/>
        <w:left w:val="none" w:sz="0" w:space="0" w:color="auto"/>
        <w:bottom w:val="none" w:sz="0" w:space="0" w:color="auto"/>
        <w:right w:val="none" w:sz="0" w:space="0" w:color="auto"/>
      </w:divBdr>
      <w:divsChild>
        <w:div w:id="107742061">
          <w:marLeft w:val="547"/>
          <w:marRight w:val="0"/>
          <w:marTop w:val="67"/>
          <w:marBottom w:val="0"/>
          <w:divBdr>
            <w:top w:val="none" w:sz="0" w:space="0" w:color="auto"/>
            <w:left w:val="none" w:sz="0" w:space="0" w:color="auto"/>
            <w:bottom w:val="none" w:sz="0" w:space="0" w:color="auto"/>
            <w:right w:val="none" w:sz="0" w:space="0" w:color="auto"/>
          </w:divBdr>
        </w:div>
        <w:div w:id="2011835382">
          <w:marLeft w:val="547"/>
          <w:marRight w:val="0"/>
          <w:marTop w:val="67"/>
          <w:marBottom w:val="0"/>
          <w:divBdr>
            <w:top w:val="none" w:sz="0" w:space="0" w:color="auto"/>
            <w:left w:val="none" w:sz="0" w:space="0" w:color="auto"/>
            <w:bottom w:val="none" w:sz="0" w:space="0" w:color="auto"/>
            <w:right w:val="none" w:sz="0" w:space="0" w:color="auto"/>
          </w:divBdr>
        </w:div>
        <w:div w:id="2067608752">
          <w:marLeft w:val="547"/>
          <w:marRight w:val="0"/>
          <w:marTop w:val="67"/>
          <w:marBottom w:val="0"/>
          <w:divBdr>
            <w:top w:val="none" w:sz="0" w:space="0" w:color="auto"/>
            <w:left w:val="none" w:sz="0" w:space="0" w:color="auto"/>
            <w:bottom w:val="none" w:sz="0" w:space="0" w:color="auto"/>
            <w:right w:val="none" w:sz="0" w:space="0" w:color="auto"/>
          </w:divBdr>
        </w:div>
        <w:div w:id="1169369962">
          <w:marLeft w:val="547"/>
          <w:marRight w:val="0"/>
          <w:marTop w:val="67"/>
          <w:marBottom w:val="0"/>
          <w:divBdr>
            <w:top w:val="none" w:sz="0" w:space="0" w:color="auto"/>
            <w:left w:val="none" w:sz="0" w:space="0" w:color="auto"/>
            <w:bottom w:val="none" w:sz="0" w:space="0" w:color="auto"/>
            <w:right w:val="none" w:sz="0" w:space="0" w:color="auto"/>
          </w:divBdr>
        </w:div>
        <w:div w:id="2131900649">
          <w:marLeft w:val="547"/>
          <w:marRight w:val="0"/>
          <w:marTop w:val="67"/>
          <w:marBottom w:val="0"/>
          <w:divBdr>
            <w:top w:val="none" w:sz="0" w:space="0" w:color="auto"/>
            <w:left w:val="none" w:sz="0" w:space="0" w:color="auto"/>
            <w:bottom w:val="none" w:sz="0" w:space="0" w:color="auto"/>
            <w:right w:val="none" w:sz="0" w:space="0" w:color="auto"/>
          </w:divBdr>
        </w:div>
        <w:div w:id="434790905">
          <w:marLeft w:val="547"/>
          <w:marRight w:val="0"/>
          <w:marTop w:val="67"/>
          <w:marBottom w:val="0"/>
          <w:divBdr>
            <w:top w:val="none" w:sz="0" w:space="0" w:color="auto"/>
            <w:left w:val="none" w:sz="0" w:space="0" w:color="auto"/>
            <w:bottom w:val="none" w:sz="0" w:space="0" w:color="auto"/>
            <w:right w:val="none" w:sz="0" w:space="0" w:color="auto"/>
          </w:divBdr>
        </w:div>
        <w:div w:id="414744477">
          <w:marLeft w:val="547"/>
          <w:marRight w:val="0"/>
          <w:marTop w:val="67"/>
          <w:marBottom w:val="0"/>
          <w:divBdr>
            <w:top w:val="none" w:sz="0" w:space="0" w:color="auto"/>
            <w:left w:val="none" w:sz="0" w:space="0" w:color="auto"/>
            <w:bottom w:val="none" w:sz="0" w:space="0" w:color="auto"/>
            <w:right w:val="none" w:sz="0" w:space="0" w:color="auto"/>
          </w:divBdr>
        </w:div>
        <w:div w:id="1380126704">
          <w:marLeft w:val="547"/>
          <w:marRight w:val="0"/>
          <w:marTop w:val="67"/>
          <w:marBottom w:val="0"/>
          <w:divBdr>
            <w:top w:val="none" w:sz="0" w:space="0" w:color="auto"/>
            <w:left w:val="none" w:sz="0" w:space="0" w:color="auto"/>
            <w:bottom w:val="none" w:sz="0" w:space="0" w:color="auto"/>
            <w:right w:val="none" w:sz="0" w:space="0" w:color="auto"/>
          </w:divBdr>
        </w:div>
        <w:div w:id="1190610691">
          <w:marLeft w:val="547"/>
          <w:marRight w:val="0"/>
          <w:marTop w:val="67"/>
          <w:marBottom w:val="0"/>
          <w:divBdr>
            <w:top w:val="none" w:sz="0" w:space="0" w:color="auto"/>
            <w:left w:val="none" w:sz="0" w:space="0" w:color="auto"/>
            <w:bottom w:val="none" w:sz="0" w:space="0" w:color="auto"/>
            <w:right w:val="none" w:sz="0" w:space="0" w:color="auto"/>
          </w:divBdr>
        </w:div>
        <w:div w:id="502664086">
          <w:marLeft w:val="547"/>
          <w:marRight w:val="0"/>
          <w:marTop w:val="67"/>
          <w:marBottom w:val="0"/>
          <w:divBdr>
            <w:top w:val="none" w:sz="0" w:space="0" w:color="auto"/>
            <w:left w:val="none" w:sz="0" w:space="0" w:color="auto"/>
            <w:bottom w:val="none" w:sz="0" w:space="0" w:color="auto"/>
            <w:right w:val="none" w:sz="0" w:space="0" w:color="auto"/>
          </w:divBdr>
        </w:div>
        <w:div w:id="2031179385">
          <w:marLeft w:val="547"/>
          <w:marRight w:val="0"/>
          <w:marTop w:val="67"/>
          <w:marBottom w:val="0"/>
          <w:divBdr>
            <w:top w:val="none" w:sz="0" w:space="0" w:color="auto"/>
            <w:left w:val="none" w:sz="0" w:space="0" w:color="auto"/>
            <w:bottom w:val="none" w:sz="0" w:space="0" w:color="auto"/>
            <w:right w:val="none" w:sz="0" w:space="0" w:color="auto"/>
          </w:divBdr>
        </w:div>
      </w:divsChild>
    </w:div>
    <w:div w:id="341780527">
      <w:bodyDiv w:val="1"/>
      <w:marLeft w:val="0"/>
      <w:marRight w:val="0"/>
      <w:marTop w:val="0"/>
      <w:marBottom w:val="0"/>
      <w:divBdr>
        <w:top w:val="none" w:sz="0" w:space="0" w:color="auto"/>
        <w:left w:val="none" w:sz="0" w:space="0" w:color="auto"/>
        <w:bottom w:val="none" w:sz="0" w:space="0" w:color="auto"/>
        <w:right w:val="none" w:sz="0" w:space="0" w:color="auto"/>
      </w:divBdr>
    </w:div>
    <w:div w:id="627972267">
      <w:bodyDiv w:val="1"/>
      <w:marLeft w:val="0"/>
      <w:marRight w:val="0"/>
      <w:marTop w:val="0"/>
      <w:marBottom w:val="0"/>
      <w:divBdr>
        <w:top w:val="none" w:sz="0" w:space="0" w:color="auto"/>
        <w:left w:val="none" w:sz="0" w:space="0" w:color="auto"/>
        <w:bottom w:val="none" w:sz="0" w:space="0" w:color="auto"/>
        <w:right w:val="none" w:sz="0" w:space="0" w:color="auto"/>
      </w:divBdr>
    </w:div>
    <w:div w:id="682509804">
      <w:bodyDiv w:val="1"/>
      <w:marLeft w:val="0"/>
      <w:marRight w:val="0"/>
      <w:marTop w:val="0"/>
      <w:marBottom w:val="0"/>
      <w:divBdr>
        <w:top w:val="none" w:sz="0" w:space="0" w:color="auto"/>
        <w:left w:val="none" w:sz="0" w:space="0" w:color="auto"/>
        <w:bottom w:val="none" w:sz="0" w:space="0" w:color="auto"/>
        <w:right w:val="none" w:sz="0" w:space="0" w:color="auto"/>
      </w:divBdr>
    </w:div>
    <w:div w:id="739909821">
      <w:bodyDiv w:val="1"/>
      <w:marLeft w:val="0"/>
      <w:marRight w:val="0"/>
      <w:marTop w:val="0"/>
      <w:marBottom w:val="0"/>
      <w:divBdr>
        <w:top w:val="none" w:sz="0" w:space="0" w:color="auto"/>
        <w:left w:val="none" w:sz="0" w:space="0" w:color="auto"/>
        <w:bottom w:val="none" w:sz="0" w:space="0" w:color="auto"/>
        <w:right w:val="none" w:sz="0" w:space="0" w:color="auto"/>
      </w:divBdr>
    </w:div>
    <w:div w:id="1179275824">
      <w:bodyDiv w:val="1"/>
      <w:marLeft w:val="0"/>
      <w:marRight w:val="0"/>
      <w:marTop w:val="0"/>
      <w:marBottom w:val="0"/>
      <w:divBdr>
        <w:top w:val="none" w:sz="0" w:space="0" w:color="auto"/>
        <w:left w:val="none" w:sz="0" w:space="0" w:color="auto"/>
        <w:bottom w:val="none" w:sz="0" w:space="0" w:color="auto"/>
        <w:right w:val="none" w:sz="0" w:space="0" w:color="auto"/>
      </w:divBdr>
      <w:divsChild>
        <w:div w:id="349142090">
          <w:marLeft w:val="547"/>
          <w:marRight w:val="0"/>
          <w:marTop w:val="106"/>
          <w:marBottom w:val="0"/>
          <w:divBdr>
            <w:top w:val="none" w:sz="0" w:space="0" w:color="auto"/>
            <w:left w:val="none" w:sz="0" w:space="0" w:color="auto"/>
            <w:bottom w:val="none" w:sz="0" w:space="0" w:color="auto"/>
            <w:right w:val="none" w:sz="0" w:space="0" w:color="auto"/>
          </w:divBdr>
        </w:div>
        <w:div w:id="24060826">
          <w:marLeft w:val="1166"/>
          <w:marRight w:val="0"/>
          <w:marTop w:val="96"/>
          <w:marBottom w:val="0"/>
          <w:divBdr>
            <w:top w:val="none" w:sz="0" w:space="0" w:color="auto"/>
            <w:left w:val="none" w:sz="0" w:space="0" w:color="auto"/>
            <w:bottom w:val="none" w:sz="0" w:space="0" w:color="auto"/>
            <w:right w:val="none" w:sz="0" w:space="0" w:color="auto"/>
          </w:divBdr>
        </w:div>
        <w:div w:id="1648051096">
          <w:marLeft w:val="1166"/>
          <w:marRight w:val="0"/>
          <w:marTop w:val="96"/>
          <w:marBottom w:val="0"/>
          <w:divBdr>
            <w:top w:val="none" w:sz="0" w:space="0" w:color="auto"/>
            <w:left w:val="none" w:sz="0" w:space="0" w:color="auto"/>
            <w:bottom w:val="none" w:sz="0" w:space="0" w:color="auto"/>
            <w:right w:val="none" w:sz="0" w:space="0" w:color="auto"/>
          </w:divBdr>
        </w:div>
      </w:divsChild>
    </w:div>
    <w:div w:id="1207110199">
      <w:bodyDiv w:val="1"/>
      <w:marLeft w:val="0"/>
      <w:marRight w:val="0"/>
      <w:marTop w:val="0"/>
      <w:marBottom w:val="0"/>
      <w:divBdr>
        <w:top w:val="none" w:sz="0" w:space="0" w:color="auto"/>
        <w:left w:val="none" w:sz="0" w:space="0" w:color="auto"/>
        <w:bottom w:val="none" w:sz="0" w:space="0" w:color="auto"/>
        <w:right w:val="none" w:sz="0" w:space="0" w:color="auto"/>
      </w:divBdr>
    </w:div>
    <w:div w:id="1250389882">
      <w:bodyDiv w:val="1"/>
      <w:marLeft w:val="0"/>
      <w:marRight w:val="0"/>
      <w:marTop w:val="0"/>
      <w:marBottom w:val="0"/>
      <w:divBdr>
        <w:top w:val="none" w:sz="0" w:space="0" w:color="auto"/>
        <w:left w:val="none" w:sz="0" w:space="0" w:color="auto"/>
        <w:bottom w:val="none" w:sz="0" w:space="0" w:color="auto"/>
        <w:right w:val="none" w:sz="0" w:space="0" w:color="auto"/>
      </w:divBdr>
    </w:div>
    <w:div w:id="1331060430">
      <w:bodyDiv w:val="1"/>
      <w:marLeft w:val="0"/>
      <w:marRight w:val="0"/>
      <w:marTop w:val="0"/>
      <w:marBottom w:val="0"/>
      <w:divBdr>
        <w:top w:val="none" w:sz="0" w:space="0" w:color="auto"/>
        <w:left w:val="none" w:sz="0" w:space="0" w:color="auto"/>
        <w:bottom w:val="none" w:sz="0" w:space="0" w:color="auto"/>
        <w:right w:val="none" w:sz="0" w:space="0" w:color="auto"/>
      </w:divBdr>
    </w:div>
    <w:div w:id="1502356694">
      <w:bodyDiv w:val="1"/>
      <w:marLeft w:val="0"/>
      <w:marRight w:val="0"/>
      <w:marTop w:val="0"/>
      <w:marBottom w:val="0"/>
      <w:divBdr>
        <w:top w:val="none" w:sz="0" w:space="0" w:color="auto"/>
        <w:left w:val="none" w:sz="0" w:space="0" w:color="auto"/>
        <w:bottom w:val="none" w:sz="0" w:space="0" w:color="auto"/>
        <w:right w:val="none" w:sz="0" w:space="0" w:color="auto"/>
      </w:divBdr>
      <w:divsChild>
        <w:div w:id="2085181929">
          <w:marLeft w:val="1166"/>
          <w:marRight w:val="0"/>
          <w:marTop w:val="91"/>
          <w:marBottom w:val="0"/>
          <w:divBdr>
            <w:top w:val="none" w:sz="0" w:space="0" w:color="auto"/>
            <w:left w:val="none" w:sz="0" w:space="0" w:color="auto"/>
            <w:bottom w:val="none" w:sz="0" w:space="0" w:color="auto"/>
            <w:right w:val="none" w:sz="0" w:space="0" w:color="auto"/>
          </w:divBdr>
        </w:div>
        <w:div w:id="1583103605">
          <w:marLeft w:val="1166"/>
          <w:marRight w:val="0"/>
          <w:marTop w:val="91"/>
          <w:marBottom w:val="0"/>
          <w:divBdr>
            <w:top w:val="none" w:sz="0" w:space="0" w:color="auto"/>
            <w:left w:val="none" w:sz="0" w:space="0" w:color="auto"/>
            <w:bottom w:val="none" w:sz="0" w:space="0" w:color="auto"/>
            <w:right w:val="none" w:sz="0" w:space="0" w:color="auto"/>
          </w:divBdr>
        </w:div>
        <w:div w:id="1809083956">
          <w:marLeft w:val="1166"/>
          <w:marRight w:val="0"/>
          <w:marTop w:val="91"/>
          <w:marBottom w:val="0"/>
          <w:divBdr>
            <w:top w:val="none" w:sz="0" w:space="0" w:color="auto"/>
            <w:left w:val="none" w:sz="0" w:space="0" w:color="auto"/>
            <w:bottom w:val="none" w:sz="0" w:space="0" w:color="auto"/>
            <w:right w:val="none" w:sz="0" w:space="0" w:color="auto"/>
          </w:divBdr>
        </w:div>
      </w:divsChild>
    </w:div>
    <w:div w:id="1598755573">
      <w:bodyDiv w:val="1"/>
      <w:marLeft w:val="0"/>
      <w:marRight w:val="0"/>
      <w:marTop w:val="0"/>
      <w:marBottom w:val="0"/>
      <w:divBdr>
        <w:top w:val="none" w:sz="0" w:space="0" w:color="auto"/>
        <w:left w:val="none" w:sz="0" w:space="0" w:color="auto"/>
        <w:bottom w:val="none" w:sz="0" w:space="0" w:color="auto"/>
        <w:right w:val="none" w:sz="0" w:space="0" w:color="auto"/>
      </w:divBdr>
      <w:divsChild>
        <w:div w:id="106775704">
          <w:marLeft w:val="547"/>
          <w:marRight w:val="0"/>
          <w:marTop w:val="106"/>
          <w:marBottom w:val="0"/>
          <w:divBdr>
            <w:top w:val="none" w:sz="0" w:space="0" w:color="auto"/>
            <w:left w:val="none" w:sz="0" w:space="0" w:color="auto"/>
            <w:bottom w:val="none" w:sz="0" w:space="0" w:color="auto"/>
            <w:right w:val="none" w:sz="0" w:space="0" w:color="auto"/>
          </w:divBdr>
        </w:div>
        <w:div w:id="2017416022">
          <w:marLeft w:val="1166"/>
          <w:marRight w:val="0"/>
          <w:marTop w:val="82"/>
          <w:marBottom w:val="0"/>
          <w:divBdr>
            <w:top w:val="none" w:sz="0" w:space="0" w:color="auto"/>
            <w:left w:val="none" w:sz="0" w:space="0" w:color="auto"/>
            <w:bottom w:val="none" w:sz="0" w:space="0" w:color="auto"/>
            <w:right w:val="none" w:sz="0" w:space="0" w:color="auto"/>
          </w:divBdr>
        </w:div>
        <w:div w:id="1502237229">
          <w:marLeft w:val="1166"/>
          <w:marRight w:val="0"/>
          <w:marTop w:val="82"/>
          <w:marBottom w:val="0"/>
          <w:divBdr>
            <w:top w:val="none" w:sz="0" w:space="0" w:color="auto"/>
            <w:left w:val="none" w:sz="0" w:space="0" w:color="auto"/>
            <w:bottom w:val="none" w:sz="0" w:space="0" w:color="auto"/>
            <w:right w:val="none" w:sz="0" w:space="0" w:color="auto"/>
          </w:divBdr>
        </w:div>
        <w:div w:id="994916355">
          <w:marLeft w:val="547"/>
          <w:marRight w:val="0"/>
          <w:marTop w:val="106"/>
          <w:marBottom w:val="0"/>
          <w:divBdr>
            <w:top w:val="none" w:sz="0" w:space="0" w:color="auto"/>
            <w:left w:val="none" w:sz="0" w:space="0" w:color="auto"/>
            <w:bottom w:val="none" w:sz="0" w:space="0" w:color="auto"/>
            <w:right w:val="none" w:sz="0" w:space="0" w:color="auto"/>
          </w:divBdr>
        </w:div>
      </w:divsChild>
    </w:div>
    <w:div w:id="1810053361">
      <w:bodyDiv w:val="1"/>
      <w:marLeft w:val="0"/>
      <w:marRight w:val="0"/>
      <w:marTop w:val="0"/>
      <w:marBottom w:val="0"/>
      <w:divBdr>
        <w:top w:val="none" w:sz="0" w:space="0" w:color="auto"/>
        <w:left w:val="none" w:sz="0" w:space="0" w:color="auto"/>
        <w:bottom w:val="none" w:sz="0" w:space="0" w:color="auto"/>
        <w:right w:val="none" w:sz="0" w:space="0" w:color="auto"/>
      </w:divBdr>
    </w:div>
    <w:div w:id="210822786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health-products.canada.ca/dpd-bdpp/search-fast-recherche-rapide.do?lang=en&amp;code=143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health-products.canada.ca/dpd-bdpp/search-fast-recherche-rapide.do?lang=en&amp;code=143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81063-C8A4-482E-B459-26C470EA4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Briefing Note – for Board or Committee Discussion only</vt:lpstr>
    </vt:vector>
  </TitlesOfParts>
  <Company>Context Creative</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Briefing Note – for Board or Committee Discussion only</dc:title>
  <dc:creator>Communication</dc:creator>
  <dc:description>Briefing Note – for Board or Committee Discussion only</dc:description>
  <cp:lastModifiedBy>Knight , Beverly</cp:lastModifiedBy>
  <cp:revision>2</cp:revision>
  <cp:lastPrinted>2008-02-14T17:42:00Z</cp:lastPrinted>
  <dcterms:created xsi:type="dcterms:W3CDTF">2017-07-18T20:31:00Z</dcterms:created>
  <dcterms:modified xsi:type="dcterms:W3CDTF">2017-07-18T20:31:00Z</dcterms:modified>
</cp:coreProperties>
</file>