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BD25FD">
        <w:rPr>
          <w:b/>
          <w:color w:val="4472C4" w:themeColor="accent1"/>
        </w:rPr>
        <w:t>NOV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CC6AEE" w:rsidRPr="000941B4">
        <w:rPr>
          <w:b/>
          <w:color w:val="4472C4" w:themeColor="accent1"/>
        </w:rPr>
        <w:t>2020</w:t>
      </w:r>
      <w:bookmarkStart w:id="0" w:name="_GoBack"/>
      <w:bookmarkEnd w:id="0"/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CC6AEE">
        <w:rPr>
          <w:color w:val="FF0000"/>
        </w:rPr>
        <w:t>2020</w:t>
      </w:r>
      <w:r w:rsidR="00E61C2C">
        <w:rPr>
          <w:color w:val="FF0000"/>
        </w:rPr>
        <w:t>1</w:t>
      </w:r>
      <w:r w:rsidR="00BD25FD">
        <w:rPr>
          <w:color w:val="FF0000"/>
        </w:rPr>
        <w:t>102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:rsidTr="002977B9">
        <w:tc>
          <w:tcPr>
            <w:tcW w:w="1980" w:type="dxa"/>
          </w:tcPr>
          <w:p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:rsidR="002977B9" w:rsidRDefault="001B5312" w:rsidP="002977B9">
            <w:r>
              <w:t>J. Hutsul</w:t>
            </w:r>
          </w:p>
        </w:tc>
      </w:tr>
      <w:tr w:rsidR="002977B9" w:rsidTr="002977B9">
        <w:tc>
          <w:tcPr>
            <w:tcW w:w="1980" w:type="dxa"/>
          </w:tcPr>
          <w:p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:rsidR="002977B9" w:rsidRDefault="00FC03B8" w:rsidP="002A0E3C">
            <w:r>
              <w:t xml:space="preserve">B. </w:t>
            </w:r>
            <w:r w:rsidR="002A0E3C">
              <w:t>Prime</w:t>
            </w:r>
          </w:p>
        </w:tc>
      </w:tr>
    </w:tbl>
    <w:p w:rsidR="002977B9" w:rsidRPr="002977B9" w:rsidRDefault="002977B9" w:rsidP="002977B9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641AB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BD25FD" w:rsidRPr="00641AB7" w:rsidTr="00BD25FD">
        <w:trPr>
          <w:trHeight w:val="315"/>
        </w:trPr>
        <w:tc>
          <w:tcPr>
            <w:tcW w:w="1083" w:type="dxa"/>
          </w:tcPr>
          <w:p w:rsidR="00BD25FD" w:rsidRPr="00930E13" w:rsidRDefault="00BD25FD" w:rsidP="00BD25FD">
            <w:r w:rsidRPr="00930E13">
              <w:t>8001352</w:t>
            </w:r>
          </w:p>
        </w:tc>
        <w:tc>
          <w:tcPr>
            <w:tcW w:w="7701" w:type="dxa"/>
          </w:tcPr>
          <w:p w:rsidR="00BD25FD" w:rsidRPr="00930E13" w:rsidRDefault="00BD25FD" w:rsidP="00BD25FD">
            <w:r w:rsidRPr="00930E13">
              <w:t>chloroquine</w:t>
            </w:r>
          </w:p>
        </w:tc>
      </w:tr>
      <w:tr w:rsidR="00BD25FD" w:rsidRPr="00641AB7" w:rsidTr="00BD25FD">
        <w:trPr>
          <w:trHeight w:val="315"/>
        </w:trPr>
        <w:tc>
          <w:tcPr>
            <w:tcW w:w="1083" w:type="dxa"/>
          </w:tcPr>
          <w:p w:rsidR="00BD25FD" w:rsidRPr="00930E13" w:rsidRDefault="00BD25FD" w:rsidP="00BD25FD">
            <w:r w:rsidRPr="00930E13">
              <w:t>8001459</w:t>
            </w:r>
          </w:p>
        </w:tc>
        <w:tc>
          <w:tcPr>
            <w:tcW w:w="7701" w:type="dxa"/>
          </w:tcPr>
          <w:p w:rsidR="00BD25FD" w:rsidRDefault="00BD25FD" w:rsidP="00BD25FD">
            <w:r w:rsidRPr="00930E13">
              <w:t>ertugliflozin</w:t>
            </w:r>
          </w:p>
        </w:tc>
      </w:tr>
      <w:tr w:rsidR="00BD25FD" w:rsidRPr="00641AB7" w:rsidTr="00BD25FD">
        <w:trPr>
          <w:trHeight w:val="315"/>
        </w:trPr>
        <w:tc>
          <w:tcPr>
            <w:tcW w:w="1083" w:type="dxa"/>
          </w:tcPr>
          <w:p w:rsidR="00BD25FD" w:rsidRPr="00E63E0A" w:rsidRDefault="00BD25FD" w:rsidP="00BD25FD">
            <w:r w:rsidRPr="00E63E0A">
              <w:t>8002308</w:t>
            </w:r>
          </w:p>
        </w:tc>
        <w:tc>
          <w:tcPr>
            <w:tcW w:w="7701" w:type="dxa"/>
          </w:tcPr>
          <w:p w:rsidR="00BD25FD" w:rsidRDefault="00BD25FD" w:rsidP="00BD25FD">
            <w:r w:rsidRPr="00E63E0A">
              <w:t>mineral oil heavy and urea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AE4FB7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F24C7F" w:rsidRDefault="00AE4FB7" w:rsidP="00F24C7F">
            <w:pPr>
              <w:rPr>
                <w:rFonts w:cstheme="minorHAnsi"/>
                <w:lang w:val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F24C7F" w:rsidRDefault="00BD25FD" w:rsidP="00F24C7F">
            <w:pPr>
              <w:rPr>
                <w:rFonts w:cstheme="minorHAnsi"/>
                <w:color w:val="FF0000"/>
              </w:rPr>
            </w:pPr>
            <w:r w:rsidRPr="00BD25FD">
              <w:rPr>
                <w:rFonts w:cstheme="minorHAnsi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F24C7F" w:rsidRDefault="00AE4FB7" w:rsidP="00F24C7F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2D3F36" w:rsidRDefault="00F24C7F" w:rsidP="0067249E">
            <w:pPr>
              <w:rPr>
                <w:rFonts w:cstheme="minorHAnsi"/>
              </w:rPr>
            </w:pPr>
            <w:r w:rsidRPr="002D3F36">
              <w:rPr>
                <w:rFonts w:cstheme="minorHAnsi"/>
              </w:rPr>
              <w:t>D</w:t>
            </w:r>
            <w:r w:rsidR="0067249E" w:rsidRPr="002D3F36">
              <w:rPr>
                <w:rFonts w:cstheme="minorHAnsi"/>
              </w:rPr>
              <w:t>eprec</w:t>
            </w: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lastRenderedPageBreak/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73D77" w:rsidTr="00E95D7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3D77" w:rsidRDefault="00473D77" w:rsidP="00473D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7" w:rsidRPr="006E307B" w:rsidRDefault="00BD25FD" w:rsidP="00473D77"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7" w:rsidRPr="00331245" w:rsidRDefault="00473D77" w:rsidP="00473D77"/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A55C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9000554</w:t>
            </w:r>
          </w:p>
        </w:tc>
        <w:tc>
          <w:tcPr>
            <w:tcW w:w="7843" w:type="dxa"/>
          </w:tcPr>
          <w:p w:rsidR="00BD25FD" w:rsidRPr="00AB1BE7" w:rsidRDefault="00BD25FD" w:rsidP="00BD25FD">
            <w:r w:rsidRPr="00AB1BE7">
              <w:t>bromazepam 1.5 mg oral tablet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9014264</w:t>
            </w:r>
          </w:p>
        </w:tc>
        <w:tc>
          <w:tcPr>
            <w:tcW w:w="7843" w:type="dxa"/>
          </w:tcPr>
          <w:p w:rsidR="00BD25FD" w:rsidRPr="00AB1BE7" w:rsidRDefault="00BD25FD" w:rsidP="00BD25FD">
            <w:r w:rsidRPr="00AB1BE7">
              <w:t>chloroquine phosphate 250 mg oral tablet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9012798</w:t>
            </w:r>
          </w:p>
        </w:tc>
        <w:tc>
          <w:tcPr>
            <w:tcW w:w="7843" w:type="dxa"/>
          </w:tcPr>
          <w:p w:rsidR="00BD25FD" w:rsidRPr="00AB1BE7" w:rsidRDefault="00BD25FD" w:rsidP="00BD25FD">
            <w:r w:rsidRPr="00AB1BE7">
              <w:t>ertugliflozin 15 mg oral tablet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9012802</w:t>
            </w:r>
          </w:p>
        </w:tc>
        <w:tc>
          <w:tcPr>
            <w:tcW w:w="7843" w:type="dxa"/>
          </w:tcPr>
          <w:p w:rsidR="00BD25FD" w:rsidRPr="00AB1BE7" w:rsidRDefault="00BD25FD" w:rsidP="00BD25FD">
            <w:r w:rsidRPr="00AB1BE7">
              <w:t>ertugliflozin 5 mg oral tablet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9013313</w:t>
            </w:r>
          </w:p>
        </w:tc>
        <w:tc>
          <w:tcPr>
            <w:tcW w:w="7843" w:type="dxa"/>
          </w:tcPr>
          <w:p w:rsidR="00BD25FD" w:rsidRPr="00AB1BE7" w:rsidRDefault="00BD25FD" w:rsidP="00BD25FD">
            <w:r w:rsidRPr="00AB1BE7">
              <w:t>methocarbamol 1000 mg per 10 mL solution for injection vial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9014209</w:t>
            </w:r>
          </w:p>
        </w:tc>
        <w:tc>
          <w:tcPr>
            <w:tcW w:w="7843" w:type="dxa"/>
          </w:tcPr>
          <w:p w:rsidR="00BD25FD" w:rsidRPr="00AB1BE7" w:rsidRDefault="00BD25FD" w:rsidP="00BD25FD">
            <w:r w:rsidRPr="00AB1BE7">
              <w:t>mineral oil heavy 64.5 % and urea 5 % cutaneous ointment</w:t>
            </w:r>
          </w:p>
        </w:tc>
      </w:tr>
      <w:tr w:rsidR="00BD25FD" w:rsidRPr="00A55C9A" w:rsidTr="00BD25FD">
        <w:trPr>
          <w:trHeight w:val="315"/>
        </w:trPr>
        <w:tc>
          <w:tcPr>
            <w:tcW w:w="1083" w:type="dxa"/>
          </w:tcPr>
          <w:p w:rsidR="00BD25FD" w:rsidRPr="00AB1BE7" w:rsidRDefault="00BD25FD" w:rsidP="00BD25FD">
            <w:r w:rsidRPr="00AB1BE7">
              <w:t>9000178</w:t>
            </w:r>
          </w:p>
        </w:tc>
        <w:tc>
          <w:tcPr>
            <w:tcW w:w="7843" w:type="dxa"/>
          </w:tcPr>
          <w:p w:rsidR="00BD25FD" w:rsidRDefault="00BD25FD" w:rsidP="00BD25FD">
            <w:r w:rsidRPr="00AB1BE7">
              <w:t>naproxen 125 mg oral tablet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lastRenderedPageBreak/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>
        <w:t>s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858"/>
        <w:gridCol w:w="1820"/>
        <w:gridCol w:w="2358"/>
      </w:tblGrid>
      <w:tr w:rsidR="00A76501" w:rsidRPr="00A75047" w:rsidTr="00A76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4E0AFC" w:rsidRPr="00A75047" w:rsidTr="004E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0AFC" w:rsidRPr="00473D77" w:rsidRDefault="004E0AFC" w:rsidP="004E0AFC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E0AFC" w:rsidRDefault="00BD25FD" w:rsidP="00BD2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2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E0AFC" w:rsidRDefault="004E0AFC" w:rsidP="004E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4E0AFC" w:rsidRPr="00A75047" w:rsidRDefault="004E0AFC" w:rsidP="004E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4E0AFC" w:rsidRPr="00A76501" w:rsidRDefault="004E0AFC" w:rsidP="004E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07472" w:rsidRDefault="00807472" w:rsidP="00221352">
      <w:pPr>
        <w:pStyle w:val="Heading3"/>
      </w:pPr>
    </w:p>
    <w:p w:rsidR="004812CF" w:rsidRPr="004E0AFC" w:rsidRDefault="004812CF" w:rsidP="004812CF">
      <w:pPr>
        <w:rPr>
          <w:lang w:val="en-CA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8C0484" w:rsidRPr="008C0484" w:rsidRDefault="008C0484" w:rsidP="008C0484"/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5"/>
        <w:gridCol w:w="1106"/>
        <w:gridCol w:w="4934"/>
        <w:gridCol w:w="1791"/>
      </w:tblGrid>
      <w:tr w:rsidR="001B7235" w:rsidTr="00216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1B7235" w:rsidRDefault="001B7235" w:rsidP="00AB5780">
            <w:r>
              <w:t>drug_code</w:t>
            </w:r>
          </w:p>
        </w:tc>
        <w:tc>
          <w:tcPr>
            <w:tcW w:w="11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49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17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status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78083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2295512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 RAMIPRIL (ramipril 10 mg oral capsule) ACTAVIS PHARMA COMPANY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2020.10.31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65795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2242119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AGGRENOX (acetylsalicylic acid 25 mg and dipyridamole 200 mg modified-release oral capsule) BOEHRINGER INGELHEIM (CANADA) LTD LTEE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2020.10.11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4981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B6599">
              <w:rPr>
                <w:rFonts w:ascii="Arial" w:hAnsi="Arial" w:cs="Arial"/>
                <w:sz w:val="20"/>
                <w:szCs w:val="20"/>
              </w:rPr>
              <w:t>522678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 NAPROXEN TAB 125MG (naproxen 125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2019.08.08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88413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2399210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APO-BOSENTAN (bosentan (bosentan monohydrate) 125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2019.11.03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88412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2399202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APO-BOSENTAN (bosentan (bosentan monohydrate) 62.5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2019.11.04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19057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2177153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APO-BROMAZEPAM - TAB 1.5MG (bromazepam 1.5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2020.05.07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77836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2292998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APO-CEFPROZIL (cefprozil (cefprozil monohydrate) 250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2020.01.31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77837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2293005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APO-CEFPROZIL (cefprozil (cefprozil monohydrate) 500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2019.09.20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69247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2245232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APO-CLINDAMYCIN (clindamycin (clindamycin hydrochloride) 150 mg oral capsule)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2020.05.16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69248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2245233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APO-CLINDAMYCIN (clindamycin (clindamycin hydrochloride) 300 mg oral capsule)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2020.07.05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96750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2476657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APO-HYDROMORPHONE CR (hydromorphone hydrochloride 12 mg prolonged-release oral capsule)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2020.08.02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96752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2476673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APO-HYDROMORPHONE CR (hydromorphone hydrochloride 24 mg prolonged-release oral capsule)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2020.10.04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87254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2386976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APO-IRBESARTAN (irbesartan 150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2019.12.21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87255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2386984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APO-IRBESARTAN (irbesartan 300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2019.11.23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87253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2386968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APO-IRBESARTAN (irbesartan 75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2019.11.06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19231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2167786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APO-METFORMIN - TAB 500MG (metformin hydrochloride 500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2019.13.16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83099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2345579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APO-RABEPRAZOLE (rabeprazole sodium 10 mg gastro-resistant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2020.08.31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83100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2345587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APO-RABEPRAZOLE (rabeprazole sodium 20 mg gastro-resistant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2020.09.25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90469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2420082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APO-TELMISARTAN (telmisartan 40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2019.09.18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85460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2369680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APO-TOLTERODINE (tolterodine tartrate 1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2020.01.17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85461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2369699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APO-TOLTERODINE (tolterodine tartrate 2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2020.05.20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80467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2319209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BENYLIN TICKLY THROAT COUGH (dextromethorphan hydrobromide 15 mg per 5 mL syrup) MCNEIL CONSUMER HEALTHCARE DIVISION OF JOHNSON &amp; JOHNSON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Exp 2020.10.31 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84966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2364786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COLGATE TOTAL ADVANCED HEALTH GUM DEFENSE (sodium fluoride 0.243 % and triclosan 0.3 % toothpaste) COLGATE-PALMOLIVE CANADA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2020.11.01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14444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2044730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COLGATE TOTAL TPT (sodium fluoride 0.243 % and triclosan 0.3 % toothpaste) COLGATE-PALMOLIVE CANADA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psotmarket Exp 2020.11.01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13419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1918346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COUMADIN TAB 2.5MG (warfarin sodium 2.5 mg oral tablet) BRISTOL-MYERS SQUIBB CANADA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Exp 2020.10.31 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13536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1918338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COUMADIN TAB 2MG (warfarin sodium 2 mg oral tablet) BRISTOL-MYERS SQUIBB CANADA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Exp 2020.10.31 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63731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2240205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COUMADIN TAB 3MG (warfarin sodium 3 mg oral tablet) BRISTOL-MYERS SQUIBB CANADA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2020.10.31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77133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2285843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GD-GABAPENTIN (gabapentin 600 mg oral tablet) GENMED A DIVISION OF PFIZER CANADA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2020.03.31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5569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B6599">
              <w:rPr>
                <w:rFonts w:ascii="Arial" w:hAnsi="Arial" w:cs="Arial"/>
                <w:sz w:val="20"/>
                <w:szCs w:val="20"/>
              </w:rPr>
              <w:t>566810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HYDROPHIL ONT (mineral oil heavy 64.5 % and urea 5 % cutaneous ointment) OMEGA LABORATORIES LTD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2020.08.14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4857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B6599">
              <w:rPr>
                <w:rFonts w:ascii="Arial" w:hAnsi="Arial" w:cs="Arial"/>
                <w:sz w:val="20"/>
                <w:szCs w:val="20"/>
              </w:rPr>
              <w:t>564966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LOZIDE (indapamide 2.5 mg oral tablet) SERVIER CANADA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2020.10.31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87461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2389096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MAR-OLANZAPINE ODT (olanzapine 10 mg orodispersible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87462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2389118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MAR-OLANZAPINE ODT (olanzapine 15 mg orodispersible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87463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2389126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MAR-OLANZAPINE ODT (olanzapine 20 mg orodispersible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87460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2389088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MAR-OLANZAPINE ODT (olanzapine 5 mg orodispersible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88468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2399830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MAR-QUETIAPINE (quetiapine (quetiapine fumarate) 100 mg oral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2013.01.08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88469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2399849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MAR-QUETIAPINE (quetiapine (quetiapine fumarate) 200 mg oral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88467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2399822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MAR-QUETIAPINE (quetiapine (quetiapine fumarate) 25 mg oral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88470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2399857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MAR-QUETIAPINE (quetiapine (quetiapine fumarate) 300 mg oral tablet) MARCAN PHARMACEUTICALS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C82FB7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92462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2440245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PRIVA-CITALOPRAM (citalopram (citalopram hydrobromide) 20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93615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2450127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PRIVA-GABAPENTIN (gabapentin 600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93184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2446502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PRIVA-IRBESARTAN (irbesartan 150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93185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2446510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PRIVA-IRBESARTAN (irbesartan 300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1005C5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93183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2446499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PRIVA-IRBESARTAN (irbesartan 75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93651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2450380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PRIVA-LEVETIRACETAM (levetiracetam 500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646A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93215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2446715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PRIVA-LOSARTAN (losartan potassium 100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93268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2447126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PRIVA-QUETIAPINE (quetiapine (quetiapine fumarate) 200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93269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2447134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PRIVA-QUETIAPINE (quetiapine (quetiapine fumarate) 300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92625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2441861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PRIVA-VALACYCLOVIR (valacyclovir (valacyclovir hydrochloride) 500 mg oral tablet) PHARMAPAR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87156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2385953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RANITIDINE (ranitidine (ranitidine hydrochloride) 150 mg oral tablet) SIVEM PHARMACEUTICALS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2020.09.24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87157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2385961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P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B6599">
              <w:rPr>
                <w:rFonts w:ascii="Arial" w:hAnsi="Arial" w:cs="Arial"/>
                <w:sz w:val="20"/>
                <w:szCs w:val="20"/>
                <w:lang w:val="fr-CA"/>
              </w:rPr>
              <w:t>RANITIDINE (ranitidine (ranitidine hydrochloride) 300 mg oral tablet) SIVEM PHARMACEUTICALS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2020.09.24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13904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2025280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RISPERDAL (risperidone 1 mg oral tablet) JANSSEN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2020.10.31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13903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2025299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RISPERDAL (risperidone 2 mg oral tablet) JANSSEN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2020.10.31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3C46AF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13906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2025302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RISPERDAL (risperidone 3 mg oral tablet) JANSSEN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 Exp 2020.10.31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9776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B6599">
              <w:rPr>
                <w:rFonts w:ascii="Arial" w:hAnsi="Arial" w:cs="Arial"/>
                <w:sz w:val="20"/>
                <w:szCs w:val="20"/>
              </w:rPr>
              <w:t>783978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ROBAXIMOL INJ 100MG/ML (methocarbamol 1000 mg per 10 mL solution for injection vial) MONTREAL VETERINARY PRODUCTS INC.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2020.08.26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66620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2242797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ANUZINC HC PLUS SUPPOSITORIES (hydrocortisone acetate 10 mg and pramoxine hydrochloride 20 mg and zinc sulfate 10 mg suppository) SANDOZ CANADA INCORPORATED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2019.01.16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96590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2475529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STEGLATRO (ertugliflozin 15 mg oral tablet) MERCK CANADA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96589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B6599">
              <w:rPr>
                <w:rFonts w:ascii="Arial" w:hAnsi="Arial" w:cs="Arial"/>
                <w:sz w:val="20"/>
                <w:szCs w:val="20"/>
              </w:rPr>
              <w:t>2475510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STEGLATRO (ertugliflozin 5 mg oral tablet) MERCK CANADA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2020.10.01</w:t>
            </w:r>
          </w:p>
        </w:tc>
      </w:tr>
      <w:tr w:rsidR="00FB6599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FB6599" w:rsidRPr="002A0E3C" w:rsidRDefault="00FA0097" w:rsidP="00FB6599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0E3C">
              <w:rPr>
                <w:rFonts w:ascii="Arial" w:hAnsi="Arial" w:cs="Arial"/>
                <w:b w:val="0"/>
                <w:sz w:val="20"/>
                <w:szCs w:val="20"/>
              </w:rPr>
              <w:t>682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3C46AF" w:rsidP="00FB65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="00FB6599">
              <w:rPr>
                <w:rFonts w:ascii="Arial" w:hAnsi="Arial" w:cs="Arial"/>
                <w:sz w:val="20"/>
                <w:szCs w:val="20"/>
              </w:rPr>
              <w:t>21261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TEVA-CHLOROQUINE (chloroquine phosphate 250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FB6599" w:rsidRDefault="00FB6599" w:rsidP="00FB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2020.10.13</w:t>
            </w:r>
          </w:p>
        </w:tc>
      </w:tr>
      <w:tr w:rsidR="00CB1CFD" w:rsidRPr="003F0B2A" w:rsidTr="004347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bottom"/>
          </w:tcPr>
          <w:p w:rsidR="00CB1CFD" w:rsidRPr="002A0E3C" w:rsidRDefault="00CB1CFD" w:rsidP="00CB1CF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B1CFD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48078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CFD" w:rsidRDefault="00CB1CFD" w:rsidP="00CB1C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02229785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CFD" w:rsidRDefault="00CB1CFD" w:rsidP="00CB1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APO-METFORMIN 850 MG TABLETS (metformin hydrochloride 850 mg oral tablet) APOTEX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CFD" w:rsidRPr="00CB1CFD" w:rsidRDefault="00CB1CFD" w:rsidP="00CB1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CFD">
              <w:rPr>
                <w:rFonts w:ascii="Arial" w:hAnsi="Arial" w:cs="Arial"/>
                <w:sz w:val="20"/>
                <w:szCs w:val="20"/>
                <w:highlight w:val="yellow"/>
              </w:rPr>
              <w:t>Dormant</w:t>
            </w:r>
          </w:p>
          <w:p w:rsidR="00CB1CFD" w:rsidRPr="00CB1CFD" w:rsidRDefault="00CB1CFD" w:rsidP="00CB1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CFD">
              <w:rPr>
                <w:rFonts w:ascii="Arial" w:hAnsi="Arial" w:cs="Arial"/>
                <w:sz w:val="20"/>
                <w:szCs w:val="20"/>
                <w:highlight w:val="yellow"/>
              </w:rPr>
              <w:t>2020.12.01</w:t>
            </w:r>
          </w:p>
        </w:tc>
      </w:tr>
    </w:tbl>
    <w:p w:rsidR="001B7235" w:rsidRPr="001005C5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FB34C3">
        <w:t>OCT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134"/>
        <w:gridCol w:w="2349"/>
        <w:gridCol w:w="1053"/>
      </w:tblGrid>
      <w:tr w:rsidR="001038A4" w:rsidRPr="002D01B3" w:rsidTr="00EE0CC3">
        <w:tc>
          <w:tcPr>
            <w:tcW w:w="1271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34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67249E" w:rsidRPr="008A281D" w:rsidTr="0067249E">
        <w:tc>
          <w:tcPr>
            <w:tcW w:w="1271" w:type="dxa"/>
          </w:tcPr>
          <w:p w:rsidR="0067249E" w:rsidRDefault="0067249E" w:rsidP="006724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0ed69a0d49d3aee5699f275eea77f87d</w:t>
            </w:r>
          </w:p>
        </w:tc>
        <w:tc>
          <w:tcPr>
            <w:tcW w:w="1985" w:type="dxa"/>
          </w:tcPr>
          <w:p w:rsidR="0067249E" w:rsidRDefault="0067249E" w:rsidP="006724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somatropin 0.2 mg powder for solution for injection</w:t>
            </w:r>
          </w:p>
        </w:tc>
        <w:tc>
          <w:tcPr>
            <w:tcW w:w="1275" w:type="dxa"/>
          </w:tcPr>
          <w:p w:rsidR="0067249E" w:rsidRPr="0067249E" w:rsidRDefault="0067249E" w:rsidP="0067249E">
            <w:pPr>
              <w:rPr>
                <w:rFonts w:ascii="Arial" w:hAnsi="Arial" w:cs="Arial"/>
                <w:sz w:val="20"/>
              </w:rPr>
            </w:pPr>
            <w:r w:rsidRPr="0067249E">
              <w:rPr>
                <w:rFonts w:ascii="Arial" w:hAnsi="Arial" w:cs="Arial"/>
                <w:sz w:val="20"/>
              </w:rPr>
              <w:t>88662</w:t>
            </w:r>
          </w:p>
        </w:tc>
        <w:tc>
          <w:tcPr>
            <w:tcW w:w="1134" w:type="dxa"/>
          </w:tcPr>
          <w:p w:rsidR="0067249E" w:rsidRDefault="0067249E" w:rsidP="006724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02401746</w:t>
            </w:r>
          </w:p>
        </w:tc>
        <w:tc>
          <w:tcPr>
            <w:tcW w:w="2349" w:type="dxa"/>
            <w:vAlign w:val="bottom"/>
          </w:tcPr>
          <w:p w:rsidR="0067249E" w:rsidRDefault="0067249E" w:rsidP="006724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GENOTROPIN (somatropin 0.2 mg powder for solution for injection) PFIZER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7249E" w:rsidRPr="0067249E" w:rsidRDefault="00BD25FD" w:rsidP="0067249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STAY</w:t>
            </w:r>
          </w:p>
        </w:tc>
      </w:tr>
      <w:tr w:rsidR="0067249E" w:rsidRPr="008A281D" w:rsidTr="0067249E">
        <w:tc>
          <w:tcPr>
            <w:tcW w:w="1271" w:type="dxa"/>
          </w:tcPr>
          <w:p w:rsidR="0067249E" w:rsidRDefault="0067249E" w:rsidP="006724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dff05eee67bc4519e83ecea7e91d0e95</w:t>
            </w:r>
          </w:p>
        </w:tc>
        <w:tc>
          <w:tcPr>
            <w:tcW w:w="1985" w:type="dxa"/>
          </w:tcPr>
          <w:p w:rsidR="0067249E" w:rsidRDefault="0067249E" w:rsidP="006724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somatropin 0.4 mg powder for solution for injection</w:t>
            </w:r>
          </w:p>
        </w:tc>
        <w:tc>
          <w:tcPr>
            <w:tcW w:w="1275" w:type="dxa"/>
          </w:tcPr>
          <w:p w:rsidR="0067249E" w:rsidRPr="0067249E" w:rsidRDefault="0067249E" w:rsidP="0067249E">
            <w:pPr>
              <w:rPr>
                <w:rFonts w:ascii="Arial" w:hAnsi="Arial" w:cs="Arial"/>
                <w:sz w:val="20"/>
              </w:rPr>
            </w:pPr>
            <w:r w:rsidRPr="0067249E">
              <w:rPr>
                <w:rFonts w:ascii="Arial" w:hAnsi="Arial" w:cs="Arial"/>
                <w:sz w:val="20"/>
              </w:rPr>
              <w:t>88663</w:t>
            </w:r>
          </w:p>
        </w:tc>
        <w:tc>
          <w:tcPr>
            <w:tcW w:w="1134" w:type="dxa"/>
          </w:tcPr>
          <w:p w:rsidR="0067249E" w:rsidRDefault="0067249E" w:rsidP="006724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02401754</w:t>
            </w:r>
          </w:p>
        </w:tc>
        <w:tc>
          <w:tcPr>
            <w:tcW w:w="2349" w:type="dxa"/>
            <w:vAlign w:val="bottom"/>
          </w:tcPr>
          <w:p w:rsidR="0067249E" w:rsidRDefault="0067249E" w:rsidP="006724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GENOTROPIN (somatropin 0.4 mg powder for solution for injection) PFIZER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7249E" w:rsidRPr="0067249E" w:rsidRDefault="00BD25FD" w:rsidP="0067249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STAY</w:t>
            </w:r>
          </w:p>
        </w:tc>
      </w:tr>
      <w:tr w:rsidR="00BD25FD" w:rsidRPr="008A281D" w:rsidTr="00EE0CC3">
        <w:tc>
          <w:tcPr>
            <w:tcW w:w="1271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a8926e95a921d79809260d57daedeaef</w:t>
            </w:r>
          </w:p>
        </w:tc>
        <w:tc>
          <w:tcPr>
            <w:tcW w:w="1985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acyclovir (acyclovir sodium) 50 mg per mL solution for injection</w:t>
            </w:r>
          </w:p>
        </w:tc>
        <w:tc>
          <w:tcPr>
            <w:tcW w:w="1275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98455</w:t>
            </w:r>
          </w:p>
        </w:tc>
        <w:tc>
          <w:tcPr>
            <w:tcW w:w="1134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02494558</w:t>
            </w:r>
          </w:p>
        </w:tc>
        <w:tc>
          <w:tcPr>
            <w:tcW w:w="2349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ACYCLOVIR SODIUM INJECTION (acyclovir (acyclovir sodium) 50 mg per mL solution for injection) AURO PHARMA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BD25FD" w:rsidRDefault="00BD25FD" w:rsidP="00BD25FD">
            <w:r>
              <w:t>ADD</w:t>
            </w:r>
          </w:p>
        </w:tc>
      </w:tr>
      <w:tr w:rsidR="00BD25FD" w:rsidRPr="008A281D" w:rsidTr="00EE0CC3">
        <w:tc>
          <w:tcPr>
            <w:tcW w:w="1271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</w:rPr>
            </w:pPr>
            <w:r w:rsidRPr="00BD25FD">
              <w:rPr>
                <w:rFonts w:ascii="Arial" w:hAnsi="Arial" w:cs="Arial"/>
                <w:sz w:val="20"/>
              </w:rPr>
              <w:t>e8276bb167918378f1ee7eb6fda1f13c</w:t>
            </w:r>
          </w:p>
        </w:tc>
        <w:tc>
          <w:tcPr>
            <w:tcW w:w="1985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</w:rPr>
            </w:pPr>
            <w:r w:rsidRPr="00BD25FD">
              <w:rPr>
                <w:rFonts w:ascii="Arial" w:hAnsi="Arial" w:cs="Arial"/>
                <w:sz w:val="20"/>
              </w:rPr>
              <w:t>midazolam 1 mg per mL solution for injection</w:t>
            </w:r>
          </w:p>
        </w:tc>
        <w:tc>
          <w:tcPr>
            <w:tcW w:w="1275" w:type="dxa"/>
          </w:tcPr>
          <w:p w:rsidR="00BD25FD" w:rsidRPr="00BD25FD" w:rsidRDefault="00BD25FD" w:rsidP="00BD25FD">
            <w:pPr>
              <w:rPr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98782</w:t>
            </w:r>
          </w:p>
        </w:tc>
        <w:tc>
          <w:tcPr>
            <w:tcW w:w="1134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02498022</w:t>
            </w:r>
          </w:p>
        </w:tc>
        <w:tc>
          <w:tcPr>
            <w:tcW w:w="2349" w:type="dxa"/>
          </w:tcPr>
          <w:p w:rsidR="00BD25FD" w:rsidRPr="00BD25FD" w:rsidRDefault="00BD25FD" w:rsidP="00BD25FD">
            <w:pPr>
              <w:rPr>
                <w:rFonts w:ascii="Arial" w:hAnsi="Arial" w:cs="Arial"/>
                <w:sz w:val="20"/>
                <w:szCs w:val="20"/>
              </w:rPr>
            </w:pPr>
            <w:r w:rsidRPr="00BD25FD">
              <w:rPr>
                <w:rFonts w:ascii="Arial" w:hAnsi="Arial" w:cs="Arial"/>
                <w:sz w:val="20"/>
                <w:szCs w:val="20"/>
              </w:rPr>
              <w:t>MIDAZOLAM INJECTION USP (midazolam 1 mg per mL solution for injection) STERINOVA INC.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BD25FD" w:rsidRDefault="00BD25FD" w:rsidP="00BD25FD">
            <w: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EF" w:rsidRDefault="001618EF" w:rsidP="00B11ACC">
      <w:pPr>
        <w:spacing w:after="0" w:line="240" w:lineRule="auto"/>
      </w:pPr>
      <w:r>
        <w:separator/>
      </w:r>
    </w:p>
  </w:endnote>
  <w:endnote w:type="continuationSeparator" w:id="0">
    <w:p w:rsidR="001618EF" w:rsidRDefault="001618EF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EF" w:rsidRDefault="001618EF" w:rsidP="00B11ACC">
      <w:pPr>
        <w:spacing w:after="0" w:line="240" w:lineRule="auto"/>
      </w:pPr>
      <w:r>
        <w:separator/>
      </w:r>
    </w:p>
  </w:footnote>
  <w:footnote w:type="continuationSeparator" w:id="0">
    <w:p w:rsidR="001618EF" w:rsidRDefault="001618EF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E31"/>
    <w:rsid w:val="0001441A"/>
    <w:rsid w:val="0001782A"/>
    <w:rsid w:val="00017EF3"/>
    <w:rsid w:val="0002365A"/>
    <w:rsid w:val="00025B10"/>
    <w:rsid w:val="0003504C"/>
    <w:rsid w:val="0004012D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144D7"/>
    <w:rsid w:val="00216F23"/>
    <w:rsid w:val="00221352"/>
    <w:rsid w:val="00234397"/>
    <w:rsid w:val="00240DC0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A36E7"/>
    <w:rsid w:val="003A5CB4"/>
    <w:rsid w:val="003A6143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FFB"/>
    <w:rsid w:val="004378B4"/>
    <w:rsid w:val="0044606C"/>
    <w:rsid w:val="00446AA5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A5E02"/>
    <w:rsid w:val="004B3492"/>
    <w:rsid w:val="004B7F63"/>
    <w:rsid w:val="004C033F"/>
    <w:rsid w:val="004C0E3B"/>
    <w:rsid w:val="004D2C08"/>
    <w:rsid w:val="004D69D2"/>
    <w:rsid w:val="004D73EF"/>
    <w:rsid w:val="004E0AFC"/>
    <w:rsid w:val="004E131D"/>
    <w:rsid w:val="004E13B6"/>
    <w:rsid w:val="004E2C6B"/>
    <w:rsid w:val="004E7AD5"/>
    <w:rsid w:val="004E7CA5"/>
    <w:rsid w:val="004F1348"/>
    <w:rsid w:val="00502F3C"/>
    <w:rsid w:val="005122B2"/>
    <w:rsid w:val="005212EE"/>
    <w:rsid w:val="00525BC8"/>
    <w:rsid w:val="00527253"/>
    <w:rsid w:val="005326E2"/>
    <w:rsid w:val="00533E0A"/>
    <w:rsid w:val="00533EE8"/>
    <w:rsid w:val="00540289"/>
    <w:rsid w:val="00547DBE"/>
    <w:rsid w:val="00550FC9"/>
    <w:rsid w:val="005543A1"/>
    <w:rsid w:val="00563954"/>
    <w:rsid w:val="00566AA6"/>
    <w:rsid w:val="00567AE3"/>
    <w:rsid w:val="00581B9A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7241D4"/>
    <w:rsid w:val="007269B2"/>
    <w:rsid w:val="0073017C"/>
    <w:rsid w:val="0073249C"/>
    <w:rsid w:val="00736281"/>
    <w:rsid w:val="00736790"/>
    <w:rsid w:val="007501C6"/>
    <w:rsid w:val="00750869"/>
    <w:rsid w:val="00751B6A"/>
    <w:rsid w:val="007533E4"/>
    <w:rsid w:val="00754A4B"/>
    <w:rsid w:val="00755AB8"/>
    <w:rsid w:val="0076268B"/>
    <w:rsid w:val="00767C05"/>
    <w:rsid w:val="00772CC9"/>
    <w:rsid w:val="00775660"/>
    <w:rsid w:val="00782DDE"/>
    <w:rsid w:val="00791D9C"/>
    <w:rsid w:val="007A0801"/>
    <w:rsid w:val="007A580A"/>
    <w:rsid w:val="007B5629"/>
    <w:rsid w:val="007D1969"/>
    <w:rsid w:val="007E7C1D"/>
    <w:rsid w:val="007F37F2"/>
    <w:rsid w:val="00800B2D"/>
    <w:rsid w:val="00807472"/>
    <w:rsid w:val="00814594"/>
    <w:rsid w:val="008150FD"/>
    <w:rsid w:val="00832877"/>
    <w:rsid w:val="0083314F"/>
    <w:rsid w:val="0083343F"/>
    <w:rsid w:val="008366DE"/>
    <w:rsid w:val="00840AFF"/>
    <w:rsid w:val="00844B70"/>
    <w:rsid w:val="0085339A"/>
    <w:rsid w:val="00854E4E"/>
    <w:rsid w:val="00863202"/>
    <w:rsid w:val="00876CD9"/>
    <w:rsid w:val="00880272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1171D"/>
    <w:rsid w:val="00921A89"/>
    <w:rsid w:val="0092616A"/>
    <w:rsid w:val="009315B4"/>
    <w:rsid w:val="0094024F"/>
    <w:rsid w:val="0094372B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708F5"/>
    <w:rsid w:val="00A73B30"/>
    <w:rsid w:val="00A76501"/>
    <w:rsid w:val="00A81EAE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408F"/>
    <w:rsid w:val="00B245A8"/>
    <w:rsid w:val="00B37D38"/>
    <w:rsid w:val="00B401EE"/>
    <w:rsid w:val="00B41D5D"/>
    <w:rsid w:val="00B46555"/>
    <w:rsid w:val="00B527A4"/>
    <w:rsid w:val="00B619F7"/>
    <w:rsid w:val="00B641D4"/>
    <w:rsid w:val="00B64291"/>
    <w:rsid w:val="00B65CAD"/>
    <w:rsid w:val="00B90A3C"/>
    <w:rsid w:val="00B929F1"/>
    <w:rsid w:val="00B92ED3"/>
    <w:rsid w:val="00B96F1D"/>
    <w:rsid w:val="00BB13F8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148CF"/>
    <w:rsid w:val="00C158E8"/>
    <w:rsid w:val="00C17E5A"/>
    <w:rsid w:val="00C17F1B"/>
    <w:rsid w:val="00C25F1D"/>
    <w:rsid w:val="00C32CCF"/>
    <w:rsid w:val="00C4380F"/>
    <w:rsid w:val="00C44C5A"/>
    <w:rsid w:val="00C47CCE"/>
    <w:rsid w:val="00C51AA1"/>
    <w:rsid w:val="00C66164"/>
    <w:rsid w:val="00C74782"/>
    <w:rsid w:val="00C75B36"/>
    <w:rsid w:val="00C82FB7"/>
    <w:rsid w:val="00C8342D"/>
    <w:rsid w:val="00C83EAF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3A17"/>
    <w:rsid w:val="00D161E7"/>
    <w:rsid w:val="00D17393"/>
    <w:rsid w:val="00D26D9F"/>
    <w:rsid w:val="00D33417"/>
    <w:rsid w:val="00D422FA"/>
    <w:rsid w:val="00D50BC5"/>
    <w:rsid w:val="00D52FE3"/>
    <w:rsid w:val="00D537A0"/>
    <w:rsid w:val="00D63454"/>
    <w:rsid w:val="00D676C0"/>
    <w:rsid w:val="00D77A1F"/>
    <w:rsid w:val="00D8234D"/>
    <w:rsid w:val="00D82F3D"/>
    <w:rsid w:val="00D853DB"/>
    <w:rsid w:val="00D86D4A"/>
    <w:rsid w:val="00D87ABD"/>
    <w:rsid w:val="00D97DF6"/>
    <w:rsid w:val="00DB18B3"/>
    <w:rsid w:val="00DC22CD"/>
    <w:rsid w:val="00DD66B6"/>
    <w:rsid w:val="00DE51DF"/>
    <w:rsid w:val="00DF7DF2"/>
    <w:rsid w:val="00E20DD0"/>
    <w:rsid w:val="00E2655E"/>
    <w:rsid w:val="00E26F5F"/>
    <w:rsid w:val="00E35B5D"/>
    <w:rsid w:val="00E41217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C7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6AC6"/>
  <w15:chartTrackingRefBased/>
  <w15:docId w15:val="{76307AB9-BAB3-4196-ACC3-9A059FDF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8adf55b2-e31d-42df-b888-bc8005a32aed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FD73E-309B-4745-BCB0-5AF5593E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11</cp:revision>
  <dcterms:created xsi:type="dcterms:W3CDTF">2020-11-02T20:25:00Z</dcterms:created>
  <dcterms:modified xsi:type="dcterms:W3CDTF">2020-11-03T16:39:00Z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