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ARTICLES OF INCORPORATION</w:t>
      </w:r>
    </w:p>
    <w:p w:rsidR="00000000" w:rsidDel="00000000" w:rsidP="00000000" w:rsidRDefault="00000000" w:rsidRPr="00000000" w14:paraId="00000002">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OF</w:t>
      </w:r>
    </w:p>
    <w:p w:rsidR="00000000" w:rsidDel="00000000" w:rsidP="00000000" w:rsidRDefault="00000000" w:rsidRPr="00000000" w14:paraId="00000004">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SPORTS AND ENTERTAINMENT INSURANCE COMPANY</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1. NAME</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name of the Corporation is “Sports and Entertainment Insurance Company, Inc.”</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2. PURPOSE</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initial purpose for which this Corporation is organized is to serve as an association captive insurer in accordance with </w:t>
      </w:r>
      <w:r w:rsidDel="00000000" w:rsidR="00000000" w:rsidRPr="00000000">
        <w:rPr>
          <w:rFonts w:ascii="Times New Roman" w:cs="Times New Roman" w:eastAsia="Times New Roman" w:hAnsi="Times New Roman"/>
          <w:color w:val="0e0e0e"/>
          <w:sz w:val="21"/>
          <w:szCs w:val="21"/>
          <w:rtl w:val="0"/>
        </w:rPr>
        <w:t xml:space="preserve">Utah Code Ann. Title 31A, Chapter 37.</w:t>
      </w:r>
      <w:r w:rsidDel="00000000" w:rsidR="00000000" w:rsidRPr="00000000">
        <w:rPr>
          <w:rFonts w:ascii="Times New Roman" w:cs="Times New Roman" w:eastAsia="Times New Roman" w:hAnsi="Times New Roman"/>
          <w:rtl w:val="0"/>
        </w:rPr>
        <w:t xml:space="preserve"> Accordingly, the Corporation shall be authorized to transact any and all lawful business for which a corporation may be incorporated under the laws of the State of Utah, as they may be amended from time to time, subject to the provisions of </w:t>
      </w:r>
      <w:r w:rsidDel="00000000" w:rsidR="00000000" w:rsidRPr="00000000">
        <w:rPr>
          <w:rFonts w:ascii="Times New Roman" w:cs="Times New Roman" w:eastAsia="Times New Roman" w:hAnsi="Times New Roman"/>
          <w:color w:val="0e0e0e"/>
          <w:sz w:val="21"/>
          <w:szCs w:val="21"/>
          <w:rtl w:val="0"/>
        </w:rPr>
        <w:t xml:space="preserve">Utah Code Ann. Title 31A, Chapter 37.</w:t>
      </w:r>
      <w:r w:rsidDel="00000000" w:rsidR="00000000" w:rsidRPr="00000000">
        <w:rPr>
          <w:rFonts w:ascii="Times New Roman" w:cs="Times New Roman" w:eastAsia="Times New Roman" w:hAnsi="Times New Roman"/>
          <w:rtl w:val="0"/>
        </w:rPr>
        <w:t xml:space="preserve"> The Corporation may do business within or outside of the State of Utah.</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3. DURATION</w:t>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duration of the Corporation shall be perpetual.</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4. AUTHORIZED CAPITAL</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Corporation shall have authority to issue a total of Ten Thousand (10,000) shares of common stock, at a par value of One Dollar ($1.00) each. Upon receipt by the Corporation of such consideration for issuance as is determined by the Board of Directors, such shares, once issued, shall be deemed to be fully paid and non-assessable for all purposes.</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5. ANNUAL MEETING OF SHAREHOLDERS</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annual meeting of the shareholders of the Corporation shall be held on January 1 each year, or at such other date and time as the Board of Directors may specify.</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6. AUTHORIZED DEBT</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Corporation shall be subject to such limitations of indebtedness, if any, as are provided for in its Bylaws.</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7. STATUTORY AGENT</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name and address of the initial statutory agent of the Corporation is:</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Dane Administration, LLC.</w:t>
      </w:r>
    </w:p>
    <w:p w:rsidR="00000000" w:rsidDel="00000000" w:rsidP="00000000" w:rsidRDefault="00000000" w:rsidRPr="00000000" w14:paraId="0000002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310 Bearcat Drive, South Salt Lake, UT 84115</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8. PLACE OF BUSINESS</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street address of the principal place of business of the Corporation in this state shall be:</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310 Bearcat Drive</w:t>
      </w:r>
    </w:p>
    <w:p w:rsidR="00000000" w:rsidDel="00000000" w:rsidP="00000000" w:rsidRDefault="00000000" w:rsidRPr="00000000" w14:paraId="0000002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South Salt Lake, UT 84115</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Corporation shall transact business in such other counties, states and countries as the Board of Directors shall from time to time determine.</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BOARD OF DIRECTORS</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affairs of the Corporation shall be conducted by the Board of Directors, which shall consist of not less than three (3) nor more than fifteen (15) directors, as established in accordance with the Corporation’s Bylaws. The Board of Directors shall initially be set at four (4). At least one member of the Board of Directors shall be an Utah resident. The Board of Directors shall hold at least one meeting each year in Utah. The names and addresses of the persons who shall serve as the Directors until the first annual meeting of shareholders, or until their successors are</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duly elected and qualified, are:</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Nicolas Scott Laqua</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Emily Zeng Yuan</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Seth Heber Beddes</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Michael T. Brown</w:t>
      </w:r>
    </w:p>
    <w:p w:rsidR="00000000" w:rsidDel="00000000" w:rsidP="00000000" w:rsidRDefault="00000000" w:rsidRPr="00000000" w14:paraId="0000003C">
      <w:pPr>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10. INCORPORATORS</w:t>
      </w:r>
    </w:p>
    <w:p w:rsidR="00000000" w:rsidDel="00000000" w:rsidP="00000000" w:rsidRDefault="00000000" w:rsidRPr="00000000" w14:paraId="0000003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names and addresses of the Incorporators of the Corporation are:</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Nicolas Scott Laqua</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Emily Zeng Yuan</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550 Battery St, Apt 1710</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 Francisco, CA 94111</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Seth Heber Beddes</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310 Bearcat Drive</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South Salt Lake, UT 84115</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Michael T. Brown</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492 Canyon View Circle,</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North Salt Lake, UT 84054</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powers, duties and responsibilities of the incorporators shall cease at the time of delivery of these Articles of Incorporation to the </w:t>
      </w:r>
      <w:r w:rsidDel="00000000" w:rsidR="00000000" w:rsidRPr="00000000">
        <w:rPr>
          <w:rFonts w:ascii="Times New Roman" w:cs="Times New Roman" w:eastAsia="Times New Roman" w:hAnsi="Times New Roman"/>
          <w:color w:val="0e0e0e"/>
          <w:sz w:val="21"/>
          <w:szCs w:val="21"/>
          <w:rtl w:val="0"/>
        </w:rPr>
        <w:t xml:space="preserve">Utah Division of Corporations and Commercial Code</w:t>
      </w:r>
      <w:r w:rsidDel="00000000" w:rsidR="00000000" w:rsidRPr="00000000">
        <w:rPr>
          <w:rFonts w:ascii="Times New Roman" w:cs="Times New Roman" w:eastAsia="Times New Roman" w:hAnsi="Times New Roman"/>
          <w:rtl w:val="0"/>
        </w:rPr>
        <w:t xml:space="preserve"> for filing.</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11. INDEMNIFICATION</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Corporation shall indemnify any person who incurs expenses or liabilities by reason of the fact he or she is or was an officer, director, employee or agent of the Corporation or is or was serving at the request of the Corporation as a director, officer, employee or agent of another Corporation, partnership, joint venture, trust or other enterprise. This indemnification shall be mandatory in all circumstances in which indemnification is permitted by law.</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12. LIMITATION OF LIABILITY</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the fullest extent permitted by the Utah Code Ann., as may be amended from time to time, a director of the Corporation shall not be liable to the Corporation or its shareholders for monetary damages for any action taken or any failure to take any action as a director. No repeal, amendment or modification of this article, whether direct or indirect, shall eliminate or reduce its effect with respect to any act or omission of a director of the Corporation occurring prior to such repeal, amendment or modification.</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EXECUTED this </w:t>
      </w:r>
      <w:r w:rsidDel="00000000" w:rsidR="00000000" w:rsidRPr="00000000">
        <w:rPr>
          <w:rFonts w:ascii="Times New Roman" w:cs="Times New Roman" w:eastAsia="Times New Roman" w:hAnsi="Times New Roman"/>
          <w:highlight w:val="yellow"/>
          <w:rtl w:val="0"/>
        </w:rPr>
        <w:t xml:space="preserve">1st day of March, 2026</w:t>
      </w:r>
      <w:r w:rsidDel="00000000" w:rsidR="00000000" w:rsidRPr="00000000">
        <w:rPr>
          <w:rFonts w:ascii="Times New Roman" w:cs="Times New Roman" w:eastAsia="Times New Roman" w:hAnsi="Times New Roman"/>
          <w:rtl w:val="0"/>
        </w:rPr>
        <w:t xml:space="preserve">, by all of the Incorporators.</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 __________________________</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Seth Heber Beddes, Assistant Secretary, Director</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 __________________________</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Nicolas Scott Laqua, President, Director</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 __________________________</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Emily Zeng Yuan, Vice-President, Director</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 __________________________</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Michael T. Brown, Treasurer, Director</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tabs>
        <w:tab w:val="right" w:leader="none" w:pos="9360"/>
      </w:tabs>
      <w:rPr>
        <w:sz w:val="20"/>
        <w:szCs w:val="20"/>
      </w:rPr>
    </w:pPr>
    <w:r w:rsidDel="00000000" w:rsidR="00000000" w:rsidRPr="00000000">
      <w:rPr>
        <w:rFonts w:ascii="Times New Roman" w:cs="Times New Roman" w:eastAsia="Times New Roman" w:hAnsi="Times New Roman"/>
        <w:sz w:val="20"/>
        <w:szCs w:val="20"/>
        <w:rtl w:val="0"/>
      </w:rPr>
      <w:t xml:space="preserve">Sports and Entertainment Insurance Company, Inc.</w:t>
      <w:tab/>
      <w:t xml:space="preserve">Articles of Incorporation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aAEW/lYSpqZ1LwGLy9iFCYFeNA==">CgMxLjA4AHIhMXluYzdIelEwMzEyMjNUdXprZDZCLTZrSkRaeGNYdklR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