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CAPTIVE FORMATION &amp; CAPITALIZATION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Proposed Captive: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Sports and Entertainment Insurance Company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Inc.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Principal Place of Business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310 W Bearcat Dr, South Salt Lake, UT 84115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Books and Records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310 W Bearcat Dr, South Salt Lake, UT 84115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Association Captive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Corporation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Total Capitalization: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Initial capital and surplus assumed: $5,000,000.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Common Stock (No. of Shares Authorized)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Common Stock (No. of Shares Issued)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Common Stock (Par Value, must match Articles)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Amount of LOC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None assumed. Capital and surplus held in deposit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Issued in Favor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Sports and Entertainment Insurance Company, Inc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Comerica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Embarcadero Center, Suite 1350, San Francisco, CA 94111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Will there be a loan to a parent or an affiliate requested?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Will divided distributions be anticipated within the first five years of formation?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right" w:leader="none" w:pos="9360"/>
      </w:tabs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Sports and Entertainment Insurance Company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, Inc.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ab/>
      <w:t xml:space="preserve">Captive formation and Capitalization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