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SPORTS AND ENTERTAINMENT INSURANCE COMPANY</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BUSINESS PLAN</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235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pStyle w:val="Heading2"/>
        <w:keepNext w:val="0"/>
        <w:keepLines w:val="0"/>
        <w:numPr>
          <w:ilvl w:val="0"/>
          <w:numId w:val="5"/>
        </w:numPr>
        <w:spacing w:after="80" w:lineRule="auto"/>
        <w:ind w:left="720" w:hanging="360"/>
        <w:jc w:val="both"/>
        <w:rPr>
          <w:rFonts w:ascii="Times New Roman" w:cs="Times New Roman" w:eastAsia="Times New Roman" w:hAnsi="Times New Roman"/>
          <w:b w:val="1"/>
          <w:bCs w:val="1"/>
          <w:sz w:val="26"/>
          <w:szCs w:val="26"/>
        </w:rPr>
      </w:pPr>
      <w:bookmarkStart w:colFirst="0" w:colLast="0" w:name="_17fcf3c1mec8" w:id="0"/>
      <w:bookmarkEnd w:id="0"/>
      <w:r w:rsidDel="00000000" w:rsidR="00000000" w:rsidRPr="00000000">
        <w:rPr>
          <w:rFonts w:ascii="Times New Roman" w:cs="Times New Roman" w:eastAsia="Times New Roman" w:hAnsi="Times New Roman"/>
          <w:b w:val="1"/>
          <w:bCs w:val="1"/>
          <w:sz w:val="26"/>
          <w:szCs w:val="26"/>
          <w:rtl w:val="0"/>
        </w:rPr>
        <w:t xml:space="preserve">RISKS TO BE INSURED (DIRECT, ASSUMED, AND CEDED BY LINE OF BUSINESS)</w:t>
      </w: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scope and eligibility:</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and Entertainment Insurance Company, Inc. (SEIC)</w:t>
      </w:r>
      <w:r w:rsidDel="00000000" w:rsidR="00000000" w:rsidRPr="00000000">
        <w:rPr>
          <w:rFonts w:ascii="Times New Roman" w:cs="Times New Roman" w:eastAsia="Times New Roman" w:hAnsi="Times New Roman"/>
          <w:rtl w:val="0"/>
        </w:rPr>
        <w:t xml:space="preserve"> means an association captive formed to provide a suite of liability coverages tailored to all sports clubs, leagues, national governing bodies, and collegiate or professional organizational entities in the United States. Policies are offered directly to eligible members that meet underwriting and risk‑management criteria. First policies are planned to incept March 1, 2025. No third‑party assumed business is contemplated.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Lines of coverage written: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w:t>
      </w:r>
      <w:r w:rsidDel="00000000" w:rsidR="00000000" w:rsidRPr="00000000">
        <w:rPr>
          <w:rFonts w:ascii="Times New Roman" w:cs="Times New Roman" w:eastAsia="Times New Roman" w:hAnsi="Times New Roman"/>
          <w:rtl w:val="0"/>
        </w:rPr>
        <w:t xml:space="preserve"> will offer the following lines, with forms and exposure bases aligned to the feasibility study:</w:t>
      </w:r>
    </w:p>
    <w:p w:rsidR="00000000" w:rsidDel="00000000" w:rsidP="00000000" w:rsidRDefault="00000000" w:rsidRPr="00000000" w14:paraId="0000000C">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9d0v0qzifdqb" w:id="1"/>
      <w:bookmarkEnd w:id="1"/>
      <w:r w:rsidDel="00000000" w:rsidR="00000000" w:rsidRPr="00000000">
        <w:rPr>
          <w:rFonts w:ascii="Times New Roman" w:cs="Times New Roman" w:eastAsia="Times New Roman" w:hAnsi="Times New Roman"/>
          <w:b w:val="1"/>
          <w:bCs w:val="1"/>
          <w:color w:val="000000"/>
          <w:sz w:val="22"/>
          <w:szCs w:val="22"/>
          <w:rtl w:val="0"/>
        </w:rPr>
        <w:t xml:space="preserve">Commercial General Liability</w:t>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Occurrence.</w:t>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Named insureds: Club, league, national governing body, and collegiate or professional organizational entities, together with sanctioned events.</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Coverage grant: Bodily injury, property damage, and personal and advertising injury arising from operations, sanctioned events, training activities, and participant activities. Sublimits apply to participant legal liability, sexual abuse and molestation, hired and non-owned auto, and damage to premises rented, as described in the filed forms and program schedules.</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Exposure bases: Participant count; event frequency; revenue where applicable.</w:t>
      </w:r>
      <w:r w:rsidDel="00000000" w:rsidR="00000000" w:rsidRPr="00000000">
        <w:rPr>
          <w:rtl w:val="0"/>
        </w:rPr>
      </w:r>
    </w:p>
    <w:p w:rsidR="00000000" w:rsidDel="00000000" w:rsidP="00000000" w:rsidRDefault="00000000" w:rsidRPr="00000000" w14:paraId="00000011">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2u0dhsfaioso" w:id="2"/>
      <w:bookmarkEnd w:id="2"/>
      <w:r w:rsidDel="00000000" w:rsidR="00000000" w:rsidRPr="00000000">
        <w:rPr>
          <w:rFonts w:ascii="Times New Roman" w:cs="Times New Roman" w:eastAsia="Times New Roman" w:hAnsi="Times New Roman"/>
          <w:b w:val="1"/>
          <w:bCs w:val="1"/>
          <w:color w:val="000000"/>
          <w:sz w:val="22"/>
          <w:szCs w:val="22"/>
          <w:rtl w:val="0"/>
        </w:rPr>
        <w:t xml:space="preserve">Participant Legal Liability</w:t>
      </w: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Occurrence (manuscript).</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Named insureds: Club, league, and organizational entities, with additional insured status for facility owners and venue operators.</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Coverage grant: Participant-caused physical loss or damage to third-party facilities, venues, playing surfaces, and fixtures during sanctioned activities, including liability assumed under written venue use agreements.</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Exposure bases: Participant-days; facility class.</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17">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2ikolskx0w30" w:id="3"/>
      <w:bookmarkEnd w:id="3"/>
      <w:r w:rsidDel="00000000" w:rsidR="00000000" w:rsidRPr="00000000">
        <w:rPr>
          <w:rFonts w:ascii="Times New Roman" w:cs="Times New Roman" w:eastAsia="Times New Roman" w:hAnsi="Times New Roman"/>
          <w:b w:val="1"/>
          <w:bCs w:val="1"/>
          <w:color w:val="000000"/>
          <w:sz w:val="22"/>
          <w:szCs w:val="22"/>
          <w:rtl w:val="0"/>
        </w:rPr>
        <w:t xml:space="preserve">Coach / Instructor Professional Liability (E&amp;O)</w:t>
      </w:r>
      <w:r w:rsidDel="00000000" w:rsidR="00000000" w:rsidRPr="00000000">
        <w:rPr>
          <w:rtl w:val="0"/>
        </w:rPr>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Claims-made.</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Named insureds: Individual coaches, instructors, and trainers, with the employing or sponsoring organization as additional insured.</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Coverage grant: Negligent instruction methodology, supervision errors, failure to render professional coaching or training services, and related wrongful acts committed in the delivery of sports instruction.</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Exposure bases: Number of coaches; participant age bands; sport class; annual sessions.</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Accident Medical</w:t>
      </w:r>
      <w:r w:rsidDel="00000000" w:rsidR="00000000" w:rsidRPr="00000000">
        <w:rPr>
          <w:rtl w:val="0"/>
        </w:rPr>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Accident and health (A&amp;H), excess basis.</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Named insureds: League, club, and organizational entities covering enrolled participants.</w:t>
      </w:r>
    </w:p>
    <w:p w:rsidR="00000000" w:rsidDel="00000000" w:rsidP="00000000" w:rsidRDefault="00000000" w:rsidRPr="00000000" w14:paraId="00000020">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Coverage grant: No-fault medical expense reimbursement for enrolled participants sustaining bodily injury during sanctioned activities, excess over any collectible primary health insurance. An Accidental Death and Dismemberment rider is available by endorsement.</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Exposure bases: Participant count; participant-days.</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23">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fqtqml35jfjl" w:id="4"/>
      <w:bookmarkEnd w:id="4"/>
      <w:r w:rsidDel="00000000" w:rsidR="00000000" w:rsidRPr="00000000">
        <w:rPr>
          <w:rFonts w:ascii="Times New Roman" w:cs="Times New Roman" w:eastAsia="Times New Roman" w:hAnsi="Times New Roman"/>
          <w:b w:val="1"/>
          <w:bCs w:val="1"/>
          <w:color w:val="000000"/>
          <w:sz w:val="22"/>
          <w:szCs w:val="22"/>
          <w:rtl w:val="0"/>
        </w:rPr>
        <w:t xml:space="preserve">Equipment Floater:</w:t>
      </w:r>
    </w:p>
    <w:p w:rsidR="00000000" w:rsidDel="00000000" w:rsidP="00000000" w:rsidRDefault="00000000" w:rsidRPr="00000000" w14:paraId="00000024">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w91qms75iip1" w:id="5"/>
      <w:bookmarkEnd w:id="5"/>
      <w:r w:rsidDel="00000000" w:rsidR="00000000" w:rsidRPr="00000000">
        <w:rPr>
          <w:rFonts w:ascii="Times New Roman" w:cs="Times New Roman" w:eastAsia="Times New Roman" w:hAnsi="Times New Roman"/>
          <w:i w:val="1"/>
          <w:iCs w:val="1"/>
          <w:color w:val="000000"/>
          <w:sz w:val="22"/>
          <w:szCs w:val="22"/>
          <w:rtl w:val="0"/>
        </w:rPr>
        <w:t xml:space="preserve">Form: Inland Marine (Occurrence).</w:t>
      </w:r>
    </w:p>
    <w:p w:rsidR="00000000" w:rsidDel="00000000" w:rsidP="00000000" w:rsidRDefault="00000000" w:rsidRPr="00000000" w14:paraId="00000025">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thwl39cpdcrw" w:id="6"/>
      <w:bookmarkEnd w:id="6"/>
      <w:r w:rsidDel="00000000" w:rsidR="00000000" w:rsidRPr="00000000">
        <w:rPr>
          <w:rFonts w:ascii="Times New Roman" w:cs="Times New Roman" w:eastAsia="Times New Roman" w:hAnsi="Times New Roman"/>
          <w:i w:val="1"/>
          <w:iCs w:val="1"/>
          <w:color w:val="000000"/>
          <w:sz w:val="22"/>
          <w:szCs w:val="22"/>
          <w:rtl w:val="0"/>
        </w:rPr>
        <w:t xml:space="preserve">Named insureds: Club, league, and organizational entities.</w:t>
      </w:r>
    </w:p>
    <w:p w:rsidR="00000000" w:rsidDel="00000000" w:rsidP="00000000" w:rsidRDefault="00000000" w:rsidRPr="00000000" w14:paraId="00000026">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q26gounetu74" w:id="7"/>
      <w:bookmarkEnd w:id="7"/>
      <w:r w:rsidDel="00000000" w:rsidR="00000000" w:rsidRPr="00000000">
        <w:rPr>
          <w:rFonts w:ascii="Times New Roman" w:cs="Times New Roman" w:eastAsia="Times New Roman" w:hAnsi="Times New Roman"/>
          <w:i w:val="1"/>
          <w:iCs w:val="1"/>
          <w:color w:val="000000"/>
          <w:sz w:val="22"/>
          <w:szCs w:val="22"/>
          <w:rtl w:val="0"/>
        </w:rPr>
        <w:t xml:space="preserve">Coverage grant: Direct physical loss or damage to scheduled and blanket sports equipment, staging gear, and related movable property on an open-perils basis during sanctioned activities, transit, and off-site storage.</w:t>
      </w:r>
    </w:p>
    <w:p w:rsidR="00000000" w:rsidDel="00000000" w:rsidP="00000000" w:rsidRDefault="00000000" w:rsidRPr="00000000" w14:paraId="00000027">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a4rvkgrvh0fz" w:id="8"/>
      <w:bookmarkEnd w:id="8"/>
      <w:r w:rsidDel="00000000" w:rsidR="00000000" w:rsidRPr="00000000">
        <w:rPr>
          <w:rFonts w:ascii="Times New Roman" w:cs="Times New Roman" w:eastAsia="Times New Roman" w:hAnsi="Times New Roman"/>
          <w:i w:val="1"/>
          <w:iCs w:val="1"/>
          <w:color w:val="000000"/>
          <w:sz w:val="22"/>
          <w:szCs w:val="22"/>
          <w:rtl w:val="0"/>
        </w:rPr>
        <w:t xml:space="preserve">Exposure bases: Total insured value (TIV); event frequency.</w:t>
      </w:r>
    </w:p>
    <w:p w:rsidR="00000000" w:rsidDel="00000000" w:rsidP="00000000" w:rsidRDefault="00000000" w:rsidRPr="00000000" w14:paraId="00000028">
      <w:pPr>
        <w:spacing w:after="240" w:before="240" w:lineRule="auto"/>
        <w:ind w:left="720" w:firstLine="0"/>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29">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hnvhsw8smx94" w:id="9"/>
      <w:bookmarkEnd w:id="9"/>
      <w:r w:rsidDel="00000000" w:rsidR="00000000" w:rsidRPr="00000000">
        <w:rPr>
          <w:rFonts w:ascii="Times New Roman" w:cs="Times New Roman" w:eastAsia="Times New Roman" w:hAnsi="Times New Roman"/>
          <w:b w:val="1"/>
          <w:bCs w:val="1"/>
          <w:color w:val="000000"/>
          <w:sz w:val="22"/>
          <w:szCs w:val="22"/>
          <w:rtl w:val="0"/>
        </w:rPr>
        <w:t xml:space="preserve">Cyber Liability:</w:t>
      </w:r>
    </w:p>
    <w:p w:rsidR="00000000" w:rsidDel="00000000" w:rsidP="00000000" w:rsidRDefault="00000000" w:rsidRPr="00000000" w14:paraId="0000002A">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p87349wsx9px" w:id="10"/>
      <w:bookmarkEnd w:id="10"/>
      <w:r w:rsidDel="00000000" w:rsidR="00000000" w:rsidRPr="00000000">
        <w:rPr>
          <w:rFonts w:ascii="Times New Roman" w:cs="Times New Roman" w:eastAsia="Times New Roman" w:hAnsi="Times New Roman"/>
          <w:i w:val="1"/>
          <w:iCs w:val="1"/>
          <w:color w:val="000000"/>
          <w:sz w:val="22"/>
          <w:szCs w:val="22"/>
          <w:rtl w:val="0"/>
        </w:rPr>
        <w:t xml:space="preserve">Form: Claims-made.</w:t>
      </w:r>
    </w:p>
    <w:p w:rsidR="00000000" w:rsidDel="00000000" w:rsidP="00000000" w:rsidRDefault="00000000" w:rsidRPr="00000000" w14:paraId="0000002B">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pzvyugwipss1" w:id="11"/>
      <w:bookmarkEnd w:id="11"/>
      <w:r w:rsidDel="00000000" w:rsidR="00000000" w:rsidRPr="00000000">
        <w:rPr>
          <w:rFonts w:ascii="Times New Roman" w:cs="Times New Roman" w:eastAsia="Times New Roman" w:hAnsi="Times New Roman"/>
          <w:i w:val="1"/>
          <w:iCs w:val="1"/>
          <w:color w:val="000000"/>
          <w:sz w:val="22"/>
          <w:szCs w:val="22"/>
          <w:rtl w:val="0"/>
        </w:rPr>
        <w:t xml:space="preserve">Named insureds: Club, league, national governing body, and collegiate or professional organizational entities.</w:t>
      </w:r>
    </w:p>
    <w:p w:rsidR="00000000" w:rsidDel="00000000" w:rsidP="00000000" w:rsidRDefault="00000000" w:rsidRPr="00000000" w14:paraId="0000002C">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zph24k9tttf" w:id="12"/>
      <w:bookmarkEnd w:id="12"/>
      <w:r w:rsidDel="00000000" w:rsidR="00000000" w:rsidRPr="00000000">
        <w:rPr>
          <w:rFonts w:ascii="Times New Roman" w:cs="Times New Roman" w:eastAsia="Times New Roman" w:hAnsi="Times New Roman"/>
          <w:i w:val="1"/>
          <w:iCs w:val="1"/>
          <w:color w:val="000000"/>
          <w:sz w:val="22"/>
          <w:szCs w:val="22"/>
          <w:rtl w:val="0"/>
        </w:rPr>
        <w:t xml:space="preserve">Coverage grant: First-party and third-party financial loss arising from data breaches, network security failures, cyber extortion, ransomware, and related cyber events affecting the insured’s systems and the personally identifiable information (PII) of participants, staff, and stakeholders.</w:t>
      </w:r>
    </w:p>
    <w:p w:rsidR="00000000" w:rsidDel="00000000" w:rsidP="00000000" w:rsidRDefault="00000000" w:rsidRPr="00000000" w14:paraId="0000002D">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lojagztxaowl" w:id="13"/>
      <w:bookmarkEnd w:id="13"/>
      <w:r w:rsidDel="00000000" w:rsidR="00000000" w:rsidRPr="00000000">
        <w:rPr>
          <w:rFonts w:ascii="Times New Roman" w:cs="Times New Roman" w:eastAsia="Times New Roman" w:hAnsi="Times New Roman"/>
          <w:i w:val="1"/>
          <w:iCs w:val="1"/>
          <w:color w:val="000000"/>
          <w:sz w:val="22"/>
          <w:szCs w:val="22"/>
          <w:rtl w:val="0"/>
        </w:rPr>
        <w:t xml:space="preserve">Exposure bases: Revenue; record count (PII volume).</w:t>
      </w:r>
    </w:p>
    <w:p w:rsidR="00000000" w:rsidDel="00000000" w:rsidP="00000000" w:rsidRDefault="00000000" w:rsidRPr="00000000" w14:paraId="0000002E">
      <w:pPr>
        <w:spacing w:after="240" w:before="240" w:lineRule="auto"/>
        <w:ind w:left="720" w:firstLine="0"/>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2F">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5c9x9arjhpwg" w:id="14"/>
      <w:bookmarkEnd w:id="14"/>
      <w:r w:rsidDel="00000000" w:rsidR="00000000" w:rsidRPr="00000000">
        <w:rPr>
          <w:rFonts w:ascii="Times New Roman" w:cs="Times New Roman" w:eastAsia="Times New Roman" w:hAnsi="Times New Roman"/>
          <w:b w:val="1"/>
          <w:bCs w:val="1"/>
          <w:color w:val="000000"/>
          <w:sz w:val="22"/>
          <w:szCs w:val="22"/>
          <w:rtl w:val="0"/>
        </w:rPr>
        <w:t xml:space="preserve">Abuse and Misconduct Liability:</w:t>
      </w:r>
    </w:p>
    <w:p w:rsidR="00000000" w:rsidDel="00000000" w:rsidP="00000000" w:rsidRDefault="00000000" w:rsidRPr="00000000" w14:paraId="00000030">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5bz89rpe0fvj" w:id="15"/>
      <w:bookmarkEnd w:id="15"/>
      <w:r w:rsidDel="00000000" w:rsidR="00000000" w:rsidRPr="00000000">
        <w:rPr>
          <w:rFonts w:ascii="Times New Roman" w:cs="Times New Roman" w:eastAsia="Times New Roman" w:hAnsi="Times New Roman"/>
          <w:i w:val="1"/>
          <w:iCs w:val="1"/>
          <w:color w:val="000000"/>
          <w:sz w:val="22"/>
          <w:szCs w:val="22"/>
          <w:rtl w:val="0"/>
        </w:rPr>
        <w:t xml:space="preserve">Form: Claims-made.</w:t>
      </w:r>
    </w:p>
    <w:p w:rsidR="00000000" w:rsidDel="00000000" w:rsidP="00000000" w:rsidRDefault="00000000" w:rsidRPr="00000000" w14:paraId="00000031">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yvb25crnfq7" w:id="16"/>
      <w:bookmarkEnd w:id="16"/>
      <w:r w:rsidDel="00000000" w:rsidR="00000000" w:rsidRPr="00000000">
        <w:rPr>
          <w:rFonts w:ascii="Times New Roman" w:cs="Times New Roman" w:eastAsia="Times New Roman" w:hAnsi="Times New Roman"/>
          <w:i w:val="1"/>
          <w:iCs w:val="1"/>
          <w:color w:val="000000"/>
          <w:sz w:val="22"/>
          <w:szCs w:val="22"/>
          <w:rtl w:val="0"/>
        </w:rPr>
        <w:t xml:space="preserve">Named insureds: Club, league, and organizational entities, including insured persons such as coaches, instructors, and volunteers.</w:t>
      </w:r>
    </w:p>
    <w:p w:rsidR="00000000" w:rsidDel="00000000" w:rsidP="00000000" w:rsidRDefault="00000000" w:rsidRPr="00000000" w14:paraId="00000032">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324lcywaldrh" w:id="17"/>
      <w:bookmarkEnd w:id="17"/>
      <w:r w:rsidDel="00000000" w:rsidR="00000000" w:rsidRPr="00000000">
        <w:rPr>
          <w:rFonts w:ascii="Times New Roman" w:cs="Times New Roman" w:eastAsia="Times New Roman" w:hAnsi="Times New Roman"/>
          <w:i w:val="1"/>
          <w:iCs w:val="1"/>
          <w:color w:val="000000"/>
          <w:sz w:val="22"/>
          <w:szCs w:val="22"/>
          <w:rtl w:val="0"/>
        </w:rPr>
        <w:t xml:space="preserve">Coverage grant: Defense and indemnity for claims alleging actual or threatened sexual abuse, molestation, or misconduct by persons under the insured’s supervision, including organizational liability for negligent hiring, retention, supervision, and failure to report.</w:t>
      </w:r>
    </w:p>
    <w:p w:rsidR="00000000" w:rsidDel="00000000" w:rsidP="00000000" w:rsidRDefault="00000000" w:rsidRPr="00000000" w14:paraId="00000033">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lzcp0qxvvtsm" w:id="18"/>
      <w:bookmarkEnd w:id="18"/>
      <w:r w:rsidDel="00000000" w:rsidR="00000000" w:rsidRPr="00000000">
        <w:rPr>
          <w:rFonts w:ascii="Times New Roman" w:cs="Times New Roman" w:eastAsia="Times New Roman" w:hAnsi="Times New Roman"/>
          <w:i w:val="1"/>
          <w:iCs w:val="1"/>
          <w:color w:val="000000"/>
          <w:sz w:val="22"/>
          <w:szCs w:val="22"/>
          <w:rtl w:val="0"/>
        </w:rPr>
        <w:t xml:space="preserve">Exposure bases: Youth participant count; coach and volunteer count; sport class.</w:t>
      </w:r>
    </w:p>
    <w:p w:rsidR="00000000" w:rsidDel="00000000" w:rsidP="00000000" w:rsidRDefault="00000000" w:rsidRPr="00000000" w14:paraId="00000034">
      <w:pPr>
        <w:spacing w:after="240" w:before="240" w:lineRule="auto"/>
        <w:ind w:left="720" w:firstLine="0"/>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35">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5hn96nkxmb5k" w:id="19"/>
      <w:bookmarkEnd w:id="19"/>
      <w:r w:rsidDel="00000000" w:rsidR="00000000" w:rsidRPr="00000000">
        <w:rPr>
          <w:rFonts w:ascii="Times New Roman" w:cs="Times New Roman" w:eastAsia="Times New Roman" w:hAnsi="Times New Roman"/>
          <w:b w:val="1"/>
          <w:bCs w:val="1"/>
          <w:color w:val="000000"/>
          <w:sz w:val="22"/>
          <w:szCs w:val="22"/>
          <w:rtl w:val="0"/>
        </w:rPr>
        <w:t xml:space="preserve">Directors and Officers Liability: </w:t>
      </w:r>
    </w:p>
    <w:p w:rsidR="00000000" w:rsidDel="00000000" w:rsidP="00000000" w:rsidRDefault="00000000" w:rsidRPr="00000000" w14:paraId="00000036">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ykkrhcn0vw6l" w:id="20"/>
      <w:bookmarkEnd w:id="20"/>
      <w:r w:rsidDel="00000000" w:rsidR="00000000" w:rsidRPr="00000000">
        <w:rPr>
          <w:rFonts w:ascii="Times New Roman" w:cs="Times New Roman" w:eastAsia="Times New Roman" w:hAnsi="Times New Roman"/>
          <w:i w:val="1"/>
          <w:iCs w:val="1"/>
          <w:color w:val="000000"/>
          <w:sz w:val="22"/>
          <w:szCs w:val="22"/>
          <w:rtl w:val="0"/>
        </w:rPr>
        <w:t xml:space="preserve">Form: Claims-made.</w:t>
      </w:r>
    </w:p>
    <w:p w:rsidR="00000000" w:rsidDel="00000000" w:rsidP="00000000" w:rsidRDefault="00000000" w:rsidRPr="00000000" w14:paraId="00000037">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j0x82n9ageir" w:id="21"/>
      <w:bookmarkEnd w:id="21"/>
      <w:r w:rsidDel="00000000" w:rsidR="00000000" w:rsidRPr="00000000">
        <w:rPr>
          <w:rFonts w:ascii="Times New Roman" w:cs="Times New Roman" w:eastAsia="Times New Roman" w:hAnsi="Times New Roman"/>
          <w:i w:val="1"/>
          <w:iCs w:val="1"/>
          <w:color w:val="000000"/>
          <w:sz w:val="22"/>
          <w:szCs w:val="22"/>
          <w:rtl w:val="0"/>
        </w:rPr>
        <w:t xml:space="preserve">Named insureds: Organizational entity and its directors, officers, board members, and committee members.</w:t>
      </w:r>
    </w:p>
    <w:p w:rsidR="00000000" w:rsidDel="00000000" w:rsidP="00000000" w:rsidRDefault="00000000" w:rsidRPr="00000000" w14:paraId="00000038">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c98me1vhdl3p" w:id="22"/>
      <w:bookmarkEnd w:id="22"/>
      <w:r w:rsidDel="00000000" w:rsidR="00000000" w:rsidRPr="00000000">
        <w:rPr>
          <w:rFonts w:ascii="Times New Roman" w:cs="Times New Roman" w:eastAsia="Times New Roman" w:hAnsi="Times New Roman"/>
          <w:i w:val="1"/>
          <w:iCs w:val="1"/>
          <w:color w:val="000000"/>
          <w:sz w:val="22"/>
          <w:szCs w:val="22"/>
          <w:rtl w:val="0"/>
        </w:rPr>
        <w:t xml:space="preserve">Coverage grant: Wrongful acts in governance, fiduciary conduct, and organizational management, including Side A (individual indemnity when the organization cannot indemnify), Side B (organizational indemnification reimbursement), and Side C (entity coverage) where applicable by tier.</w:t>
      </w:r>
    </w:p>
    <w:p w:rsidR="00000000" w:rsidDel="00000000" w:rsidP="00000000" w:rsidRDefault="00000000" w:rsidRPr="00000000" w14:paraId="00000039">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9wswxvtwuj7y" w:id="23"/>
      <w:bookmarkEnd w:id="23"/>
      <w:r w:rsidDel="00000000" w:rsidR="00000000" w:rsidRPr="00000000">
        <w:rPr>
          <w:rFonts w:ascii="Times New Roman" w:cs="Times New Roman" w:eastAsia="Times New Roman" w:hAnsi="Times New Roman"/>
          <w:i w:val="1"/>
          <w:iCs w:val="1"/>
          <w:color w:val="000000"/>
          <w:sz w:val="22"/>
          <w:szCs w:val="22"/>
          <w:rtl w:val="0"/>
        </w:rPr>
        <w:t xml:space="preserve">Exposure bases: Annual revenue; membership size; asset base.</w:t>
      </w:r>
    </w:p>
    <w:p w:rsidR="00000000" w:rsidDel="00000000" w:rsidP="00000000" w:rsidRDefault="00000000" w:rsidRPr="00000000" w14:paraId="0000003A">
      <w:pPr>
        <w:spacing w:after="240" w:before="240" w:lineRule="auto"/>
        <w:ind w:left="720" w:firstLine="0"/>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3B">
      <w:pPr>
        <w:pStyle w:val="Heading3"/>
        <w:keepNext w:val="0"/>
        <w:keepLines w:val="0"/>
        <w:numPr>
          <w:ilvl w:val="0"/>
          <w:numId w:val="3"/>
        </w:numPr>
        <w:spacing w:before="280" w:lineRule="auto"/>
        <w:ind w:left="720" w:hanging="360"/>
        <w:rPr>
          <w:rFonts w:ascii="Times New Roman" w:cs="Times New Roman" w:eastAsia="Times New Roman" w:hAnsi="Times New Roman"/>
        </w:rPr>
      </w:pPr>
      <w:bookmarkStart w:colFirst="0" w:colLast="0" w:name="_pu6rdm5c1dg5" w:id="24"/>
      <w:bookmarkEnd w:id="24"/>
      <w:r w:rsidDel="00000000" w:rsidR="00000000" w:rsidRPr="00000000">
        <w:rPr>
          <w:rFonts w:ascii="Times New Roman" w:cs="Times New Roman" w:eastAsia="Times New Roman" w:hAnsi="Times New Roman"/>
          <w:b w:val="1"/>
          <w:bCs w:val="1"/>
          <w:color w:val="000000"/>
          <w:sz w:val="22"/>
          <w:szCs w:val="22"/>
          <w:rtl w:val="0"/>
        </w:rPr>
        <w:t xml:space="preserve">Event Cancellation: </w:t>
      </w:r>
    </w:p>
    <w:p w:rsidR="00000000" w:rsidDel="00000000" w:rsidP="00000000" w:rsidRDefault="00000000" w:rsidRPr="00000000" w14:paraId="0000003C">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bwea9i6actg" w:id="25"/>
      <w:bookmarkEnd w:id="25"/>
      <w:r w:rsidDel="00000000" w:rsidR="00000000" w:rsidRPr="00000000">
        <w:rPr>
          <w:rFonts w:ascii="Times New Roman" w:cs="Times New Roman" w:eastAsia="Times New Roman" w:hAnsi="Times New Roman"/>
          <w:i w:val="1"/>
          <w:iCs w:val="1"/>
          <w:color w:val="000000"/>
          <w:sz w:val="22"/>
          <w:szCs w:val="22"/>
          <w:rtl w:val="0"/>
        </w:rPr>
        <w:t xml:space="preserve">Form: Occurrence (specialty).</w:t>
      </w:r>
    </w:p>
    <w:p w:rsidR="00000000" w:rsidDel="00000000" w:rsidP="00000000" w:rsidRDefault="00000000" w:rsidRPr="00000000" w14:paraId="0000003D">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v36irifew9j7" w:id="26"/>
      <w:bookmarkEnd w:id="26"/>
      <w:r w:rsidDel="00000000" w:rsidR="00000000" w:rsidRPr="00000000">
        <w:rPr>
          <w:rFonts w:ascii="Times New Roman" w:cs="Times New Roman" w:eastAsia="Times New Roman" w:hAnsi="Times New Roman"/>
          <w:i w:val="1"/>
          <w:iCs w:val="1"/>
          <w:color w:val="000000"/>
          <w:sz w:val="22"/>
          <w:szCs w:val="22"/>
          <w:rtl w:val="0"/>
        </w:rPr>
        <w:t xml:space="preserve">Named insureds: Event organizer, club, league, and national governing body entities.</w:t>
      </w:r>
    </w:p>
    <w:p w:rsidR="00000000" w:rsidDel="00000000" w:rsidP="00000000" w:rsidRDefault="00000000" w:rsidRPr="00000000" w14:paraId="0000003E">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d22o7vci363s" w:id="27"/>
      <w:bookmarkEnd w:id="27"/>
      <w:r w:rsidDel="00000000" w:rsidR="00000000" w:rsidRPr="00000000">
        <w:rPr>
          <w:rFonts w:ascii="Times New Roman" w:cs="Times New Roman" w:eastAsia="Times New Roman" w:hAnsi="Times New Roman"/>
          <w:i w:val="1"/>
          <w:iCs w:val="1"/>
          <w:color w:val="000000"/>
          <w:sz w:val="22"/>
          <w:szCs w:val="22"/>
          <w:rtl w:val="0"/>
        </w:rPr>
        <w:t xml:space="preserve">Coverage grant: Ascertained Net Loss — irrecoverable expenses and provable lost net revenue — arising from the cancellation, postponement, abandonment, or enforced relocation of a scheduled sports event due to causes beyond the event organizer’s control.</w:t>
      </w:r>
    </w:p>
    <w:p w:rsidR="00000000" w:rsidDel="00000000" w:rsidP="00000000" w:rsidRDefault="00000000" w:rsidRPr="00000000" w14:paraId="0000003F">
      <w:pPr>
        <w:pStyle w:val="Heading3"/>
        <w:keepNext w:val="0"/>
        <w:keepLines w:val="0"/>
        <w:spacing w:before="280" w:lineRule="auto"/>
        <w:ind w:left="720" w:firstLine="0"/>
        <w:rPr>
          <w:rFonts w:ascii="Times New Roman" w:cs="Times New Roman" w:eastAsia="Times New Roman" w:hAnsi="Times New Roman"/>
          <w:i w:val="1"/>
          <w:iCs w:val="1"/>
          <w:color w:val="000000"/>
          <w:sz w:val="22"/>
          <w:szCs w:val="22"/>
        </w:rPr>
      </w:pPr>
      <w:bookmarkStart w:colFirst="0" w:colLast="0" w:name="_xuk0n1x3gozx" w:id="28"/>
      <w:bookmarkEnd w:id="28"/>
      <w:r w:rsidDel="00000000" w:rsidR="00000000" w:rsidRPr="00000000">
        <w:rPr>
          <w:rFonts w:ascii="Times New Roman" w:cs="Times New Roman" w:eastAsia="Times New Roman" w:hAnsi="Times New Roman"/>
          <w:i w:val="1"/>
          <w:iCs w:val="1"/>
          <w:color w:val="000000"/>
          <w:sz w:val="22"/>
          <w:szCs w:val="22"/>
          <w:rtl w:val="0"/>
        </w:rPr>
        <w:t xml:space="preserve">Exposure bases: Gross event revenue; attendance.</w:t>
      </w:r>
    </w:p>
    <w:p w:rsidR="00000000" w:rsidDel="00000000" w:rsidP="00000000" w:rsidRDefault="00000000" w:rsidRPr="00000000" w14:paraId="00000040">
      <w:pPr>
        <w:spacing w:after="240" w:before="240" w:lineRule="auto"/>
        <w:ind w:left="720" w:firstLine="0"/>
        <w:rPr/>
      </w:pPr>
      <w:r w:rsidDel="00000000" w:rsidR="00000000" w:rsidRPr="00000000">
        <w:rPr>
          <w:rFonts w:ascii="Times New Roman" w:cs="Times New Roman" w:eastAsia="Times New Roman" w:hAnsi="Times New Roman"/>
          <w:i w:val="1"/>
          <w:iCs w:val="1"/>
          <w:rtl w:val="0"/>
        </w:rPr>
        <w:t xml:space="preserve">Also offered as an endorsement.</w:t>
      </w: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Types and Retroactive Dates: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Coverages are written on occurrence forms except Coach / Instructor E&amp;O, Cyber Liability, Abuse and Misconduct Liability, and Directors and Officers Liability, which are written on claims-made forms. Participant Accident Medical is written on an accident and health (A&amp;H) form on an excess basis. Event Cancellation is written on an occurrence (specialty) form. Retroactive dates for claims-made coverages are expected to be a mix of historical dates consistent with the feasibility study’s assumptions; the Abuse and Misconduct Liability retroactive date is a critical underwriting input given the long-tail nature of misconduct claims.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Coverage Limits, Retentions, and Relativities:</w:t>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may select from a variety of coverage limits and retentions that differ by coverage and tier. The feasibility study’s pricing appendix provides limit schedules, increased-limit factors, retention factors, prior-acts factors for claims-made lines, and sport-class and participant age-band relativities. Retentions vary by coverage and are supported by retention‑factor tables.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Why These Lines Fit SEIC’s Members:</w:t>
      </w: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aligns with the risk profile of amateur, youth, recreational, and competitive sports organizations: premises and operations liability for events and training activities; participant injury exposure and medical cost obligations; professional coaching and instruction liability; equipment ownership and transit exposure; digital data management and privacy obligations arising from participant databases containing minor athlete profiles and sensitive health information; child safeguarding and misconduct prevention responsibilities; governance and management liability at the board level; and financial exposure from event cancellation or disruption. Together these nine lines address the core insurance needs of a modern sports organization across the full arc of its operations, from routine practice to national championship events.</w:t>
      </w:r>
    </w:p>
    <w:p w:rsidR="00000000" w:rsidDel="00000000" w:rsidP="00000000" w:rsidRDefault="00000000" w:rsidRPr="00000000" w14:paraId="00000047">
      <w:pPr>
        <w:ind w:left="220" w:firstLine="0"/>
        <w:jc w:val="both"/>
        <w:rPr>
          <w:rFonts w:ascii="Times New Roman" w:cs="Times New Roman" w:eastAsia="Times New Roman" w:hAnsi="Times New Roman"/>
          <w:i w:val="1"/>
          <w:iCs w:val="1"/>
          <w:color w:val="0e0e0e"/>
          <w:sz w:val="21"/>
          <w:szCs w:val="21"/>
        </w:rPr>
      </w:pPr>
      <w:r w:rsidDel="00000000" w:rsidR="00000000" w:rsidRPr="00000000">
        <w:rPr>
          <w:rFonts w:ascii="Times New Roman" w:cs="Times New Roman" w:eastAsia="Times New Roman" w:hAnsi="Times New Roman"/>
          <w:i w:val="1"/>
          <w:iCs w:val="1"/>
          <w:color w:val="0e0e0e"/>
          <w:sz w:val="21"/>
          <w:szCs w:val="21"/>
          <w:rtl w:val="0"/>
        </w:rPr>
        <w:t xml:space="preserve">Illustrative claim scenarios (non‑exhaustive, for context only):</w:t>
      </w:r>
    </w:p>
    <w:p w:rsidR="00000000" w:rsidDel="00000000" w:rsidP="00000000" w:rsidRDefault="00000000" w:rsidRPr="00000000" w14:paraId="00000048">
      <w:pPr>
        <w:ind w:left="220" w:firstLine="0"/>
        <w:jc w:val="both"/>
        <w:rPr>
          <w:rFonts w:ascii="Times New Roman" w:cs="Times New Roman" w:eastAsia="Times New Roman" w:hAnsi="Times New Roman"/>
          <w:i w:val="1"/>
          <w:iCs w:val="1"/>
          <w:color w:val="0e0e0e"/>
          <w:sz w:val="21"/>
          <w:szCs w:val="21"/>
          <w:highlight w:val="yell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715"/>
        <w:tblGridChange w:id="0">
          <w:tblGrid>
            <w:gridCol w:w="3645"/>
            <w:gridCol w:w="571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9">
            <w:pPr>
              <w:ind w:left="220" w:firstLine="0"/>
              <w:jc w:val="both"/>
              <w:rPr>
                <w:rFonts w:ascii="Times New Roman" w:cs="Times New Roman" w:eastAsia="Times New Roman" w:hAnsi="Times New Roman"/>
                <w:b w:val="1"/>
                <w:bCs w:val="1"/>
                <w:color w:val="0e0e0e"/>
                <w:sz w:val="21"/>
                <w:szCs w:val="21"/>
              </w:rPr>
            </w:pPr>
            <w:r w:rsidDel="00000000" w:rsidR="00000000" w:rsidRPr="00000000">
              <w:rPr>
                <w:rFonts w:ascii="Times New Roman" w:cs="Times New Roman" w:eastAsia="Times New Roman" w:hAnsi="Times New Roman"/>
                <w:b w:val="1"/>
                <w:bCs w:val="1"/>
                <w:color w:val="0e0e0e"/>
                <w:sz w:val="21"/>
                <w:szCs w:val="21"/>
                <w:rtl w:val="0"/>
              </w:rPr>
              <w:t xml:space="preserve">Coverage Line</w:t>
            </w:r>
          </w:p>
        </w:tc>
        <w:tc>
          <w:tcPr>
            <w:tcBorders>
              <w:bottom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b w:val="1"/>
                <w:bCs w:val="1"/>
                <w:color w:val="0e0e0e"/>
                <w:sz w:val="21"/>
                <w:szCs w:val="21"/>
              </w:rPr>
            </w:pPr>
            <w:r w:rsidDel="00000000" w:rsidR="00000000" w:rsidRPr="00000000">
              <w:rPr>
                <w:rFonts w:ascii="Times New Roman" w:cs="Times New Roman" w:eastAsia="Times New Roman" w:hAnsi="Times New Roman"/>
                <w:b w:val="1"/>
                <w:bCs w:val="1"/>
                <w:color w:val="0e0e0e"/>
                <w:sz w:val="21"/>
                <w:szCs w:val="21"/>
                <w:rtl w:val="0"/>
              </w:rPr>
              <w:t xml:space="preserve">Definition</w:t>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Commercial General Liability</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that pays damages the insured is legally obligated to pay, and provides a defense, for bodily injury, property damage, and personal and advertising injury arising from sports operations, sanctioned events, training activities, and participant activities.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Participant Legal Liability</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that pays damages the insured is legally obligated to pay, and provides a defense, for participant-caused physical loss or damage to third-party facilities, venues, and surfaces during sanctioned activities, including under written venue use agreements.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Coach / Instructor E&amp;O</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Professional liability coverage that pays damages the insured is legally obligated to pay, and provides a defense, for claims alleging negligent instruction, supervision errors, improper training methodology, or failure to render professional coaching or training services.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Participant Accident Medical</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no-fault first-party benefit that pays covered medical expenses incurred by enrolled participants who sustain bodily injury during sanctioned activities, regardless of fault, on an excess basis over any collectible primary health insurance.</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Equipment Floater (Inland Marine)</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Inland marine coverage that pays for direct physical loss or damage to the insured’s sports equipment, staging gear, and related movable property on an open-perils basis during sanctioned activities, transit, and off-site storage.</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Cyber Liability</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for first-party and third-party financial loss arising from data breaches, privacy violations, cyberattacks, and network security failures, including breach response costs and liability for failure to safeguard participant personally identifiable information.</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Abuse &amp; Misconduct Liability</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that pays damages the insured is legally obligated to pay, and provides a defense, for claims alleging actual or threatened sexual abuse, molestation, or misconduct by persons under the insured’s supervision, including organizational liability for negligent hiring, retention, and supervision.</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Directors &amp; Officers Liability</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that pays damages the insured is legally obligated to pay, and provides a defense, for claims alleging a Wrongful Act by directors, officers, board members, or committee members in the discharge of their governance and management responsibilities.</w:t>
            </w:r>
            <w:r w:rsidDel="00000000" w:rsidR="00000000" w:rsidRPr="00000000">
              <w:rPr>
                <w:rtl w:val="0"/>
              </w:rPr>
            </w:r>
          </w:p>
        </w:tc>
      </w:tr>
      <w:tr>
        <w:trPr>
          <w:cantSplit w:val="0"/>
          <w:tblHeader w:val="0"/>
        </w:trPr>
        <w:tc>
          <w:tcPr>
            <w:tcBorders>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color w:val="0e0e0e"/>
                <w:sz w:val="18"/>
                <w:szCs w:val="18"/>
              </w:rPr>
            </w:pPr>
            <w:r w:rsidDel="00000000" w:rsidR="00000000" w:rsidRPr="00000000">
              <w:rPr>
                <w:rFonts w:ascii="Times New Roman" w:cs="Times New Roman" w:eastAsia="Times New Roman" w:hAnsi="Times New Roman"/>
                <w:color w:val="0e0e0e"/>
                <w:sz w:val="18"/>
                <w:szCs w:val="18"/>
                <w:rtl w:val="0"/>
              </w:rPr>
              <w:t xml:space="preserve">Event Cancellation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40.0" w:type="dxa"/>
              <w:right w:w="40.0" w:type="dxa"/>
            </w:tcMar>
            <w:vAlign w:val="bottom"/>
          </w:tcPr>
          <w:p w:rsidR="00000000" w:rsidDel="00000000" w:rsidP="00000000" w:rsidRDefault="00000000" w:rsidRPr="00000000" w14:paraId="000000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 that pays the Ascertained Net Loss — irrecoverable expenses plus provable lost net revenue — arising from the cancellation, postponement, abandonment, or enforced relocation of a scheduled sports event due to circumstances beyond the event organizer’s control.</w:t>
            </w:r>
            <w:r w:rsidDel="00000000" w:rsidR="00000000" w:rsidRPr="00000000">
              <w:rPr>
                <w:rtl w:val="0"/>
              </w:rPr>
            </w:r>
          </w:p>
        </w:tc>
      </w:tr>
    </w:tbl>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e0e0e"/>
          <w:sz w:val="21"/>
          <w:szCs w:val="21"/>
          <w:highlight w:val="yellow"/>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 vs. assumed and ceded:</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w:t>
      </w:r>
      <w:r w:rsidDel="00000000" w:rsidR="00000000" w:rsidRPr="00000000">
        <w:rPr>
          <w:rFonts w:ascii="Times New Roman" w:cs="Times New Roman" w:eastAsia="Times New Roman" w:hAnsi="Times New Roman"/>
          <w:rtl w:val="0"/>
        </w:rPr>
        <w:t xml:space="preserve"> is a direct writer. It is not assuming third‑party business and does not anticipate ceding business in the initial plan period.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MAXIMUM RETAINED RISK (PER LOSS AND ANNUAL AGGREGATE)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Per‑loss retention at the company level:</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w:t>
      </w:r>
      <w:r w:rsidDel="00000000" w:rsidR="00000000" w:rsidRPr="00000000">
        <w:rPr>
          <w:rFonts w:ascii="Times New Roman" w:cs="Times New Roman" w:eastAsia="Times New Roman" w:hAnsi="Times New Roman"/>
          <w:rtl w:val="0"/>
        </w:rPr>
        <w:t xml:space="preserve"> does not contemplate reinsurance for its non-property lines at launch, and those coverages are offered with Coverage limits capped at $100,000. For those lines, SEIC retains one hundred percent of each covered loss, subject to the member’s selected Coverage limit and retention by line as filed, so the company’s maximum retained amount per loss generally equals the applicable policy’s selected Coverage limit within the program parameters.</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property lines, SEIC will employ an excess of loss reinsurance arrangement attaching above $250,000 per occurrence with Ideal Reinsurance, Inc. Accordingly, SEIC will retain losses up to $250,000 per occurrence (subject to the member’s retention and the policy’s Coverage limit), and losses in excess of $250,000 per occurrence will be ceded to Ideal up to the reinsurance layer limits, as specified in the reinsurance contract and any related endorsements or schedules.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SEIC’s per-loss retention varies by coverage line and tier as provided in the program schedules and feasibility study. For lower-limit liability and specialty lines at base and mid tiers — including Participant Legal Liability, Coach / Instructor E&amp;O, Participant Accident Medical, Equipment Floater, and Directors and Officers Liability — SEIC retains one hundred percent of each covered loss, subject to the member’s selected coverage limit and retention by line as filed, so the company’s maximum retained amount per loss generally equals the applicable policy’s selected coverage limit within the program parameters.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higher-limit lines and higher-tier coverages — including CGL at NGB and enterprise tiers, Cyber Liability, Abuse and Misconduct Liability, and Event Cancellation at NGB and enterprise tiers — SEIC will employ excess of loss reinsurance arrangements attaching above specified per-occurrence or per-claim retention amounts consistent with the reinsurance contracts and feasibility exhibits. Accordingly, SEIC retains losses up to the applicable attachment point and cedes loss amounts in excess of that attachment to the reinsurer up to the reinsurance layer limits, as specified in the reinsurance contract and any related endorsements or schedules.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highlight w:val="yellow"/>
        </w:rPr>
      </w:pPr>
      <w:commentRangeStart w:id="0"/>
      <w:r w:rsidDel="00000000" w:rsidR="00000000" w:rsidRPr="00000000">
        <w:rPr>
          <w:rFonts w:ascii="Times New Roman" w:cs="Times New Roman" w:eastAsia="Times New Roman" w:hAnsi="Times New Roman"/>
          <w:b w:val="1"/>
          <w:bCs w:val="1"/>
          <w:highlight w:val="yellow"/>
          <w:rtl w:val="0"/>
        </w:rPr>
        <w:t xml:space="preserve">Annual aggregate exposure: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With no cessions contemplated for the non-property lines, SEIC’s annual aggregate retained exposure for those coverages equals the sum of all policy-year aggregates bound across members for the non-property portfolio, subject to the $100,000 Coverage limit cap and the filed retentions by line. For the property lines, SEIC will cede loss above $250,000 per occurrence under an excess of loss arrangement, so SEIC’s annual retained exposure for property reflects (a) the aggregate of retained loss and allocated loss adjustment expense up to $250,000 per occurrence (after application of member retentions and policy Coverage limits), plus (b) any amounts not recoverable under the excess of loss contract due to exclusions, attachment mechanics, exhaustion, or other contract terms.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Pro-forma projections indicate gross and net earned premiums rising from about $122,790 in 2025 to about $17,049,866 by 2029, with incurred losses and loss adjustment expenses rising from about $72,429 to about $10,056,990 over the same period. Under this structure, the projections support feasibility in expected and adverse scenarios by limiting peak severity volatility on the property portfolio through the $250,000 per-occurrence retention while maintaining full net retention on the capped-limit non-property lines.</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SEIC’s annual aggregate retained exposure for each coverage line equals the sum of all policy-year aggregates bound across member organizations for that line, net of any excess of loss recoveries applicable under the reinsurance structure. For claims-made lines, aggregate exposure is measured against the policy period in which claims are made and reported; the captive’s reserving practices will reflect the long-tail characteristics of Abuse and Misconduct Liability and Directors and Officers Liability claims.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Pro-forma projections indicate gross and net earned premiums, incurred losses, and loss adjustment expenses as detailed in the feasibility study and financial exhibits. Under this structure, the projections support feasibility in expected and adverse scenarios by limiting peak severity volatility on high-limit and long-tail lines through reinsurance layering while maintaining full net retention on capped-limit lines.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xvpras3l1y54" w:id="29"/>
      <w:bookmarkEnd w:id="29"/>
      <w:r w:rsidDel="00000000" w:rsidR="00000000" w:rsidRPr="00000000">
        <w:rPr>
          <w:rFonts w:ascii="Times New Roman" w:cs="Times New Roman" w:eastAsia="Times New Roman" w:hAnsi="Times New Roman"/>
          <w:b w:val="1"/>
          <w:bCs w:val="1"/>
          <w:sz w:val="26"/>
          <w:szCs w:val="26"/>
          <w:rtl w:val="0"/>
        </w:rPr>
        <w:t xml:space="preserve">3. FRONTING COMPANY, IF ASSUMING BUSINESS AS A REINSURER</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SEIC is not assuming business as a reinsurer. </w:t>
      </w:r>
    </w:p>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highlight w:val="yellow"/>
        </w:rPr>
      </w:pPr>
      <w:bookmarkStart w:colFirst="0" w:colLast="0" w:name="_8ll0dkvdhbzh" w:id="30"/>
      <w:bookmarkEnd w:id="30"/>
      <w:r w:rsidDel="00000000" w:rsidR="00000000" w:rsidRPr="00000000">
        <w:rPr>
          <w:rFonts w:ascii="Times New Roman" w:cs="Times New Roman" w:eastAsia="Times New Roman" w:hAnsi="Times New Roman"/>
          <w:b w:val="1"/>
          <w:bCs w:val="1"/>
          <w:sz w:val="26"/>
          <w:szCs w:val="26"/>
          <w:rtl w:val="0"/>
        </w:rPr>
        <w:t xml:space="preserve">4. REINSURANCE PROGRAM, IF CEDING BUSINESS</w:t>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SEIC’s reinsurance program is structured by coverage tier and line as detailed in the reinsurance contracts and feasibility exhibits. Lines written at base and mid tiers with capped limits are retained net by SEIC without reinsurance. For higher-limit tiers – including CGL at NGB and enterprise tiers, Cyber Liability at NGB and enterprise tiers, Abuse and Misconduct Liability above base tier (given the long-tail and catastrophic severity potential of that line), and Event Cancellation at NGB and enterprise tiers – SEIC will implement excess of loss reinsurance arrangements that attach above the per-occurrence or per-claim retentions specified in the applicable reinsurance contracts.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these structures, SEIC retains losses up to the attachment point and cedes loss amounts in excess of the attachment to the reinsurer up to the applicable reinsurance layer limits. Abuse and Misconduct Liability reinsurance is structured at attachment levels recommended by the captive’s actuaries, consistent with the catastrophic loss potential and extended latency periods characteristic of institutional misconduct claims. Reinsurer security and contract terms are subject to Board approval consistent with applicable Utah captive insurance regulations.</w:t>
      </w:r>
    </w:p>
    <w:p w:rsidR="00000000" w:rsidDel="00000000" w:rsidP="00000000" w:rsidRDefault="00000000" w:rsidRPr="00000000" w14:paraId="00000073">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4pjt1c3ti2uq" w:id="31"/>
      <w:bookmarkEnd w:id="31"/>
      <w:r w:rsidDel="00000000" w:rsidR="00000000" w:rsidRPr="00000000">
        <w:rPr>
          <w:rFonts w:ascii="Times New Roman" w:cs="Times New Roman" w:eastAsia="Times New Roman" w:hAnsi="Times New Roman"/>
          <w:b w:val="1"/>
          <w:bCs w:val="1"/>
          <w:sz w:val="26"/>
          <w:szCs w:val="26"/>
          <w:rtl w:val="0"/>
        </w:rPr>
        <w:t xml:space="preserve">5. ORGANIZATION AND RESPONSIBILITY FOR LOSS PREVENTION AND SAFETY, INCLUDING MAIN PROCEDURES FOR EVENTS PRIOR TO POSSIBLE CLAIMS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Purpose and scope.</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 will maintain a loss-prevention and pre-claim program designed to reduce claim frequency and severity, ensure timely incident identification and notice, and align with the program’s mixed claims-made and occurrence form structure. Program discipline supports reserving and underwriting consistent with feasibility assumptions on payment patterns, loss trend, and expense loads. The program is designed to be sport-agnostic in its core procedures while accommodating sport-specific risk profiles across the nine coverage lines.</w:t>
      </w: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Governance and roles.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SEIC Board oversees the program; a risk committee receives quarterly incident and KPI reporting. Each insured member organization designates an Incident Coordinator responsible for initial triage and notice obligations. SEIC’s managers monitor compliance, coordinate panel providers, and apply corrective-action plans when needed. </w:t>
      </w:r>
      <w:commentRangeStart w:id="1"/>
      <w:r w:rsidDel="00000000" w:rsidR="00000000" w:rsidRPr="00000000">
        <w:rPr>
          <w:rFonts w:ascii="Times New Roman" w:cs="Times New Roman" w:eastAsia="Times New Roman" w:hAnsi="Times New Roman"/>
          <w:highlight w:val="yellow"/>
          <w:rtl w:val="0"/>
        </w:rPr>
        <w:t xml:space="preserve">For Abuse and Misconduct Liability, a designated safeguarding compliance function monitors background check completion rates, training certification currency, and mandatory reporting obligations across the membership and reports to the risk committee quarterly.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Core procedures prior to claims.</w:t>
      </w:r>
    </w:p>
    <w:p w:rsidR="00000000" w:rsidDel="00000000" w:rsidP="00000000" w:rsidRDefault="00000000" w:rsidRPr="00000000" w14:paraId="0000007A">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Immediate containment</w:t>
      </w:r>
      <w:r w:rsidDel="00000000" w:rsidR="00000000" w:rsidRPr="00000000">
        <w:rPr>
          <w:rFonts w:ascii="Times New Roman" w:cs="Times New Roman" w:eastAsia="Times New Roman" w:hAnsi="Times New Roman"/>
          <w:rtl w:val="0"/>
        </w:rPr>
        <w:t xml:space="preserve">: participant safety first for all injury and misconduct incidents; scene preservation and photo documentation; rapid isolation and system preservation for cyber incidents; immediate suspension of any alleged abuser pending investigation; non-retaliation protocols for governance and employment complaints; prompt engagement of specialist vendors (legal, forensic, medical) when indicated.</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Internal notice and legal hold</w:t>
      </w:r>
      <w:r w:rsidDel="00000000" w:rsidR="00000000" w:rsidRPr="00000000">
        <w:rPr>
          <w:rFonts w:ascii="Times New Roman" w:cs="Times New Roman" w:eastAsia="Times New Roman" w:hAnsi="Times New Roman"/>
          <w:rtl w:val="0"/>
        </w:rPr>
        <w:t xml:space="preserve">: member Incident Coordinator notifies leadership and establishes a document hold within one business day.</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Policy notice</w:t>
      </w:r>
      <w:r w:rsidDel="00000000" w:rsidR="00000000" w:rsidRPr="00000000">
        <w:rPr>
          <w:rFonts w:ascii="Times New Roman" w:cs="Times New Roman" w:eastAsia="Times New Roman" w:hAnsi="Times New Roman"/>
          <w:rtl w:val="0"/>
        </w:rPr>
        <w:t xml:space="preserve">: written incident notice to SEIC within one business day for participant safety emergencies, misconduct allegations, or cyber events, and within three business days for all other matters. For claims-made lines (Coach / Instructor E&amp;O, Cyber, Abuse and Misconduct, D&amp;O), members must consider notice of circumstance to preserve rights within the</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Triage and association</w:t>
      </w:r>
      <w:r w:rsidDel="00000000" w:rsidR="00000000" w:rsidRPr="00000000">
        <w:rPr>
          <w:rFonts w:ascii="Times New Roman" w:cs="Times New Roman" w:eastAsia="Times New Roman" w:hAnsi="Times New Roman"/>
          <w:rtl w:val="0"/>
        </w:rPr>
        <w:t xml:space="preserve">: SEIC acknowledges and triages promptly, engaging panel providers when material exposure, portfolio relevance, or severity thresholds are indicated. All related claims arising from a common cause, common alleged abuser, or common governance failure are associated for aggregate tracking and limit-management purposes.</w:t>
        <w:br w:type="textWrapping"/>
      </w:r>
    </w:p>
    <w:p w:rsidR="00000000" w:rsidDel="00000000" w:rsidP="00000000" w:rsidRDefault="00000000" w:rsidRPr="00000000" w14:paraId="0000007E">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Reserving and documentation</w:t>
      </w:r>
      <w:r w:rsidDel="00000000" w:rsidR="00000000" w:rsidRPr="00000000">
        <w:rPr>
          <w:rFonts w:ascii="Times New Roman" w:cs="Times New Roman" w:eastAsia="Times New Roman" w:hAnsi="Times New Roman"/>
          <w:rtl w:val="0"/>
        </w:rPr>
        <w:t xml:space="preserve">: contemporaneous logs; early watch reserves and periodic reviews aligned to feasibility payment patterns. </w:t>
        <w:br w:type="textWrapping"/>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Baseline control standards (selected examples, by coverage).</w:t>
      </w:r>
    </w:p>
    <w:p w:rsidR="00000000" w:rsidDel="00000000" w:rsidP="00000000" w:rsidRDefault="00000000" w:rsidRPr="00000000" w14:paraId="00000080">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CGL / Participant Legal Liability</w:t>
      </w:r>
      <w:r w:rsidDel="00000000" w:rsidR="00000000" w:rsidRPr="00000000">
        <w:rPr>
          <w:rFonts w:ascii="Times New Roman" w:cs="Times New Roman" w:eastAsia="Times New Roman" w:hAnsi="Times New Roman"/>
          <w:rtl w:val="0"/>
        </w:rPr>
        <w:t xml:space="preserve">: documented premises and venue inspections prior to each event; compliance with applicable safety codes and facility requirements; vendor and facility certificates of insurance; executed participant waivers and sanctioning documentation; incident and near-miss logs maintained throughout the policy period.</w:t>
      </w:r>
    </w:p>
    <w:p w:rsidR="00000000" w:rsidDel="00000000" w:rsidP="00000000" w:rsidRDefault="00000000" w:rsidRPr="00000000" w14:paraId="00000081">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Coach / Instructor E&amp;O</w:t>
      </w:r>
      <w:r w:rsidDel="00000000" w:rsidR="00000000" w:rsidRPr="00000000">
        <w:rPr>
          <w:rFonts w:ascii="Times New Roman" w:cs="Times New Roman" w:eastAsia="Times New Roman" w:hAnsi="Times New Roman"/>
          <w:rtl w:val="0"/>
        </w:rPr>
        <w:t xml:space="preserve">: verification of coaching certifications and credentials prior to coverage activation; criminal background check completed prior to coverage and renewed annually; training documentation and continuing education compliance tracking; incident reporting protocol for coaching-related participant injuries.</w:t>
      </w:r>
    </w:p>
    <w:p w:rsidR="00000000" w:rsidDel="00000000" w:rsidP="00000000" w:rsidRDefault="00000000" w:rsidRPr="00000000" w14:paraId="00000082">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Participant Accident Medical</w:t>
      </w:r>
      <w:r w:rsidDel="00000000" w:rsidR="00000000" w:rsidRPr="00000000">
        <w:rPr>
          <w:rFonts w:ascii="Times New Roman" w:cs="Times New Roman" w:eastAsia="Times New Roman" w:hAnsi="Times New Roman"/>
          <w:rtl w:val="0"/>
        </w:rPr>
        <w:t xml:space="preserve">: verification and enrollment confirmation prior to coverage activation; sanctioned event confirmation for each covered activity; documented injury reporting protocol with defined timelines; medical clearance procedures where indicated by sport class or participant age band.</w:t>
      </w:r>
    </w:p>
    <w:p w:rsidR="00000000" w:rsidDel="00000000" w:rsidP="00000000" w:rsidRDefault="00000000" w:rsidRPr="00000000" w14:paraId="00000083">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Equipment Floater</w:t>
      </w:r>
      <w:r w:rsidDel="00000000" w:rsidR="00000000" w:rsidRPr="00000000">
        <w:rPr>
          <w:rFonts w:ascii="Times New Roman" w:cs="Times New Roman" w:eastAsia="Times New Roman" w:hAnsi="Times New Roman"/>
          <w:rtl w:val="0"/>
        </w:rPr>
        <w:t xml:space="preserve">: complete equipment inventory with current valuations prior to policy inception; secure storage controls at all facility locations; transit documentation for scheduled equipment movements; annual TIV update submitted to SEIC prior to renewal.</w:t>
      </w:r>
    </w:p>
    <w:p w:rsidR="00000000" w:rsidDel="00000000" w:rsidP="00000000" w:rsidRDefault="00000000" w:rsidRPr="00000000" w14:paraId="00000084">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Cyber Liability</w:t>
      </w:r>
      <w:r w:rsidDel="00000000" w:rsidR="00000000" w:rsidRPr="00000000">
        <w:rPr>
          <w:rFonts w:ascii="Times New Roman" w:cs="Times New Roman" w:eastAsia="Times New Roman" w:hAnsi="Times New Roman"/>
          <w:rtl w:val="0"/>
        </w:rPr>
        <w:t xml:space="preserve">: multi-factor authentication required for all systems with access to participant PII, as a condition of coverage; encrypted data storage and tested backup and recovery protocols; incident response plan with at least annual tabletop exercises; vendor risk management program for third-party registration, payment processing, and athlete management platforms; employee privacy awareness training program.</w:t>
      </w:r>
    </w:p>
    <w:p w:rsidR="00000000" w:rsidDel="00000000" w:rsidP="00000000" w:rsidRDefault="00000000" w:rsidRPr="00000000" w14:paraId="00000085">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Abuse and Misconduct Liability</w:t>
      </w:r>
      <w:r w:rsidDel="00000000" w:rsidR="00000000" w:rsidRPr="00000000">
        <w:rPr>
          <w:rFonts w:ascii="Times New Roman" w:cs="Times New Roman" w:eastAsia="Times New Roman" w:hAnsi="Times New Roman"/>
          <w:rtl w:val="0"/>
        </w:rPr>
        <w:t xml:space="preserve">: mandatory criminal background checks on all coaches, instructors, volunteers, and staff with access to youth participants, completed prior to coverage activation and renewed annually, as a condition of coverage; written sexual misconduct policy and mandatory reporting procedure distributed annually; supervision ratios compliant with applicable SafeSport Act standards; documented reporting and response protocol for allegations; strict prohibition on unsupervised one-on-one adult-minor contact.</w:t>
      </w:r>
    </w:p>
    <w:p w:rsidR="00000000" w:rsidDel="00000000" w:rsidP="00000000" w:rsidRDefault="00000000" w:rsidRPr="00000000" w14:paraId="00000086">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Directors and Officers Liability</w:t>
      </w:r>
      <w:r w:rsidDel="00000000" w:rsidR="00000000" w:rsidRPr="00000000">
        <w:rPr>
          <w:rFonts w:ascii="Times New Roman" w:cs="Times New Roman" w:eastAsia="Times New Roman" w:hAnsi="Times New Roman"/>
          <w:rtl w:val="0"/>
        </w:rPr>
        <w:t xml:space="preserve">: corporate governance charter and board composition documentation on file with SEIC at inception; conflict-of-interest and disclosure policy reviewed and distributed annually; financial statements review and audit program commensurate with organizational size; documented board meeting minutes and resolutions; eligibility rule and bylaw compliance procedures for participant governance decisions.</w:t>
      </w:r>
    </w:p>
    <w:p w:rsidR="00000000" w:rsidDel="00000000" w:rsidP="00000000" w:rsidRDefault="00000000" w:rsidRPr="00000000" w14:paraId="00000087">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Cancellation</w:t>
      </w:r>
      <w:r w:rsidDel="00000000" w:rsidR="00000000" w:rsidRPr="00000000">
        <w:rPr>
          <w:rFonts w:ascii="Times New Roman" w:cs="Times New Roman" w:eastAsia="Times New Roman" w:hAnsi="Times New Roman"/>
          <w:rtl w:val="0"/>
        </w:rPr>
        <w:t xml:space="preserve">: executed venue contracts in place prior to coverage binding; event contingency planning documentation submitted to SEIC at inception; weather monitoring and communication protocols for all outdoor events; cancellation and postponement communication procedures; contemporaneous documentation of all irrecoverable expenses from the point of event inception.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KPIs and feedback loop.</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dashboards include time‑to‑notice, vendor deployment timing, variance of ultimate vs. early estimates, corrective‑action completion, and any financial early‑warning indicators, consistent with the feasibility’s payment‑pattern framework and expense assumptions. </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5.6 Alignment with feasibility rating framework.</w:t>
      </w: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discipline supports the feasibility’s use of increased-limit factors, retention factors, prior-acts adjustments for claims-made lines, sport-class factors, participant age-band factors, and geographic considerations, which inform pricing and expected loss ratios in the pro-formas. Members with demonstrated compliance across baseline control standards may qualify for risk-management credits as provided in the rating exhibits.</w:t>
      </w:r>
    </w:p>
    <w:p w:rsidR="00000000" w:rsidDel="00000000" w:rsidP="00000000" w:rsidRDefault="00000000" w:rsidRPr="00000000" w14:paraId="0000008D">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zdqmvir54o22" w:id="32"/>
      <w:bookmarkEnd w:id="32"/>
      <w:r w:rsidDel="00000000" w:rsidR="00000000" w:rsidRPr="00000000">
        <w:rPr>
          <w:rFonts w:ascii="Times New Roman" w:cs="Times New Roman" w:eastAsia="Times New Roman" w:hAnsi="Times New Roman"/>
          <w:b w:val="1"/>
          <w:bCs w:val="1"/>
          <w:sz w:val="26"/>
          <w:szCs w:val="26"/>
          <w:rtl w:val="0"/>
        </w:rPr>
        <w:t xml:space="preserve">6. IF APPLICANT IS AN ASSOCIATION CAPTIVE, LIST HISTORY, PURPOSE, SIZE, AND OTHER DETAILS OF THE PARENT ASSOCIATION</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SEIC is being formed to serve amateur, youth, recreational, and competitive sports organizations through an association captive structure under the Utah Captive Insurance Companies Act. The eligible membership encompasses clubs, leagues, regional and national governing bodies, event operators, and collegiate or professional sports organizations across the United States that meet SEIC’s underwriting eligibility and risk-management criteria. The feasibility anticipates a membership ramp of about </w:t>
      </w:r>
      <w:r w:rsidDel="00000000" w:rsidR="00000000" w:rsidRPr="00000000">
        <w:rPr>
          <w:rFonts w:ascii="Times New Roman" w:cs="Times New Roman" w:eastAsia="Times New Roman" w:hAnsi="Times New Roman"/>
          <w:highlight w:val="yellow"/>
          <w:rtl w:val="0"/>
        </w:rPr>
        <w:t xml:space="preserve">150</w:t>
      </w:r>
      <w:r w:rsidDel="00000000" w:rsidR="00000000" w:rsidRPr="00000000">
        <w:rPr>
          <w:rFonts w:ascii="Times New Roman" w:cs="Times New Roman" w:eastAsia="Times New Roman" w:hAnsi="Times New Roman"/>
          <w:rtl w:val="0"/>
        </w:rPr>
        <w:t xml:space="preserve"> in Year 1, </w:t>
      </w:r>
      <w:r w:rsidDel="00000000" w:rsidR="00000000" w:rsidRPr="00000000">
        <w:rPr>
          <w:rFonts w:ascii="Times New Roman" w:cs="Times New Roman" w:eastAsia="Times New Roman" w:hAnsi="Times New Roman"/>
          <w:highlight w:val="yellow"/>
          <w:rtl w:val="0"/>
        </w:rPr>
        <w:t xml:space="preserve">300</w:t>
      </w:r>
      <w:r w:rsidDel="00000000" w:rsidR="00000000" w:rsidRPr="00000000">
        <w:rPr>
          <w:rFonts w:ascii="Times New Roman" w:cs="Times New Roman" w:eastAsia="Times New Roman" w:hAnsi="Times New Roman"/>
          <w:rtl w:val="0"/>
        </w:rPr>
        <w:t xml:space="preserve"> in Year 2, </w:t>
      </w:r>
      <w:r w:rsidDel="00000000" w:rsidR="00000000" w:rsidRPr="00000000">
        <w:rPr>
          <w:rFonts w:ascii="Times New Roman" w:cs="Times New Roman" w:eastAsia="Times New Roman" w:hAnsi="Times New Roman"/>
          <w:highlight w:val="yellow"/>
          <w:rtl w:val="0"/>
        </w:rPr>
        <w:t xml:space="preserve">600</w:t>
      </w:r>
      <w:r w:rsidDel="00000000" w:rsidR="00000000" w:rsidRPr="00000000">
        <w:rPr>
          <w:rFonts w:ascii="Times New Roman" w:cs="Times New Roman" w:eastAsia="Times New Roman" w:hAnsi="Times New Roman"/>
          <w:rtl w:val="0"/>
        </w:rPr>
        <w:t xml:space="preserve"> in Year 3, </w:t>
      </w:r>
      <w:r w:rsidDel="00000000" w:rsidR="00000000" w:rsidRPr="00000000">
        <w:rPr>
          <w:rFonts w:ascii="Times New Roman" w:cs="Times New Roman" w:eastAsia="Times New Roman" w:hAnsi="Times New Roman"/>
          <w:highlight w:val="yellow"/>
          <w:rtl w:val="0"/>
        </w:rPr>
        <w:t xml:space="preserve">1,000</w:t>
      </w:r>
      <w:r w:rsidDel="00000000" w:rsidR="00000000" w:rsidRPr="00000000">
        <w:rPr>
          <w:rFonts w:ascii="Times New Roman" w:cs="Times New Roman" w:eastAsia="Times New Roman" w:hAnsi="Times New Roman"/>
          <w:rtl w:val="0"/>
        </w:rPr>
        <w:t xml:space="preserve"> in Year 4, and </w:t>
      </w:r>
      <w:r w:rsidDel="00000000" w:rsidR="00000000" w:rsidRPr="00000000">
        <w:rPr>
          <w:rFonts w:ascii="Times New Roman" w:cs="Times New Roman" w:eastAsia="Times New Roman" w:hAnsi="Times New Roman"/>
          <w:highlight w:val="yellow"/>
          <w:rtl w:val="0"/>
        </w:rPr>
        <w:t xml:space="preserve">1,500</w:t>
      </w:r>
      <w:r w:rsidDel="00000000" w:rsidR="00000000" w:rsidRPr="00000000">
        <w:rPr>
          <w:rFonts w:ascii="Times New Roman" w:cs="Times New Roman" w:eastAsia="Times New Roman" w:hAnsi="Times New Roman"/>
          <w:rtl w:val="0"/>
        </w:rPr>
        <w:t xml:space="preserve"> in Year 5, with certain coverages growing at different rates as provided by the client. The geographic focus will be across the U.S.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captive is designed to address material gaps in the standard commercial insurance market for sports organizations: limited and inconsistent availability of Abuse and Misconduct Liability coverage at appropriate limits; fragmented access to standalone Participant Legal Liability; and the absence of integrated, tiered program structures that scale from local clubs through national governing bodies for lines such as Coach / Instructor E&amp;O, Event Cancellation, and CGL. SEIC’s program consolidates these nine lines within a single captive framework, enabling more consistent underwriting, risk-management discipline, and pricing alignment with actual sports loss experience across the member portfolio.</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feasibility anticipates a membership ramp across the five-year plan period consistent with the financial projections detailed in the feasibility study, spanning base-tier clubs and leagues in the early years through NGB and enterprise-tier organizations in later years as the program establishes its track record and market position. The geographic focus is the United States.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In addition, the Parent intends to support SEIC’s safe and compliant operations on an ongoing basis. The Parent will monitor SEIC’s capitalization through regular financial reporting and Board oversight, and will provide additional capital contributions when needed to ensure SEIC maintains compliance with applicable statutory capital and surplus requirements and maintains prudent internal solvency targets established by the SEIC Board. The Parent’s support is intended to be documented through formal corporate governance actions, including Board resolutions and a written capital support undertaking, and will be implemented in a manner consistent with applicable regulatory approval requirements.</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s93i6hx6bv0i" w:id="33"/>
      <w:bookmarkEnd w:id="33"/>
      <w:r w:rsidDel="00000000" w:rsidR="00000000" w:rsidRPr="00000000">
        <w:rPr>
          <w:rFonts w:ascii="Times New Roman" w:cs="Times New Roman" w:eastAsia="Times New Roman" w:hAnsi="Times New Roman"/>
          <w:b w:val="1"/>
          <w:bCs w:val="1"/>
          <w:sz w:val="26"/>
          <w:szCs w:val="26"/>
          <w:rtl w:val="0"/>
        </w:rPr>
        <w:t xml:space="preserve">7. LOSS EXPERIENCE FOR THE PAST FIVE YEARS, IF APPLICABLE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 There is no historical loss experience for SEIC; the feasibility expressly notes the absence of historical data and reliance on industry indications to support estimated premiums and loss selections. </w:t>
      </w:r>
    </w:p>
    <w:p w:rsidR="00000000" w:rsidDel="00000000" w:rsidP="00000000" w:rsidRDefault="00000000" w:rsidRPr="00000000" w14:paraId="00000094">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n5epr5620xus" w:id="34"/>
      <w:bookmarkEnd w:id="34"/>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jc w:val="both"/>
        <w:rPr>
          <w:rFonts w:ascii="Times New Roman" w:cs="Times New Roman" w:eastAsia="Times New Roman" w:hAnsi="Times New Roman"/>
        </w:rPr>
      </w:pPr>
      <w:bookmarkStart w:colFirst="0" w:colLast="0" w:name="_tiqzf2b64766" w:id="35"/>
      <w:bookmarkEnd w:id="35"/>
      <w:r w:rsidDel="00000000" w:rsidR="00000000" w:rsidRPr="00000000">
        <w:rPr>
          <w:rFonts w:ascii="Times New Roman" w:cs="Times New Roman" w:eastAsia="Times New Roman" w:hAnsi="Times New Roman"/>
          <w:b w:val="1"/>
          <w:bCs w:val="1"/>
          <w:sz w:val="26"/>
          <w:szCs w:val="26"/>
          <w:rtl w:val="0"/>
        </w:rPr>
        <w:t xml:space="preserve">8. ORGANIZATION CHART AND BUSINESS FLOW CHART</w:t>
      </w: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 CHART:</w:t>
      </w:r>
    </w:p>
    <w:p w:rsidR="00000000" w:rsidDel="00000000" w:rsidP="00000000" w:rsidRDefault="00000000" w:rsidRPr="00000000" w14:paraId="00000097">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047875" cy="4324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478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BUSINESS FLOW CHART: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bCs w:val="1"/>
          <w:color w:val="000000"/>
          <w:sz w:val="26"/>
          <w:szCs w:val="26"/>
          <w:highlight w:val="yellow"/>
        </w:rPr>
      </w:pPr>
      <w:bookmarkStart w:colFirst="0" w:colLast="0" w:name="_d7ew2tvo0b0u" w:id="36"/>
      <w:bookmarkEnd w:id="36"/>
      <w:commentRangeStart w:id="2"/>
      <w:r w:rsidDel="00000000" w:rsidR="00000000" w:rsidRPr="00000000">
        <w:rPr>
          <w:rFonts w:ascii="Times New Roman" w:cs="Times New Roman" w:eastAsia="Times New Roman" w:hAnsi="Times New Roman"/>
          <w:b w:val="1"/>
          <w:bCs w:val="1"/>
          <w:color w:val="000000"/>
          <w:sz w:val="26"/>
          <w:szCs w:val="26"/>
          <w:highlight w:val="yellow"/>
          <w:rtl w:val="0"/>
        </w:rPr>
        <w:t xml:space="preserve">9. SUMMARY: FINANCIAL AND ACTUARIAL UNDERPINNINGS</w:t>
      </w:r>
    </w:p>
    <w:p w:rsidR="00000000" w:rsidDel="00000000" w:rsidP="00000000" w:rsidRDefault="00000000" w:rsidRPr="00000000" w14:paraId="0000009E">
      <w:pPr>
        <w:numPr>
          <w:ilvl w:val="0"/>
          <w:numId w:val="1"/>
        </w:numPr>
        <w:spacing w:after="0" w:afterAutospacing="0" w:before="240" w:lineRule="auto"/>
        <w:ind w:left="72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Projected results:</w:t>
      </w:r>
      <w:r w:rsidDel="00000000" w:rsidR="00000000" w:rsidRPr="00000000">
        <w:rPr>
          <w:rFonts w:ascii="Times New Roman" w:cs="Times New Roman" w:eastAsia="Times New Roman" w:hAnsi="Times New Roman"/>
          <w:highlight w:val="yellow"/>
          <w:rtl w:val="0"/>
        </w:rPr>
        <w:t xml:space="preserve"> Pro‑formas show gross and net earned premiums of about $122,790 in 2025 and about $17,049,866 by 2029, with corresponding incurred losses and loss adjustment expenses of about $72,429 and about $10,056,990. The five‑year weighted average loss and LAE ratio is expected to be about 59 percent in the expected scenario and about 66 percent in the adverse scenario. The study states annual expected net income is approximately $631,000, and adverse‑scenario net income averages about $185,000. </w:t>
      </w:r>
    </w:p>
    <w:p w:rsidR="00000000" w:rsidDel="00000000" w:rsidP="00000000" w:rsidRDefault="00000000" w:rsidRPr="00000000" w14:paraId="0000009F">
      <w:pPr>
        <w:numPr>
          <w:ilvl w:val="0"/>
          <w:numId w:val="1"/>
        </w:numPr>
        <w:spacing w:after="0" w:afterAutospacing="0" w:before="0" w:beforeAutospacing="0" w:lineRule="auto"/>
        <w:ind w:left="72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Key assumptions:</w:t>
      </w:r>
      <w:r w:rsidDel="00000000" w:rsidR="00000000" w:rsidRPr="00000000">
        <w:rPr>
          <w:rFonts w:ascii="Times New Roman" w:cs="Times New Roman" w:eastAsia="Times New Roman" w:hAnsi="Times New Roman"/>
          <w:highlight w:val="yellow"/>
          <w:rtl w:val="0"/>
        </w:rPr>
        <w:t xml:space="preserve"> Initial capital and surplus means $5,000,000; variable expenses mean 32 percent of gross premiums; fixed operating expenses mean $88,000 in 2025; loss trend means five percent annually; investment return means 3.5 percent; tax rate means 21 percent; and first policy effective date means January 1, 2025. </w:t>
      </w:r>
    </w:p>
    <w:p w:rsidR="00000000" w:rsidDel="00000000" w:rsidP="00000000" w:rsidRDefault="00000000" w:rsidRPr="00000000" w14:paraId="000000A0">
      <w:pPr>
        <w:numPr>
          <w:ilvl w:val="0"/>
          <w:numId w:val="1"/>
        </w:numPr>
        <w:spacing w:after="240" w:before="0" w:beforeAutospacing="0" w:lineRule="auto"/>
        <w:ind w:left="72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Rating architecture:</w:t>
      </w:r>
      <w:r w:rsidDel="00000000" w:rsidR="00000000" w:rsidRPr="00000000">
        <w:rPr>
          <w:rFonts w:ascii="Times New Roman" w:cs="Times New Roman" w:eastAsia="Times New Roman" w:hAnsi="Times New Roman"/>
          <w:highlight w:val="yellow"/>
          <w:rtl w:val="0"/>
        </w:rPr>
        <w:t xml:space="preserve"> The exhibits provide increased‑limit factors, retention factors, and prior‑acts adjustments by coverage; landlord rating uses TIV relativities and includes high‑hazard area surcharges; short‑term rental includes per‑night limit relativities across coverage parts. The appendix notes some examples illustrate limits higher than $100,000 even though SEIC intends to offer limits up to $100,000 at this time.</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1">
      <w:pPr>
        <w:rPr>
          <w:highlight w:val="yellow"/>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er Keczeli" w:id="0" w:date="2026-02-27T14:19:3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updated upon the completion of the feasibility study.</w:t>
      </w:r>
    </w:p>
  </w:comment>
  <w:comment w:author="Peter Keczeli" w:id="2" w:date="2026-02-27T14:24:0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updated upon the completion of the feasibility study.</w:t>
      </w:r>
    </w:p>
  </w:comment>
  <w:comment w:author="Peter Keczeli" w:id="1" w:date="2026-02-27T14:19:02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@alex@corgi.insure Shall we keep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Business Plan</w:t>
    </w:r>
  </w:p>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