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/>
          <w:b/>
          <w:color w:val="B15315"/>
          <w:sz w:val="28"/>
        </w:rPr>
        <w:t>ENTERPRISE AI PROCUREMENT</w:t>
      </w:r>
    </w:p>
    <w:p>
      <w:pPr>
        <w:pStyle w:val="Title"/>
        <w:spacing w:after="100"/>
      </w:pPr>
      <w:r>
        <w:t>HKBN Qwen Model API</w:t>
        <w:br/>
        <w:t>Vendor Due-Diligence Q&amp;A</w:t>
      </w:r>
    </w:p>
    <w:p>
      <w:r>
        <w:rPr>
          <w:rFonts w:ascii="Arial" w:hAnsi="Arial"/>
          <w:color w:val="6C757D"/>
          <w:sz w:val="26"/>
        </w:rPr>
        <w:t>Technical · Commercial · Performance · Security · Trial Acceptance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6"/>
        <w:gridCol w:w="5156"/>
      </w:tblGrid>
      <w:tr>
        <w:trPr>
          <w:tblHeader w:val="true"/>
        </w:trPr>
        <w:tc>
          <w:tcPr>
            <w:tcW w:type="dxa" w:w="2551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Document field</w:t>
            </w:r>
          </w:p>
        </w:tc>
        <w:tc>
          <w:tcPr>
            <w:tcW w:type="dxa" w:w="6917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55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7"/>
              </w:rPr>
              <w:t>Status</w:t>
            </w:r>
          </w:p>
        </w:tc>
        <w:tc>
          <w:tcPr>
            <w:tcW w:type="dxa" w:w="691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7"/>
              </w:rPr>
              <w:t>Draft for supplier response — not an order or production approval</w:t>
            </w:r>
          </w:p>
        </w:tc>
      </w:tr>
      <w:tr>
        <w:tc>
          <w:tcPr>
            <w:tcW w:type="dxa" w:w="255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7"/>
              </w:rPr>
              <w:t>Version</w:t>
            </w:r>
          </w:p>
        </w:tc>
        <w:tc>
          <w:tcPr>
            <w:tcW w:type="dxa" w:w="691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7"/>
              </w:rPr>
              <w:t>1.0</w:t>
            </w:r>
          </w:p>
        </w:tc>
      </w:tr>
      <w:tr>
        <w:tc>
          <w:tcPr>
            <w:tcW w:type="dxa" w:w="255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7"/>
              </w:rPr>
              <w:t>Prepared date</w:t>
            </w:r>
          </w:p>
        </w:tc>
        <w:tc>
          <w:tcPr>
            <w:tcW w:type="dxa" w:w="691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7"/>
              </w:rPr>
              <w:t>2026-08-18</w:t>
            </w:r>
          </w:p>
        </w:tc>
      </w:tr>
      <w:tr>
        <w:tc>
          <w:tcPr>
            <w:tcW w:type="dxa" w:w="255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7"/>
              </w:rPr>
              <w:t>Prepared for</w:t>
            </w:r>
          </w:p>
        </w:tc>
        <w:tc>
          <w:tcPr>
            <w:tcW w:type="dxa" w:w="691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7"/>
              </w:rPr>
              <w:t>Internal AI Platform, Procurement, Information Security and Legal review</w:t>
            </w:r>
          </w:p>
        </w:tc>
      </w:tr>
      <w:tr>
        <w:tc>
          <w:tcPr>
            <w:tcW w:type="dxa" w:w="255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7"/>
              </w:rPr>
              <w:t>Proposed supplier</w:t>
            </w:r>
          </w:p>
        </w:tc>
        <w:tc>
          <w:tcPr>
            <w:tcW w:type="dxa" w:w="691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7"/>
              </w:rPr>
              <w:t>HKBN / contracting entity to be confirmed by supplier</w:t>
            </w:r>
          </w:p>
        </w:tc>
      </w:tr>
      <w:tr>
        <w:tc>
          <w:tcPr>
            <w:tcW w:type="dxa" w:w="255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7"/>
              </w:rPr>
              <w:t>Subject</w:t>
            </w:r>
          </w:p>
        </w:tc>
        <w:tc>
          <w:tcPr>
            <w:tcW w:type="dxa" w:w="691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7"/>
              </w:rPr>
              <w:t>Managed Qwen model API and associated support services</w:t>
            </w:r>
          </w:p>
        </w:tc>
      </w:tr>
      <w:tr>
        <w:tc>
          <w:tcPr>
            <w:tcW w:type="dxa" w:w="255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7"/>
              </w:rPr>
              <w:t>Response deadline</w:t>
            </w:r>
          </w:p>
        </w:tc>
        <w:tc>
          <w:tcPr>
            <w:tcW w:type="dxa" w:w="691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7"/>
              </w:rPr>
              <w:t>[TO BE COMPLETED]</w:t>
            </w:r>
          </w:p>
        </w:tc>
      </w:tr>
      <w:tr>
        <w:tc>
          <w:tcPr>
            <w:tcW w:type="dxa" w:w="255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7"/>
              </w:rPr>
              <w:t>Commercial validity</w:t>
            </w:r>
          </w:p>
        </w:tc>
        <w:tc>
          <w:tcPr>
            <w:tcW w:type="dxa" w:w="691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7"/>
              </w:rPr>
              <w:t>[SUPPLIER TO COMPLETE]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val="clear" w:fill="E7F3F1"/>
            <w:tcMar>
              <w:top w:w="140" w:type="dxa"/>
              <w:start w:w="170" w:type="dxa"/>
              <w:bottom w:w="140" w:type="dxa"/>
              <w:end w:w="170" w:type="dxa"/>
            </w:tcMar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003531"/>
                <w:sz w:val="22"/>
              </w:rPr>
              <w:t>Decision rule</w:t>
              <w:br/>
            </w:r>
            <w:r>
              <w:rPr>
                <w:rFonts w:ascii="Arial" w:hAnsi="Arial"/>
                <w:color w:val="333333"/>
                <w:sz w:val="18"/>
              </w:rPr>
              <w:t>No purchase decision should rely on a family name, headline context size or average latency alone. The exact endpoint, checkpoint, serving precision, limits, billing rules, data handling, SLA and measured trial evidence must be contractually identified.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160" w:after="80"/>
      </w:pPr>
      <w:r>
        <w:t>Purpose and Response Instructions</w:t>
      </w:r>
    </w:p>
    <w:p>
      <w:pPr>
        <w:spacing w:after="100" w:line="259" w:lineRule="auto"/>
      </w:pPr>
      <w:r>
        <w:t>This questionnaire is designed to support technical, commercial, security and legal due diligence for a managed Qwen model API proposed by HKBN. It deliberately separates upstream model capability from the capability and operating limits of the purchased endpoint.</w:t>
      </w:r>
    </w:p>
    <w:p>
      <w:pPr>
        <w:pStyle w:val="Heading2"/>
        <w:keepNext/>
        <w:spacing w:before="100" w:after="80"/>
      </w:pPr>
      <w:r>
        <w:t>Supplier response instructions</w:t>
      </w:r>
    </w:p>
    <w:p>
      <w:pPr>
        <w:pStyle w:val="ListBullet"/>
        <w:spacing w:after="40" w:line="247" w:lineRule="auto"/>
      </w:pPr>
      <w:r>
        <w:t>Answer every question against the exact service and model SKU proposed. Do not answer only at Qwen-family level.</w:t>
      </w:r>
    </w:p>
    <w:p>
      <w:pPr>
        <w:pStyle w:val="ListBullet"/>
        <w:spacing w:after="40" w:line="247" w:lineRule="auto"/>
      </w:pPr>
      <w:r>
        <w:t>Use 'Not supported', 'Not available' or 'Not disclosed' where applicable; do not leave material fields ambiguous.</w:t>
      </w:r>
    </w:p>
    <w:p>
      <w:pPr>
        <w:pStyle w:val="ListBullet"/>
        <w:spacing w:after="40" w:line="247" w:lineRule="auto"/>
      </w:pPr>
      <w:r>
        <w:t>Attach official documentation, test methodology, certification, sample usage JSON, price sheet and proposed contract / SLA clauses.</w:t>
      </w:r>
    </w:p>
    <w:p>
      <w:pPr>
        <w:pStyle w:val="ListBullet"/>
        <w:spacing w:after="40" w:line="247" w:lineRule="auto"/>
      </w:pPr>
      <w:r>
        <w:t>Mark roadmap functions separately from generally available contracted functions, with an expected date and dependency.</w:t>
      </w:r>
    </w:p>
    <w:p>
      <w:pPr>
        <w:pStyle w:val="ListBullet"/>
        <w:spacing w:after="40" w:line="247" w:lineRule="auto"/>
      </w:pPr>
      <w:r>
        <w:t>Identify any answer that differs between trial, UAT and production.</w:t>
      </w:r>
    </w:p>
    <w:p>
      <w:pPr>
        <w:pStyle w:val="ListBullet"/>
        <w:spacing w:after="40" w:line="247" w:lineRule="auto"/>
      </w:pPr>
      <w:r>
        <w:t>Redact credentials, customer data, internal hostnames and other secrets from all evidence.</w:t>
      </w:r>
    </w:p>
    <w:p>
      <w:pPr>
        <w:pStyle w:val="Heading2"/>
        <w:keepNext/>
        <w:spacing w:before="100" w:after="80"/>
      </w:pPr>
      <w:r>
        <w:t>Mandatory information before commercial approval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 w:val="true"/>
        </w:trPr>
        <w:tc>
          <w:tcPr>
            <w:tcW w:type="dxa" w:w="2381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6123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evidence</w:t>
            </w:r>
          </w:p>
        </w:tc>
        <w:tc>
          <w:tcPr>
            <w:tcW w:type="dxa" w:w="1134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238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6"/>
              </w:rPr>
              <w:t>Exact endpoint identity</w:t>
            </w:r>
          </w:p>
        </w:tc>
        <w:tc>
          <w:tcPr>
            <w:tcW w:type="dxa" w:w="6123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Exact model ID, checkpoint / revision, region, modality, context and version-pinning policy</w:t>
            </w:r>
          </w:p>
        </w:tc>
        <w:tc>
          <w:tcPr>
            <w:tcW w:type="dxa" w:w="1134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Open</w:t>
            </w:r>
          </w:p>
        </w:tc>
      </w:tr>
      <w:tr>
        <w:tc>
          <w:tcPr>
            <w:tcW w:type="dxa" w:w="238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6"/>
              </w:rPr>
              <w:t>Transparent serving profile</w:t>
            </w:r>
          </w:p>
        </w:tc>
        <w:tc>
          <w:tcPr>
            <w:tcW w:type="dxa" w:w="6123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Precision / quantisation, dedicated or shared compute, runtime and multi-tenant isolation</w:t>
            </w:r>
          </w:p>
        </w:tc>
        <w:tc>
          <w:tcPr>
            <w:tcW w:type="dxa" w:w="1134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Open</w:t>
            </w:r>
          </w:p>
        </w:tc>
      </w:tr>
      <w:tr>
        <w:tc>
          <w:tcPr>
            <w:tcW w:type="dxa" w:w="238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6"/>
              </w:rPr>
              <w:t>Measured service performance</w:t>
            </w:r>
          </w:p>
        </w:tc>
        <w:tc>
          <w:tcPr>
            <w:tcW w:type="dxa" w:w="6123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P50 / P95 / P99 TTFT, TPOT, output TPS and end-to-end latency under declared concurrency</w:t>
            </w:r>
          </w:p>
        </w:tc>
        <w:tc>
          <w:tcPr>
            <w:tcW w:type="dxa" w:w="1134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Open</w:t>
            </w:r>
          </w:p>
        </w:tc>
      </w:tr>
      <w:tr>
        <w:tc>
          <w:tcPr>
            <w:tcW w:type="dxa" w:w="238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6"/>
              </w:rPr>
              <w:t>Complete pricing</w:t>
            </w:r>
          </w:p>
        </w:tc>
        <w:tc>
          <w:tcPr>
            <w:tcW w:type="dxa" w:w="6123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Input, output, reasoning, cache, image, batch, minimum spend, support and all non-token charges</w:t>
            </w:r>
          </w:p>
        </w:tc>
        <w:tc>
          <w:tcPr>
            <w:tcW w:type="dxa" w:w="1134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Open</w:t>
            </w:r>
          </w:p>
        </w:tc>
      </w:tr>
      <w:tr>
        <w:tc>
          <w:tcPr>
            <w:tcW w:type="dxa" w:w="238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6"/>
              </w:rPr>
              <w:t>Data-protection commitment</w:t>
            </w:r>
          </w:p>
        </w:tc>
        <w:tc>
          <w:tcPr>
            <w:tcW w:type="dxa" w:w="6123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No training without written opt-in; retention, residency, subprocessor and deletion commitments</w:t>
            </w:r>
          </w:p>
        </w:tc>
        <w:tc>
          <w:tcPr>
            <w:tcW w:type="dxa" w:w="1134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Open</w:t>
            </w:r>
          </w:p>
        </w:tc>
      </w:tr>
      <w:tr>
        <w:tc>
          <w:tcPr>
            <w:tcW w:type="dxa" w:w="238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6"/>
              </w:rPr>
              <w:t>Contracted service levels</w:t>
            </w:r>
          </w:p>
        </w:tc>
        <w:tc>
          <w:tcPr>
            <w:tcW w:type="dxa" w:w="6123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Availability, support severity targets, incident notice, service credits and change notice</w:t>
            </w:r>
          </w:p>
        </w:tc>
        <w:tc>
          <w:tcPr>
            <w:tcW w:type="dxa" w:w="1134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Open</w:t>
            </w:r>
          </w:p>
        </w:tc>
      </w:tr>
      <w:tr>
        <w:tc>
          <w:tcPr>
            <w:tcW w:type="dxa" w:w="238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6"/>
              </w:rPr>
              <w:t>Controlled trial</w:t>
            </w:r>
          </w:p>
        </w:tc>
        <w:tc>
          <w:tcPr>
            <w:tcW w:type="dxa" w:w="6123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Representative workload, raw usage evidence, reliability, cost reconciliation and security canaries</w:t>
            </w:r>
          </w:p>
        </w:tc>
        <w:tc>
          <w:tcPr>
            <w:tcW w:type="dxa" w:w="1134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Open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val="clear" w:fill="FFF2EA"/>
            <w:tcMar>
              <w:top w:w="140" w:type="dxa"/>
              <w:start w:w="170" w:type="dxa"/>
              <w:bottom w:w="140" w:type="dxa"/>
              <w:end w:w="170" w:type="dxa"/>
            </w:tcMar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B15315"/>
                <w:sz w:val="22"/>
              </w:rPr>
              <w:t>Important</w:t>
              <w:br/>
            </w:r>
            <w:r>
              <w:rPr>
                <w:rFonts w:ascii="Arial" w:hAnsi="Arial"/>
                <w:color w:val="333333"/>
                <w:sz w:val="18"/>
              </w:rPr>
              <w:t>All thresholds in the acceptance plan are proposed for joint confirmation before the trial. Missing evidence must be recorded as a procurement risk, not silently treated as a pass.</w:t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2240" w:h="15840"/>
          <w:pgMar w:top="907" w:right="964" w:bottom="907" w:left="964" w:header="720" w:footer="720" w:gutter="0"/>
          <w:cols w:space="720"/>
          <w:docGrid w:linePitch="360"/>
        </w:sectPr>
      </w:pPr>
    </w:p>
    <w:p>
      <w:pPr>
        <w:pStyle w:val="Heading1"/>
        <w:keepNext/>
        <w:spacing w:before="160" w:after="80"/>
      </w:pPr>
      <w:r>
        <w:t>Supplier Questionnaire</w:t>
      </w:r>
    </w:p>
    <w:p>
      <w:pPr>
        <w:spacing w:after="100" w:line="259" w:lineRule="auto"/>
      </w:pPr>
      <w:r>
        <w:t>Supplier response and evidence columns are intentionally left open for completion. Continue answers in an annex where necessary and reference the question ID.</w:t>
      </w:r>
    </w:p>
    <w:p>
      <w:pPr>
        <w:pStyle w:val="Heading1"/>
        <w:keepNext/>
        <w:spacing w:before="160" w:after="80"/>
      </w:pPr>
      <w:r>
        <w:t>1. Supplier, Service and Commercial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rPr>
          <w:tblHeader w:val="true"/>
        </w:trPr>
        <w:tc>
          <w:tcPr>
            <w:tcW w:type="dxa" w:w="708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ID</w:t>
            </w:r>
          </w:p>
        </w:tc>
        <w:tc>
          <w:tcPr>
            <w:tcW w:type="dxa" w:w="6577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969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Supplier response</w:t>
            </w:r>
          </w:p>
        </w:tc>
        <w:tc>
          <w:tcPr>
            <w:tcW w:type="dxa" w:w="3742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Evidence / contract reference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1.1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Identify the contracting legal entity, company registration jurisdiction and the party responsible for service delivery and support.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1.2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whether HKBN operates the service directly or resells / integrates another provider. List every material subcontractor and its role.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1.3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the service name, orderable SKU, edition and geographic region proposed for this purchase.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1.4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whether the offer is public cloud API, private endpoint, dedicated deployment, on-premises deployment or another model.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1.5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the proposed contract term, minimum commitment, renewal mechanism, termination rights and early-termination charges.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1.6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List all one-off charges, implementation fees, support fees, platform fees, minimum monthly spend and overage charges.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1.7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billing currency, exchange-rate mechanism, tax treatment and whether prices are fixed for the contract term.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1.8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a full price-validity period and the notice period for any price or packaging change.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1.9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available trial, proof-of-concept and benchmark arrangements, including duration, token credit, support and restrictions.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1.10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three relevant enterprise customer references or anonymised case studies for managed LLM API use.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160" w:after="80"/>
      </w:pPr>
      <w:r>
        <w:t>2. Exact Model Identity and Deployment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rPr>
          <w:tblHeader w:val="true"/>
        </w:trPr>
        <w:tc>
          <w:tcPr>
            <w:tcW w:type="dxa" w:w="708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ID</w:t>
            </w:r>
          </w:p>
        </w:tc>
        <w:tc>
          <w:tcPr>
            <w:tcW w:type="dxa" w:w="6577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969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Supplier response</w:t>
            </w:r>
          </w:p>
        </w:tc>
        <w:tc>
          <w:tcPr>
            <w:tcW w:type="dxa" w:w="3742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Evidence / contract reference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2.1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the exact API model ID and marketing name. Family-level answers such as 'Qwen' or 'Qwen Max' are not sufficient.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2.2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the upstream publisher, model checkpoint / revision, release date and model-card URL.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2.3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whether the endpoint is base, instruct, reasoning, multimodal or a vendor-modified derivative.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2.4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Disclose any fine-tuning, alignment, system prompt, safety layer, routing, speculative decoding or model substitution applied by the service.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2.5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total and active parameter counts where applicable, architecture type and supported modalities.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2.6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serving precision and quantisation exactly, including weight, activation and KV-cache precision (for example BF16, FP8, INT8 or INT4).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2.7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Identify the serving engine and material runtime version (for example vLLM or another implementation).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2.8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whether inference uses dedicated or shared compute, and identify the accelerator class without exposing sensitive infrastructure details.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2.9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multi-tenancy isolation and whether another customer's workload can affect latency or capacity.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2.10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the physical processing region(s), failover region(s), data-storage region(s) and whether any processing occurs outside Hong Kong.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2.11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how the endpoint behaves during model upgrades and whether customers can pin a model version.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2.12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model deprecation, end-of-life and migration notice periods, including rollback options after a change.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160" w:after="80"/>
      </w:pPr>
      <w:r>
        <w:t>3. API, Compatibility and Functional Features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rPr>
          <w:tblHeader w:val="true"/>
        </w:trPr>
        <w:tc>
          <w:tcPr>
            <w:tcW w:type="dxa" w:w="708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ID</w:t>
            </w:r>
          </w:p>
        </w:tc>
        <w:tc>
          <w:tcPr>
            <w:tcW w:type="dxa" w:w="6577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969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Supplier response</w:t>
            </w:r>
          </w:p>
        </w:tc>
        <w:tc>
          <w:tcPr>
            <w:tcW w:type="dxa" w:w="3742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Evidence / contract reference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3.1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the production and non-production API base URLs and API versioning policy.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3.2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List supported OpenAI-compatible endpoints, including /v1/chat/completions, /v1/responses, model catalogue and embeddings where applicable.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3.3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streaming support and protocol details, including SSE event format, termination event and error behaviour.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3.4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authentication methods, key scopes, key rotation, expiry and separate credentials for development, UAT and production.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3.5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support for tool / function calling, parallel tool calls, tool-choice control and the exact request / response schema.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3.6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structured output / JSON schema support and explain validation or retry behaviour when output is invalid.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3.7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image input support, accepted formats, size / count limits and image-token metering. If unsupported, state this explicitly.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3.8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reasoning controls, reasoning-token visibility and whether reasoning tokens are returned, hidden or billable.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3.9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system-message handling, prompt precedence, content filtering and any fields that are silently ignored or rewritten.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3.10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maximum request body size, timeout limits, streaming idle timeout and maximum generation duration.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3.11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support for idempotency keys, request IDs, trace IDs and customer-supplied metadata that is not used as prompt content.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3.12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error-code documentation, retry guidance and Retry-After behaviour for throttling and transient failures.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3.13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availability of asynchronous batch inference, batch pricing and maximum batch size where applicable.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3.14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official SDKs, supported languages, sample code and compatibility limitations against the OpenAI SDK.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160" w:after="80"/>
      </w:pPr>
      <w:r>
        <w:t>4. Context Window, Tokens and Usage Accounting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rPr>
          <w:tblHeader w:val="true"/>
        </w:trPr>
        <w:tc>
          <w:tcPr>
            <w:tcW w:type="dxa" w:w="708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ID</w:t>
            </w:r>
          </w:p>
        </w:tc>
        <w:tc>
          <w:tcPr>
            <w:tcW w:type="dxa" w:w="6577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969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Supplier response</w:t>
            </w:r>
          </w:p>
        </w:tc>
        <w:tc>
          <w:tcPr>
            <w:tcW w:type="dxa" w:w="3742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Evidence / contract reference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4.1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the upstream model's native context window and the endpoint's enforced context window separately.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4.2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maximum input tokens, maximum output tokens, combined context limit and any lower defaults.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4.3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whether the endpoint can support approximately one million tokens and whether this uses native capability, YaRN scaling or another extension.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4.4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If extended context is offered, disclose supported scaling factors, expected quality trade-offs, latency impact and pricing impact.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4.5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Identify the tokenizer and provide a supported method or library for pre-flight token counting.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4.6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Explain truncation behaviour when input exceeds the limit: reject, truncate oldest, truncate newest or another policy.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4.7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Define all usage response fields for input, output, reasoning, cached, image and tool-call tokens.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4.8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whether system prompts, tool schemas, retrieved context and repeated conversation history are billable input tokens.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4.9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Explain prompt-cache eligibility, cache key / scope, TTL, isolation, invalidation and minimum cacheable length.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4.10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whether cached reads and writes are visible in every API response and billing export.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4.11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a reconciled sample showing raw request, usage JSON and resulting invoice calculation with confidential values removed.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160" w:after="80"/>
      </w:pPr>
      <w:r>
        <w:t>5. Performance, Capacity and Service Levels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rPr>
          <w:tblHeader w:val="true"/>
        </w:trPr>
        <w:tc>
          <w:tcPr>
            <w:tcW w:type="dxa" w:w="708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ID</w:t>
            </w:r>
          </w:p>
        </w:tc>
        <w:tc>
          <w:tcPr>
            <w:tcW w:type="dxa" w:w="6577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969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Supplier response</w:t>
            </w:r>
          </w:p>
        </w:tc>
        <w:tc>
          <w:tcPr>
            <w:tcW w:type="dxa" w:w="3742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Evidence / contract reference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5.1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measured time-to-first-token (TTFT) at P50, P95 and P99 for representative short, medium and long prompts.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5.2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time-per-output-token (TPOT) and output tokens per second at P50, P95 and P99.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5.3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end-to-end latency at P50, P95 and P99 for at least three declared input/output token profiles.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5.4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the benchmark period, region, concurrency, sample size, streaming mode and whether results include queuing and cold starts.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5.5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performance at concurrency 1, 5, 10, 25 and the proposed production concurrency, or explain supported alternatives.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5.6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hard and soft limits for requests per minute, tokens per minute, concurrent requests, daily quota and maximum burst.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5.7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Explain whether limits apply per key, user, tenant, IP, model, endpoint or account, and whether input and output tokens share one quota.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5.8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capacity reservation, committed throughput and the process / lead time for increasing limits.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5.9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the monthly availability SLA, measurement method, exclusions, maintenance treatment and service-credit schedule.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5.10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historical monthly availability and major incident history for the proposed service for the latest available 12 months.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5.11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Define planned maintenance windows, advance notice and whether maintenance can reduce capacity without counting as downtime.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5.12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Define severity levels, acknowledgement time, update frequency, target restoration time and root-cause-analysis delivery time.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5.13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overload behaviour, queue limits, admission control, 429 / 503 handling and protection from noisy neighbours.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5.14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whether a status page, incident subscription and customer-specific service-health feed are available.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160" w:after="80"/>
      </w:pPr>
      <w:r>
        <w:t>6. Pricing, Metering and Cost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rPr>
          <w:tblHeader w:val="true"/>
        </w:trPr>
        <w:tc>
          <w:tcPr>
            <w:tcW w:type="dxa" w:w="708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ID</w:t>
            </w:r>
          </w:p>
        </w:tc>
        <w:tc>
          <w:tcPr>
            <w:tcW w:type="dxa" w:w="6577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969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Supplier response</w:t>
            </w:r>
          </w:p>
        </w:tc>
        <w:tc>
          <w:tcPr>
            <w:tcW w:type="dxa" w:w="3742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Evidence / contract reference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6.1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unit price per one million input tokens and output tokens for the exact proposed model ID.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6.2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separate prices for reasoning tokens, cached reads, cache writes, image input, tool calls and batch inference.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6.3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whether failed, cancelled, timed-out, filtered or partially streamed requests are charged and how usage is calculated.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6.4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Explain rounding rules, minimum billable units and whether token counts are rounded per request or in aggregate.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6.5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volume tiers, committed-use discounts, reserved-capacity prices and overage rates.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6.6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a monthly worked example for low, expected and peak usage, showing every charge and assumption.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6.7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availability of near-real-time usage dashboards and machine-readable exports by model, key, project and cost centre.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6.8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budget alerts, hard spending caps, quota controls and the delay between consumption and reporting.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6.9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invoice dispute procedure, metering audit rights and retention period for detailed usage records.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6.10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List support, onboarding, network, private connectivity, storage, logging and professional-service charges not included in token prices.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6.11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the process and notice period for price changes, and whether the customer may terminate without penalty after a material increase.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160" w:after="80"/>
      </w:pPr>
      <w:r>
        <w:t>7. Data Protection, Security and Compliance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rPr>
          <w:tblHeader w:val="true"/>
        </w:trPr>
        <w:tc>
          <w:tcPr>
            <w:tcW w:type="dxa" w:w="708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ID</w:t>
            </w:r>
          </w:p>
        </w:tc>
        <w:tc>
          <w:tcPr>
            <w:tcW w:type="dxa" w:w="6577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969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Supplier response</w:t>
            </w:r>
          </w:p>
        </w:tc>
        <w:tc>
          <w:tcPr>
            <w:tcW w:type="dxa" w:w="3742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Evidence / contract reference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7.1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contractually that customer prompts, outputs, files and metadata are not used to train or improve any model unless the customer explicitly opts in in writing.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7.2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retention periods separately for prompts, outputs, uploaded files, abuse-monitoring copies, application logs, security logs, backups and billing metadata.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7.3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whether zero-retention or customer-configurable retention is available and identify any exceptions.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7.4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deletion, backup expiry and verifiable data-erasure procedures at request and contract termination.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7.5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Identify data controller / processor roles and provide the proposed Data Processing Agreement.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7.6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List all subprocessors, processing locations, data-transfer mechanisms and notification / objection rights for subprocessor changes.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7.7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whether any prompt, output or metadata crosses into Mainland China or another jurisdiction, including support and telemetry access.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7.8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encryption in transit standards and encryption at rest standards, including key ownership and customer-managed-key options.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7.9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tenant isolation, network segmentation, private connectivity, IP allowlisting, VPN / private link and egress controls.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7.10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RBAC, SSO / SAML / OIDC, MFA, administrative separation and least-privilege controls for the management portal.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7.11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audit-log contents, integrity, export method, retention and integration with customer SIEM.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7.12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secret management, API-key storage, rotation, revocation and controls preventing credentials from appearing in logs.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7.13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whether supplier personnel can access customer content, under what conditions, with what approval, logging and confidentiality controls.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7.14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current ISO 27001, ISO 27701, SOC 2 Type II, CSA STAR or equivalent certifications and scope statements.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7.15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vulnerability-management, penetration-testing, secure-development and dependency / model-supply-chain controls.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7.16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prompt-injection, data-exfiltration, abuse, malware and harmful-content protections, including controls that customers can configure.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7.17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security-incident notification time, investigation / evidence commitments, regulatory cooperation and liability provisions.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7.18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business continuity, disaster recovery, backup, RTO and RPO for control plane, inference service and customer configuration.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7.19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governing law, regulatory-access handling and the process for responding to government or law-enforcement requests.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7.20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the customer's rights to export configurations, usage logs and relevant data in a usable format before termination.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160" w:after="80"/>
      </w:pPr>
      <w:r>
        <w:t>8. Support and Operating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rPr>
          <w:tblHeader w:val="true"/>
        </w:trPr>
        <w:tc>
          <w:tcPr>
            <w:tcW w:type="dxa" w:w="708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ID</w:t>
            </w:r>
          </w:p>
        </w:tc>
        <w:tc>
          <w:tcPr>
            <w:tcW w:type="dxa" w:w="6577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969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Supplier response</w:t>
            </w:r>
          </w:p>
        </w:tc>
        <w:tc>
          <w:tcPr>
            <w:tcW w:type="dxa" w:w="3742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Evidence / contract reference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8.1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included support tier, support hours, languages, channels and Hong Kong public-holiday coverage.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8.2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named escalation routes for technical, security, commercial and service-management issues.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8.3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State response and restoration targets by severity and whether 24x7 support is available for Severity 1 incidents.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8.4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onboarding, solution architecture, performance tuning and migration support included in the proposal.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8.5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release-note, breaking-change and model-behaviour-change notification mechanisms.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8.6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change management for API schema, safety policy, model checkpoint, quantisation, runtime and infrastructure changes.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8.7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Confirm access to non-production / sandbox environments and whether their limits, model and behaviour match production.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8.8</w:t>
            </w:r>
          </w:p>
        </w:tc>
        <w:tc>
          <w:tcPr>
            <w:tcW w:type="dxa" w:w="657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Provide the service review cadence and reports covering availability, latency, incidents, capacity, usage and cost.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  <w:tr>
        <w:tc>
          <w:tcPr>
            <w:tcW w:type="dxa" w:w="70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4"/>
              </w:rPr>
              <w:t>8.9</w:t>
            </w:r>
          </w:p>
        </w:tc>
        <w:tc>
          <w:tcPr>
            <w:tcW w:type="dxa" w:w="657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Describe exit assistance, data return / deletion, configuration export and migration support at contract end.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Supplier to complete</w:t>
            </w:r>
          </w:p>
        </w:tc>
        <w:tc>
          <w:tcPr>
            <w:tcW w:type="dxa" w:w="374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4"/>
              </w:rPr>
              <w:t>Attach evidence or cite contract / SLA clause</w:t>
            </w:r>
          </w:p>
        </w:tc>
      </w:tr>
    </w:tbl>
    <w:p>
      <w:pPr>
        <w:spacing w:after="0"/>
      </w:pPr>
    </w:p>
    <w:p>
      <w:pPr>
        <w:sectPr>
          <w:headerReference w:type="default" r:id="rId11"/>
          <w:footerReference w:type="default" r:id="rId12"/>
          <w:pgSz w:w="16838" w:h="11906" w:orient="landscape"/>
          <w:pgMar w:top="652" w:right="680" w:bottom="652" w:left="680" w:header="720" w:footer="720" w:gutter="0"/>
          <w:cols w:space="720"/>
          <w:docGrid w:linePitch="360"/>
        </w:sectPr>
      </w:pPr>
    </w:p>
    <w:p>
      <w:pPr>
        <w:pStyle w:val="Heading1"/>
        <w:keepNext/>
        <w:spacing w:before="160" w:after="80"/>
      </w:pPr>
      <w:r>
        <w:t>9. Proposed Trial and Acceptance Plan</w:t>
      </w:r>
    </w:p>
    <w:p>
      <w:pPr>
        <w:spacing w:after="100" w:line="259" w:lineRule="auto"/>
      </w:pPr>
      <w:r>
        <w:t>The final test profiles and thresholds must be frozen jointly before execution. The trial should use the exact production-intended model ID and region, with raw request IDs and usage records retained in redacted form.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rPr>
          <w:tblHeader w:val="true"/>
        </w:trPr>
        <w:tc>
          <w:tcPr>
            <w:tcW w:type="dxa" w:w="1871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989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Proposed test</w:t>
            </w:r>
          </w:p>
        </w:tc>
        <w:tc>
          <w:tcPr>
            <w:tcW w:type="dxa" w:w="3969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4167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Pass criterion to freeze before trial</w:t>
            </w:r>
          </w:p>
        </w:tc>
      </w:tr>
      <w:tr>
        <w:tc>
          <w:tcPr>
            <w:tcW w:type="dxa" w:w="187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Identity canary</w:t>
            </w:r>
          </w:p>
        </w:tc>
        <w:tc>
          <w:tcPr>
            <w:tcW w:type="dxa" w:w="498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Call the model catalogue and a minimal deterministic prompt.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Model catalogue, response model field, request ID</w:t>
            </w:r>
          </w:p>
        </w:tc>
        <w:tc>
          <w:tcPr>
            <w:tcW w:type="dxa" w:w="416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Exact endpoint and checkpoint are identifiable; no silent substitution.</w:t>
            </w:r>
          </w:p>
        </w:tc>
      </w:tr>
      <w:tr>
        <w:tc>
          <w:tcPr>
            <w:tcW w:type="dxa" w:w="187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API compatibility</w:t>
            </w:r>
          </w:p>
        </w:tc>
        <w:tc>
          <w:tcPr>
            <w:tcW w:type="dxa" w:w="498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Exercise streaming, non-streaming, system prompt, structured output and tool calling.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Request / response samples and automated contract tests</w:t>
            </w:r>
          </w:p>
        </w:tc>
        <w:tc>
          <w:tcPr>
            <w:tcW w:type="dxa" w:w="416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Required fields work; unsupported fields are documented; errors are stable.</w:t>
            </w:r>
          </w:p>
        </w:tc>
      </w:tr>
      <w:tr>
        <w:tc>
          <w:tcPr>
            <w:tcW w:type="dxa" w:w="187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Token accounting</w:t>
            </w:r>
          </w:p>
        </w:tc>
        <w:tc>
          <w:tcPr>
            <w:tcW w:type="dxa" w:w="498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Run pre-counted prompts with output caps, reasoning and cache where offered.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Tokenizer count, raw usage JSON and bill calculation</w:t>
            </w:r>
          </w:p>
        </w:tc>
        <w:tc>
          <w:tcPr>
            <w:tcW w:type="dxa" w:w="416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Usage is explainable and reconciles to quoted prices within agreed tolerance.</w:t>
            </w:r>
          </w:p>
        </w:tc>
      </w:tr>
      <w:tr>
        <w:tc>
          <w:tcPr>
            <w:tcW w:type="dxa" w:w="187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Short workload</w:t>
            </w:r>
          </w:p>
        </w:tc>
        <w:tc>
          <w:tcPr>
            <w:tcW w:type="dxa" w:w="498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Approximately 1k input tokens and 256 output tokens at concurrency 1 and 10.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TTFT, TPOT, output TPS, E2E P50/P95/P99</w:t>
            </w:r>
          </w:p>
        </w:tc>
        <w:tc>
          <w:tcPr>
            <w:tcW w:type="dxa" w:w="416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Thresholds agreed after supplier baseline; no hidden queue exclusion.</w:t>
            </w:r>
          </w:p>
        </w:tc>
      </w:tr>
      <w:tr>
        <w:tc>
          <w:tcPr>
            <w:tcW w:type="dxa" w:w="187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Medium workload</w:t>
            </w:r>
          </w:p>
        </w:tc>
        <w:tc>
          <w:tcPr>
            <w:tcW w:type="dxa" w:w="498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Approximately 16k input tokens and 1k output tokens at representative concurrency.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Same metrics plus errors and throttling</w:t>
            </w:r>
          </w:p>
        </w:tc>
        <w:tc>
          <w:tcPr>
            <w:tcW w:type="dxa" w:w="416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Performance and error rate meet agreed business target.</w:t>
            </w:r>
          </w:p>
        </w:tc>
      </w:tr>
      <w:tr>
        <w:tc>
          <w:tcPr>
            <w:tcW w:type="dxa" w:w="187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Long-context workload</w:t>
            </w:r>
          </w:p>
        </w:tc>
        <w:tc>
          <w:tcPr>
            <w:tcW w:type="dxa" w:w="498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Representative 64k+ input and, only if offered, extended-context test.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Accuracy checks, latency, memory / limit errors and cost</w:t>
            </w:r>
          </w:p>
        </w:tc>
        <w:tc>
          <w:tcPr>
            <w:tcW w:type="dxa" w:w="416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No silent truncation; declared limit and quality trade-off are confirmed.</w:t>
            </w:r>
          </w:p>
        </w:tc>
      </w:tr>
      <w:tr>
        <w:tc>
          <w:tcPr>
            <w:tcW w:type="dxa" w:w="187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Load and throttling</w:t>
            </w:r>
          </w:p>
        </w:tc>
        <w:tc>
          <w:tcPr>
            <w:tcW w:type="dxa" w:w="498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Ramp concurrency and token rate through expected and peak levels.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429 / 503 rate, Retry-After, recovery and capacity graphs</w:t>
            </w:r>
          </w:p>
        </w:tc>
        <w:tc>
          <w:tcPr>
            <w:tcW w:type="dxa" w:w="416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Limits match contract; graceful overload; no sustained cross-tenant degradation.</w:t>
            </w:r>
          </w:p>
        </w:tc>
      </w:tr>
      <w:tr>
        <w:tc>
          <w:tcPr>
            <w:tcW w:type="dxa" w:w="187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Reliability</w:t>
            </w:r>
          </w:p>
        </w:tc>
        <w:tc>
          <w:tcPr>
            <w:tcW w:type="dxa" w:w="498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Repeat frozen task set across multiple days and time bands.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Success rate, error classes, retry count and latency distribution</w:t>
            </w:r>
          </w:p>
        </w:tc>
        <w:tc>
          <w:tcPr>
            <w:tcW w:type="dxa" w:w="416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Agreed success and error-rate targets are met, not only average latency.</w:t>
            </w:r>
          </w:p>
        </w:tc>
      </w:tr>
      <w:tr>
        <w:tc>
          <w:tcPr>
            <w:tcW w:type="dxa" w:w="187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Quality</w:t>
            </w:r>
          </w:p>
        </w:tc>
        <w:tc>
          <w:tcPr>
            <w:tcW w:type="dxa" w:w="498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Use a fixed internal prompt set with objective checks and blinded human review.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Expected answers, rubric, reviewer notes and failure examples</w:t>
            </w:r>
          </w:p>
        </w:tc>
        <w:tc>
          <w:tcPr>
            <w:tcW w:type="dxa" w:w="416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Mandatory task gates pass; score is reproducible for the frozen version.</w:t>
            </w:r>
          </w:p>
        </w:tc>
      </w:tr>
      <w:tr>
        <w:tc>
          <w:tcPr>
            <w:tcW w:type="dxa" w:w="187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Security</w:t>
            </w:r>
          </w:p>
        </w:tc>
        <w:tc>
          <w:tcPr>
            <w:tcW w:type="dxa" w:w="498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Verify key scope / revocation, access controls, redacted logs and prohibited data handling.</w:t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Portal screenshots, audit export and supplier confirmation</w:t>
            </w:r>
          </w:p>
        </w:tc>
        <w:tc>
          <w:tcPr>
            <w:tcW w:type="dxa" w:w="416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No secret leakage; required controls and contractual data terms are in place.</w:t>
            </w:r>
          </w:p>
        </w:tc>
      </w:tr>
      <w:tr>
        <w:tc>
          <w:tcPr>
            <w:tcW w:type="dxa" w:w="187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Cost</w:t>
            </w:r>
          </w:p>
        </w:tc>
        <w:tc>
          <w:tcPr>
            <w:tcW w:type="dxa" w:w="498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Reconcile trial usage at low, expected and peak profiles.</w:t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Usage export and shadow invoice</w:t>
            </w:r>
          </w:p>
        </w:tc>
        <w:tc>
          <w:tcPr>
            <w:tcW w:type="dxa" w:w="416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No unexplained charge category; forecast is within approved budget envelope.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100" w:after="80"/>
      </w:pPr>
      <w:r>
        <w:t>9.1 Trial controls</w:t>
      </w:r>
    </w:p>
    <w:p>
      <w:pPr>
        <w:pStyle w:val="ListBullet"/>
        <w:spacing w:after="40" w:line="247" w:lineRule="auto"/>
      </w:pPr>
      <w:r>
        <w:t>Use synthetic or approved non-sensitive data until the DPA and security review are complete.</w:t>
      </w:r>
    </w:p>
    <w:p>
      <w:pPr>
        <w:pStyle w:val="ListBullet"/>
        <w:spacing w:after="40" w:line="247" w:lineRule="auto"/>
      </w:pPr>
      <w:r>
        <w:t>Freeze prompt versions, model ID, parameters, concurrency, endpoint region and test code commit.</w:t>
      </w:r>
    </w:p>
    <w:p>
      <w:pPr>
        <w:pStyle w:val="ListBullet"/>
        <w:spacing w:after="40" w:line="247" w:lineRule="auto"/>
      </w:pPr>
      <w:r>
        <w:t>Capture timestamps, HTTP status, request ID, usage fields, retry count and client-observed latency for every request.</w:t>
      </w:r>
    </w:p>
    <w:p>
      <w:pPr>
        <w:pStyle w:val="ListBullet"/>
        <w:spacing w:after="40" w:line="247" w:lineRule="auto"/>
      </w:pPr>
      <w:r>
        <w:t>Report mean only as a secondary statistic; primary latency views are P50, P95 and P99 with sample size.</w:t>
      </w:r>
    </w:p>
    <w:p>
      <w:pPr>
        <w:pStyle w:val="ListBullet"/>
        <w:spacing w:after="40" w:line="247" w:lineRule="auto"/>
      </w:pPr>
      <w:r>
        <w:t>Do not compare a dedicated trial endpoint with a shared production proposal unless the difference is declared and quantified.</w:t>
      </w:r>
    </w:p>
    <w:p>
      <w:pPr>
        <w:sectPr>
          <w:headerReference w:type="default" r:id="rId13"/>
          <w:footerReference w:type="default" r:id="rId14"/>
          <w:pgSz w:w="16838" w:h="11906" w:orient="landscape"/>
          <w:pgMar w:top="652" w:right="680" w:bottom="652" w:left="680" w:header="720" w:footer="720" w:gutter="0"/>
          <w:cols w:space="720"/>
          <w:docGrid w:linePitch="360"/>
        </w:sectPr>
      </w:pPr>
    </w:p>
    <w:p>
      <w:pPr>
        <w:pStyle w:val="Heading1"/>
        <w:keepNext/>
        <w:spacing w:before="160" w:after="80"/>
      </w:pPr>
      <w:r>
        <w:t>10. Commercial Schedule Template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rPr>
          <w:tblHeader w:val="true"/>
        </w:trPr>
        <w:tc>
          <w:tcPr>
            <w:tcW w:type="dxa" w:w="2835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Charge item</w:t>
            </w:r>
          </w:p>
        </w:tc>
        <w:tc>
          <w:tcPr>
            <w:tcW w:type="dxa" w:w="2551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Unit</w:t>
            </w:r>
          </w:p>
        </w:tc>
        <w:tc>
          <w:tcPr>
            <w:tcW w:type="dxa" w:w="2381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Supplier price</w:t>
            </w:r>
          </w:p>
        </w:tc>
        <w:tc>
          <w:tcPr>
            <w:tcW w:type="dxa" w:w="3175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Commitment / tier</w:t>
            </w:r>
          </w:p>
        </w:tc>
        <w:tc>
          <w:tcPr>
            <w:tcW w:type="dxa" w:w="3969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Notes and exclusions</w:t>
            </w:r>
          </w:p>
        </w:tc>
      </w:tr>
      <w:tr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Input tokens</w:t>
            </w:r>
          </w:p>
        </w:tc>
        <w:tc>
          <w:tcPr>
            <w:tcW w:type="dxa" w:w="255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HKD or USD per 1M tokens</w:t>
            </w:r>
          </w:p>
        </w:tc>
        <w:tc>
          <w:tcPr>
            <w:tcW w:type="dxa" w:w="238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17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Exact model ID required</w:t>
            </w:r>
          </w:p>
        </w:tc>
      </w:tr>
      <w:tr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Output tokens</w:t>
            </w:r>
          </w:p>
        </w:tc>
        <w:tc>
          <w:tcPr>
            <w:tcW w:type="dxa" w:w="255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HKD or USD per 1M tokens</w:t>
            </w:r>
          </w:p>
        </w:tc>
        <w:tc>
          <w:tcPr>
            <w:tcW w:type="dxa" w:w="238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17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Reasoning tokens</w:t>
            </w:r>
          </w:p>
        </w:tc>
        <w:tc>
          <w:tcPr>
            <w:tcW w:type="dxa" w:w="255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Per 1M tokens / included</w:t>
            </w:r>
          </w:p>
        </w:tc>
        <w:tc>
          <w:tcPr>
            <w:tcW w:type="dxa" w:w="238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17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Visibility and billing rule</w:t>
            </w:r>
          </w:p>
        </w:tc>
      </w:tr>
      <w:tr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Prompt-cache read</w:t>
            </w:r>
          </w:p>
        </w:tc>
        <w:tc>
          <w:tcPr>
            <w:tcW w:type="dxa" w:w="255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Per 1M cached tokens</w:t>
            </w:r>
          </w:p>
        </w:tc>
        <w:tc>
          <w:tcPr>
            <w:tcW w:type="dxa" w:w="238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17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TTL / eligibility</w:t>
            </w:r>
          </w:p>
        </w:tc>
      </w:tr>
      <w:tr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Prompt-cache write</w:t>
            </w:r>
          </w:p>
        </w:tc>
        <w:tc>
          <w:tcPr>
            <w:tcW w:type="dxa" w:w="255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Per 1M tokens</w:t>
            </w:r>
          </w:p>
        </w:tc>
        <w:tc>
          <w:tcPr>
            <w:tcW w:type="dxa" w:w="238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17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Image input</w:t>
            </w:r>
          </w:p>
        </w:tc>
        <w:tc>
          <w:tcPr>
            <w:tcW w:type="dxa" w:w="255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Per image / token equivalent</w:t>
            </w:r>
          </w:p>
        </w:tc>
        <w:tc>
          <w:tcPr>
            <w:tcW w:type="dxa" w:w="238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17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Resolution / tile rule</w:t>
            </w:r>
          </w:p>
        </w:tc>
      </w:tr>
      <w:tr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Batch inference</w:t>
            </w:r>
          </w:p>
        </w:tc>
        <w:tc>
          <w:tcPr>
            <w:tcW w:type="dxa" w:w="255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Per 1M tokens</w:t>
            </w:r>
          </w:p>
        </w:tc>
        <w:tc>
          <w:tcPr>
            <w:tcW w:type="dxa" w:w="238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17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Turnaround target</w:t>
            </w:r>
          </w:p>
        </w:tc>
      </w:tr>
      <w:tr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Reserved capacity</w:t>
            </w:r>
          </w:p>
        </w:tc>
        <w:tc>
          <w:tcPr>
            <w:tcW w:type="dxa" w:w="255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Monthly / throughput unit</w:t>
            </w:r>
          </w:p>
        </w:tc>
        <w:tc>
          <w:tcPr>
            <w:tcW w:type="dxa" w:w="238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17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Guaranteed capacity</w:t>
            </w:r>
          </w:p>
        </w:tc>
      </w:tr>
      <w:tr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Platform / minimum fee</w:t>
            </w:r>
          </w:p>
        </w:tc>
        <w:tc>
          <w:tcPr>
            <w:tcW w:type="dxa" w:w="255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Monthly</w:t>
            </w:r>
          </w:p>
        </w:tc>
        <w:tc>
          <w:tcPr>
            <w:tcW w:type="dxa" w:w="238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17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Implementation</w:t>
            </w:r>
          </w:p>
        </w:tc>
        <w:tc>
          <w:tcPr>
            <w:tcW w:type="dxa" w:w="255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One-off</w:t>
            </w:r>
          </w:p>
        </w:tc>
        <w:tc>
          <w:tcPr>
            <w:tcW w:type="dxa" w:w="238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17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Deliverables</w:t>
            </w:r>
          </w:p>
        </w:tc>
      </w:tr>
      <w:tr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Support</w:t>
            </w:r>
          </w:p>
        </w:tc>
        <w:tc>
          <w:tcPr>
            <w:tcW w:type="dxa" w:w="255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Monthly / annual</w:t>
            </w:r>
          </w:p>
        </w:tc>
        <w:tc>
          <w:tcPr>
            <w:tcW w:type="dxa" w:w="238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17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Coverage and severity</w:t>
            </w:r>
          </w:p>
        </w:tc>
      </w:tr>
      <w:tr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Private connectivity</w:t>
            </w:r>
          </w:p>
        </w:tc>
        <w:tc>
          <w:tcPr>
            <w:tcW w:type="dxa" w:w="255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Monthly / one-off</w:t>
            </w:r>
          </w:p>
        </w:tc>
        <w:tc>
          <w:tcPr>
            <w:tcW w:type="dxa" w:w="238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17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969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Other</w:t>
            </w:r>
          </w:p>
        </w:tc>
        <w:tc>
          <w:tcPr>
            <w:tcW w:type="dxa" w:w="255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Specify</w:t>
            </w:r>
          </w:p>
        </w:tc>
        <w:tc>
          <w:tcPr>
            <w:tcW w:type="dxa" w:w="238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17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969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  <w:t>No unlisted charge accepted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160" w:after="80"/>
      </w:pPr>
      <w:r>
        <w:t>11. SLA Schedule Template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rPr>
          <w:tblHeader w:val="true"/>
        </w:trPr>
        <w:tc>
          <w:tcPr>
            <w:tcW w:type="dxa" w:w="2948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Service indicator</w:t>
            </w:r>
          </w:p>
        </w:tc>
        <w:tc>
          <w:tcPr>
            <w:tcW w:type="dxa" w:w="2835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Supplier commitment</w:t>
            </w:r>
          </w:p>
        </w:tc>
        <w:tc>
          <w:tcPr>
            <w:tcW w:type="dxa" w:w="3515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Measurement method</w:t>
            </w:r>
          </w:p>
        </w:tc>
        <w:tc>
          <w:tcPr>
            <w:tcW w:type="dxa" w:w="2835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Exclusions</w:t>
            </w:r>
          </w:p>
        </w:tc>
        <w:tc>
          <w:tcPr>
            <w:tcW w:type="dxa" w:w="2778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Remedy / credit</w:t>
            </w:r>
          </w:p>
        </w:tc>
      </w:tr>
      <w:tr>
        <w:tc>
          <w:tcPr>
            <w:tcW w:type="dxa" w:w="294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Monthly availability</w:t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51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77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294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P95 TTFT — agreed profile</w:t>
            </w:r>
          </w:p>
        </w:tc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51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77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294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P99 TTFT — agreed profile</w:t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51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77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294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P95 end-to-end latency</w:t>
            </w:r>
          </w:p>
        </w:tc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51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77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294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Minimum output throughput</w:t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51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77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294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Committed RPM / TPM / concurrency</w:t>
            </w:r>
          </w:p>
        </w:tc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51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77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294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Severity 1 acknowledgement</w:t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51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77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294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Severity 1 restoration target</w:t>
            </w:r>
          </w:p>
        </w:tc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51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77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294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Security incident notification</w:t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51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77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294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Model / API breaking-change notice</w:t>
            </w:r>
          </w:p>
        </w:tc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51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77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294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Model deprecation notice</w:t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51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77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</w:tbl>
    <w:p>
      <w:pPr>
        <w:spacing w:after="0"/>
      </w:pPr>
    </w:p>
    <w:p>
      <w:pPr>
        <w:sectPr>
          <w:headerReference w:type="default" r:id="rId15"/>
          <w:footerReference w:type="default" r:id="rId16"/>
          <w:pgSz w:w="16838" w:h="11906" w:orient="landscape"/>
          <w:pgMar w:top="652" w:right="680" w:bottom="652" w:left="680" w:header="720" w:footer="720" w:gutter="0"/>
          <w:cols w:space="720"/>
          <w:docGrid w:linePitch="360"/>
        </w:sectPr>
      </w:pPr>
    </w:p>
    <w:p>
      <w:pPr>
        <w:pStyle w:val="Heading1"/>
        <w:keepNext/>
        <w:spacing w:before="160" w:after="80"/>
      </w:pPr>
      <w:r>
        <w:t>12. Clarification and Deviation 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580"/>
        <w:gridCol w:w="2580"/>
        <w:gridCol w:w="2580"/>
      </w:tblGrid>
      <w:tr>
        <w:trPr>
          <w:tblHeader w:val="true"/>
        </w:trPr>
        <w:tc>
          <w:tcPr>
            <w:tcW w:type="dxa" w:w="793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Ref</w:t>
            </w:r>
          </w:p>
        </w:tc>
        <w:tc>
          <w:tcPr>
            <w:tcW w:type="dxa" w:w="3402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Question / requirement</w:t>
            </w:r>
          </w:p>
        </w:tc>
        <w:tc>
          <w:tcPr>
            <w:tcW w:type="dxa" w:w="3231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Supplier deviation</w:t>
            </w:r>
          </w:p>
        </w:tc>
        <w:tc>
          <w:tcPr>
            <w:tcW w:type="dxa" w:w="3231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Risk / impact</w:t>
            </w:r>
          </w:p>
        </w:tc>
        <w:tc>
          <w:tcPr>
            <w:tcW w:type="dxa" w:w="1814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2438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Resolution / due date</w:t>
            </w:r>
          </w:p>
        </w:tc>
      </w:tr>
      <w:tr>
        <w:tc>
          <w:tcPr>
            <w:tcW w:type="dxa" w:w="793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D-01</w:t>
            </w:r>
          </w:p>
        </w:tc>
        <w:tc>
          <w:tcPr>
            <w:tcW w:type="dxa" w:w="340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23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23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1814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43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793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D-02</w:t>
            </w:r>
          </w:p>
        </w:tc>
        <w:tc>
          <w:tcPr>
            <w:tcW w:type="dxa" w:w="340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23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23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1814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43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793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D-03</w:t>
            </w:r>
          </w:p>
        </w:tc>
        <w:tc>
          <w:tcPr>
            <w:tcW w:type="dxa" w:w="340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23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23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1814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43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793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D-04</w:t>
            </w:r>
          </w:p>
        </w:tc>
        <w:tc>
          <w:tcPr>
            <w:tcW w:type="dxa" w:w="340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23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23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1814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43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793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D-05</w:t>
            </w:r>
          </w:p>
        </w:tc>
        <w:tc>
          <w:tcPr>
            <w:tcW w:type="dxa" w:w="3402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23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23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1814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43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  <w:tr>
        <w:tc>
          <w:tcPr>
            <w:tcW w:type="dxa" w:w="793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5"/>
              </w:rPr>
              <w:t>D-06</w:t>
            </w:r>
          </w:p>
        </w:tc>
        <w:tc>
          <w:tcPr>
            <w:tcW w:type="dxa" w:w="3402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23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323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1814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  <w:tc>
          <w:tcPr>
            <w:tcW w:type="dxa" w:w="243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5"/>
              </w:rPr>
            </w:r>
          </w:p>
        </w:tc>
      </w:tr>
    </w:tbl>
    <w:p>
      <w:pPr>
        <w:spacing w:after="0"/>
      </w:pPr>
    </w:p>
    <w:p>
      <w:pPr>
        <w:pStyle w:val="Heading1"/>
        <w:keepNext/>
        <w:spacing w:before="160" w:after="80"/>
      </w:pPr>
      <w:r>
        <w:t>13. Internal Review and Sign-off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rPr>
          <w:tblHeader w:val="true"/>
        </w:trPr>
        <w:tc>
          <w:tcPr>
            <w:tcW w:type="dxa" w:w="2948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Review area</w:t>
            </w:r>
          </w:p>
        </w:tc>
        <w:tc>
          <w:tcPr>
            <w:tcW w:type="dxa" w:w="2835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Reviewer / function</w:t>
            </w:r>
          </w:p>
        </w:tc>
        <w:tc>
          <w:tcPr>
            <w:tcW w:type="dxa" w:w="1701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Outcome</w:t>
            </w:r>
          </w:p>
        </w:tc>
        <w:tc>
          <w:tcPr>
            <w:tcW w:type="dxa" w:w="5103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Conditions / open risks</w:t>
            </w:r>
          </w:p>
        </w:tc>
        <w:tc>
          <w:tcPr>
            <w:tcW w:type="dxa" w:w="1757"/>
            <w:shd w:val="clear" w:fill="003531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</w:tr>
      <w:tr>
        <w:tc>
          <w:tcPr>
            <w:tcW w:type="dxa" w:w="294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6"/>
              </w:rPr>
              <w:t>Technical architecture and API</w:t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  <w:tc>
          <w:tcPr>
            <w:tcW w:type="dxa" w:w="170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Pending</w:t>
            </w:r>
          </w:p>
        </w:tc>
        <w:tc>
          <w:tcPr>
            <w:tcW w:type="dxa" w:w="5103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  <w:tc>
          <w:tcPr>
            <w:tcW w:type="dxa" w:w="175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</w:tr>
      <w:tr>
        <w:tc>
          <w:tcPr>
            <w:tcW w:type="dxa" w:w="294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6"/>
              </w:rPr>
              <w:t>Performance and capacity</w:t>
            </w:r>
          </w:p>
        </w:tc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  <w:tc>
          <w:tcPr>
            <w:tcW w:type="dxa" w:w="170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Pending</w:t>
            </w:r>
          </w:p>
        </w:tc>
        <w:tc>
          <w:tcPr>
            <w:tcW w:type="dxa" w:w="5103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  <w:tc>
          <w:tcPr>
            <w:tcW w:type="dxa" w:w="175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</w:tr>
      <w:tr>
        <w:tc>
          <w:tcPr>
            <w:tcW w:type="dxa" w:w="294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6"/>
              </w:rPr>
              <w:t>Information security</w:t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  <w:tc>
          <w:tcPr>
            <w:tcW w:type="dxa" w:w="170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Pending</w:t>
            </w:r>
          </w:p>
        </w:tc>
        <w:tc>
          <w:tcPr>
            <w:tcW w:type="dxa" w:w="5103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  <w:tc>
          <w:tcPr>
            <w:tcW w:type="dxa" w:w="175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</w:tr>
      <w:tr>
        <w:tc>
          <w:tcPr>
            <w:tcW w:type="dxa" w:w="294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6"/>
              </w:rPr>
              <w:t>Privacy / data protection</w:t>
            </w:r>
          </w:p>
        </w:tc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  <w:tc>
          <w:tcPr>
            <w:tcW w:type="dxa" w:w="170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Pending</w:t>
            </w:r>
          </w:p>
        </w:tc>
        <w:tc>
          <w:tcPr>
            <w:tcW w:type="dxa" w:w="5103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  <w:tc>
          <w:tcPr>
            <w:tcW w:type="dxa" w:w="175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</w:tr>
      <w:tr>
        <w:tc>
          <w:tcPr>
            <w:tcW w:type="dxa" w:w="294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6"/>
              </w:rPr>
              <w:t>Legal / contract</w:t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  <w:tc>
          <w:tcPr>
            <w:tcW w:type="dxa" w:w="170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Pending</w:t>
            </w:r>
          </w:p>
        </w:tc>
        <w:tc>
          <w:tcPr>
            <w:tcW w:type="dxa" w:w="5103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  <w:tc>
          <w:tcPr>
            <w:tcW w:type="dxa" w:w="175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</w:tr>
      <w:tr>
        <w:tc>
          <w:tcPr>
            <w:tcW w:type="dxa" w:w="2948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6"/>
              </w:rPr>
              <w:t>Commercial / procurement</w:t>
            </w:r>
          </w:p>
        </w:tc>
        <w:tc>
          <w:tcPr>
            <w:tcW w:type="dxa" w:w="2835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  <w:tc>
          <w:tcPr>
            <w:tcW w:type="dxa" w:w="1701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Pending</w:t>
            </w:r>
          </w:p>
        </w:tc>
        <w:tc>
          <w:tcPr>
            <w:tcW w:type="dxa" w:w="5103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  <w:tc>
          <w:tcPr>
            <w:tcW w:type="dxa" w:w="1757"/>
            <w:shd w:val="clear" w:fill="F7F7F7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</w:tr>
      <w:tr>
        <w:tc>
          <w:tcPr>
            <w:tcW w:type="dxa" w:w="2948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333333"/>
                <w:sz w:val="16"/>
              </w:rPr>
              <w:t>Business owner</w:t>
            </w:r>
          </w:p>
        </w:tc>
        <w:tc>
          <w:tcPr>
            <w:tcW w:type="dxa" w:w="2835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  <w:tc>
          <w:tcPr>
            <w:tcW w:type="dxa" w:w="1701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  <w:t>Pending</w:t>
            </w:r>
          </w:p>
        </w:tc>
        <w:tc>
          <w:tcPr>
            <w:tcW w:type="dxa" w:w="5103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  <w:tc>
          <w:tcPr>
            <w:tcW w:type="dxa" w:w="1757"/>
            <w:shd w:val="clear" w:fill="FFFFFF"/>
            <w:tcMar>
              <w:top w:w="70" w:type="dxa"/>
              <w:start w:w="85" w:type="dxa"/>
              <w:bottom w:w="70" w:type="dxa"/>
              <w:end w:w="85" w:type="dxa"/>
            </w:tcMar>
            <w:vAlign w:val="top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333333"/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val="clear" w:fill="FFF2EA"/>
            <w:tcMar>
              <w:top w:w="140" w:type="dxa"/>
              <w:start w:w="170" w:type="dxa"/>
              <w:bottom w:w="140" w:type="dxa"/>
              <w:end w:w="170" w:type="dxa"/>
            </w:tcMar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B15315"/>
                <w:sz w:val="22"/>
              </w:rPr>
              <w:t>Document status</w:t>
              <w:br/>
            </w:r>
            <w:r>
              <w:rPr>
                <w:rFonts w:ascii="Arial" w:hAnsi="Arial"/>
                <w:color w:val="333333"/>
                <w:sz w:val="18"/>
              </w:rPr>
              <w:t>This questionnaire is a due-diligence working document. A completed response does not itself constitute contract acceptance, security approval or authority to process production data.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17"/>
      <w:footerReference w:type="default" r:id="rId18"/>
      <w:pgSz w:w="16838" w:h="11906" w:orient="landscape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" w:hAnsi="Arial"/>
        <w:sz w:val="16"/>
      </w:rPr>
      <w:t xml:space="preserve">Page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" w:hAnsi="Arial"/>
        <w:sz w:val="16"/>
      </w:rPr>
      <w:t xml:space="preserve">Page </w:t>
    </w:r>
    <w:fldSimple w:instr="PAGE"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" w:hAnsi="Arial"/>
        <w:sz w:val="16"/>
      </w:rPr>
      <w:t xml:space="preserve">Page </w:t>
    </w:r>
    <w:fldSimple w:instr="PAGE"/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" w:hAnsi="Arial"/>
        <w:sz w:val="16"/>
      </w:rPr>
      <w:t xml:space="preserve">Page </w:t>
    </w: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" w:hAnsi="Arial"/>
        <w:sz w:val="16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6C757D"/>
        <w:sz w:val="16"/>
      </w:rPr>
      <w:t>HKBN QWEN MODEL API · PROCUREMENT Q&amp;A · DRAFT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6C757D"/>
        <w:sz w:val="16"/>
      </w:rPr>
      <w:t>HKBN QWEN MODEL API · SUPPLIER QUESTIONNAIRE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6C757D"/>
        <w:sz w:val="16"/>
      </w:rPr>
      <w:t>HKBN QWEN MODEL API · TRIAL AND ACCEPTANCE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6C757D"/>
        <w:sz w:val="16"/>
      </w:rPr>
      <w:t>HKBN QWEN MODEL API · COMMERCIAL AND SLA SCHEDULES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6C757D"/>
        <w:sz w:val="16"/>
      </w:rPr>
      <w:t>HKBN QWEN MODEL API · RISK AND SIGN-OFF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35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6A6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B1531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3531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rial" w:hAnsi="Arial"/>
      <w:color w:val="6C757D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HKBN Qwen Model API Vendor Due-Diligence Q&amp;A</dc:title>
  <dc:subject>Technical, commercial, performance, security and trial questionnaire</dc:subject>
  <dc:creator>Internal AI Platform Team</dc:creator>
  <cp:keywords>HKBN, Qwen, API, procurement, SLA, security, vendor due diligence</cp:keywords>
  <dc:description>Draft questionnaire; contains no credentials or production secrets.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