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b/>
          <w:color w:val="0891B2"/>
          <w:sz w:val="22"/>
        </w:rPr>
        <w:t>AI DEVELOPMENT WORKSPACE PLATFORM</w:t>
      </w:r>
    </w:p>
    <w:p>
      <w:pPr>
        <w:pStyle w:val="Title"/>
      </w:pPr>
      <w:r>
        <w:t>Vibe-Code Platform</w:t>
        <w:br/>
        <w:t>Final Production Architecture &amp; Delivery Plan</w:t>
      </w:r>
    </w:p>
    <w:p>
      <w:pPr>
        <w:spacing w:after="440"/>
      </w:pPr>
      <w:r>
        <w:rPr>
          <w:color w:val="475569"/>
          <w:sz w:val="30"/>
        </w:rPr>
        <w:t>Hong Kong production topology, scaling, user-data placement, staged roadmap and Stage 0 decision package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val="clear" w:fill="ECFEFF"/>
          </w:tcPr>
          <w:p>
            <w:pPr>
              <w:pStyle w:val="Callout"/>
            </w:pPr>
            <w:r>
              <w:t>Production-grade platform. Proof-of-concept applications. Reviewed IT handover is the only supported path into enterprise delivery.</w:t>
            </w:r>
          </w:p>
        </w:tc>
      </w:tr>
    </w:tbl>
    <w:p>
      <w:pPr>
        <w:spacing w:after="0"/>
      </w:pPr>
    </w:p>
    <w:p>
      <w:pPr>
        <w:pStyle w:val="Heading2"/>
      </w:pPr>
      <w:r>
        <w:t>Purpose</w:t>
      </w:r>
    </w:p>
    <w:p>
      <w:r>
        <w:t>Provide a pragmatic architecture and investment sequence for a freedom-first internal Vibe-Code platform. The design prioritises a complete user journey, isolation, portability, traceability and operational reality over an all-at-once “north-star” build.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448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Document field</w:t>
            </w:r>
          </w:p>
        </w:tc>
        <w:tc>
          <w:tcPr>
            <w:tcW w:type="dxa" w:w="7920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Status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Planning baseline — components are staged, not all deployed</w:t>
            </w:r>
          </w:p>
        </w:tc>
      </w:tr>
      <w:tr>
        <w:trPr>
          <w:cantSplit/>
        </w:trPr>
        <w:tc>
          <w:tcPr>
            <w:tcW w:type="dxa" w:w="244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Prepared</w:t>
            </w:r>
          </w:p>
        </w:tc>
        <w:tc>
          <w:tcPr>
            <w:tcW w:type="dxa" w:w="792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24 August 2026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Primary source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wiki/raw/vibe-code-platform-plan.md</w:t>
            </w:r>
          </w:p>
        </w:tc>
      </w:tr>
      <w:tr>
        <w:trPr>
          <w:cantSplit/>
        </w:trPr>
        <w:tc>
          <w:tcPr>
            <w:tcW w:type="dxa" w:w="244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Current implementation</w:t>
            </w:r>
          </w:p>
        </w:tc>
        <w:tc>
          <w:tcPr>
            <w:tcW w:type="dxa" w:w="792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Local React/NestJS/PostgreSQL POC documented separately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Decision requested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Approve or reject the bounded Stage 0 feasibility spike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Executive recommendation</w:t>
      </w:r>
    </w:p>
    <w:p>
      <w:r>
        <w:t>Do not rebuild Lovable, Base44 or a browser IDE. Assemble proven workspace and model-gateway components, then build only the company-specific control plane and handover workflow.</w:t>
      </w:r>
    </w:p>
    <w:p>
      <w:pPr>
        <w:pStyle w:val="ListBullet"/>
        <w:spacing w:after="40"/>
      </w:pPr>
      <w:r>
        <w:t>Coder owns workspace provisioning, templates and lifecycle; code-server provides the browser IDE.</w:t>
      </w:r>
    </w:p>
    <w:p>
      <w:pPr>
        <w:pStyle w:val="ListBullet"/>
        <w:spacing w:after="40"/>
      </w:pPr>
      <w:r>
        <w:t>A thin React/Vite portal and NestJS/Fastify modular monolith own projects, policy, cost, audit and handover.</w:t>
      </w:r>
    </w:p>
    <w:p>
      <w:pPr>
        <w:pStyle w:val="ListBullet"/>
        <w:spacing w:after="40"/>
      </w:pPr>
      <w:r>
        <w:t>LiteLLM is the approved model entry point; Langfuse provides privacy-aware traces, not invoice truth.</w:t>
      </w:r>
    </w:p>
    <w:p>
      <w:pPr>
        <w:pStyle w:val="ListBullet"/>
        <w:spacing w:after="40"/>
      </w:pPr>
      <w:r>
        <w:t>Git and an OCI registry provide immutable, exportable source and template artifacts.</w:t>
      </w:r>
    </w:p>
    <w:p>
      <w:pPr>
        <w:pStyle w:val="ListBullet"/>
        <w:spacing w:after="40"/>
      </w:pPr>
      <w:r>
        <w:t>Kubernetes/K3s provides scheduling and isolation, but does not force early microservices.</w:t>
      </w:r>
    </w:p>
    <w:p>
      <w:pPr>
        <w:pStyle w:val="ListBullet"/>
        <w:spacing w:after="40"/>
      </w:pPr>
      <w:r>
        <w:t>RabbitMQ, asynchronous agents, mobile PWA and detached preview are later product stages, not MVP prerequisites.</w:t>
      </w:r>
    </w:p>
    <w:p>
      <w:pPr>
        <w:pStyle w:val="Heading2"/>
      </w:pPr>
      <w:r>
        <w:t>Recommended product position</w:t>
      </w:r>
    </w:p>
    <w:p>
      <w:r>
        <w:t>Present the initiative as an AI Development Workspace Platform that produces traceable proof-of-concepts and a governed IT handover package. Do not market it as a citizen-developer production platform.</w:t>
      </w:r>
    </w:p>
    <w:p>
      <w:pPr>
        <w:pStyle w:val="Heading2"/>
      </w:pPr>
      <w:r>
        <w:t>What makes it differentiated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736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Capability</w:t>
            </w:r>
          </w:p>
        </w:tc>
        <w:tc>
          <w:tcPr>
            <w:tcW w:type="dxa" w:w="7632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Practical value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Project Passport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Machine-readable template, source, dependency, preview, usage and handover identity.</w:t>
            </w:r>
          </w:p>
        </w:tc>
      </w:tr>
      <w:tr>
        <w:trPr>
          <w:cantSplit/>
        </w:trPr>
        <w:tc>
          <w:tcPr>
            <w:tcW w:type="dxa" w:w="2736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Template Delta Update</w:t>
            </w:r>
          </w:p>
        </w:tc>
        <w:tc>
          <w:tcPr>
            <w:tcW w:type="dxa" w:w="763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Upgrade branch and semantic diff rather than silent overwrite of user code.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Prompt-to-Handover Time Machine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Links request metadata, agent actions, Git changes, tests, preview and handover evidence.</w:t>
            </w:r>
          </w:p>
        </w:tc>
      </w:tr>
      <w:tr>
        <w:trPr>
          <w:cantSplit/>
        </w:trPr>
        <w:tc>
          <w:tcPr>
            <w:tcW w:type="dxa" w:w="2736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Rescue Workspace / Failure Capsule</w:t>
            </w:r>
          </w:p>
        </w:tc>
        <w:tc>
          <w:tcPr>
            <w:tcW w:type="dxa" w:w="763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Preserves source and a repair path when builds, images or previews fail.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App Package Catalog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Composes reviewed cross-stack capabilities without a combinatorial template explosion.</w:t>
            </w:r>
          </w:p>
        </w:tc>
      </w:tr>
    </w:tbl>
    <w:p>
      <w:pPr>
        <w:spacing w:after="0"/>
      </w:pPr>
    </w:p>
    <w:p>
      <w:pPr>
        <w:pStyle w:val="Heading2"/>
      </w:pPr>
      <w:r>
        <w:t>Decision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val="clear" w:fill="F0FDFA"/>
          </w:tcPr>
          <w:p>
            <w:pPr>
              <w:pStyle w:val="Callout"/>
            </w:pPr>
            <w:r>
              <w:t>Approve Stage 0 only if management accepts five explicit feasibility questions, 2–5 test users and a go/no-go gate. Do not approve the full target architecture as one MVP.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Final production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480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be-code-platform-target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1 — Final HK production target with active multi-AZ scaling, warm-passive DR and explicit data placement. Stages 0–1 deploy only a subset.</w:t>
      </w:r>
    </w:p>
    <w:p>
      <w:r>
        <w:br w:type="page"/>
      </w:r>
    </w:p>
    <w:p>
      <w:pPr>
        <w:pStyle w:val="Heading1"/>
      </w:pPr>
      <w:r>
        <w:t>3. Architecture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800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Plane</w:t>
            </w:r>
          </w:p>
        </w:tc>
        <w:tc>
          <w:tcPr>
            <w:tcW w:type="dxa" w:w="6696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Responsibility</w:t>
            </w:r>
          </w:p>
        </w:tc>
        <w:tc>
          <w:tcPr>
            <w:tcW w:type="dxa" w:w="1152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Stage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Experience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Portal, project journey, workspace entry, cost and handover surfaces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0–1</w:t>
            </w:r>
          </w:p>
        </w:tc>
      </w:tr>
      <w:tr>
        <w:trPr>
          <w:cantSplit/>
        </w:trPr>
        <w:tc>
          <w:tcPr>
            <w:tcW w:type="dxa" w:w="180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Control</w:t>
            </w:r>
          </w:p>
        </w:tc>
        <w:tc>
          <w:tcPr>
            <w:tcW w:type="dxa" w:w="6696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Identity boundary, ownership, lifecycle, audit and transparent policy</w:t>
            </w:r>
          </w:p>
        </w:tc>
        <w:tc>
          <w:tcPr>
            <w:tcW w:type="dxa" w:w="115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0–1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Workspace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Isolated IDE/agent environment, source, persistent volume and preview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0–1</w:t>
            </w:r>
          </w:p>
        </w:tc>
      </w:tr>
      <w:tr>
        <w:trPr>
          <w:cantSplit/>
        </w:trPr>
        <w:tc>
          <w:tcPr>
            <w:tcW w:type="dxa" w:w="180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AI</w:t>
            </w:r>
          </w:p>
        </w:tc>
        <w:tc>
          <w:tcPr>
            <w:tcW w:type="dxa" w:w="6696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Scoped gateway keys, model policy, routing, fallback, usage and traces</w:t>
            </w:r>
          </w:p>
        </w:tc>
        <w:tc>
          <w:tcPr>
            <w:tcW w:type="dxa" w:w="115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0–2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Supply chain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Git/CI, immutable templates, OCI digests, SBOM and scans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1–2</w:t>
            </w:r>
          </w:p>
        </w:tc>
      </w:tr>
      <w:tr>
        <w:trPr>
          <w:cantSplit/>
        </w:trPr>
        <w:tc>
          <w:tcPr>
            <w:tcW w:type="dxa" w:w="180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Durable execution</w:t>
            </w:r>
          </w:p>
        </w:tc>
        <w:tc>
          <w:tcPr>
            <w:tcW w:type="dxa" w:w="6696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Job truth, outbox, broker, leases, retries and isolated runners</w:t>
            </w:r>
          </w:p>
        </w:tc>
        <w:tc>
          <w:tcPr>
            <w:tcW w:type="dxa" w:w="115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Delivery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POC preview, evidence collection and reviewed IT handover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1–3</w:t>
            </w:r>
          </w:p>
        </w:tc>
      </w:tr>
      <w:tr>
        <w:trPr>
          <w:cantSplit/>
        </w:trPr>
        <w:tc>
          <w:tcPr>
            <w:tcW w:type="dxa" w:w="180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Observability</w:t>
            </w:r>
          </w:p>
        </w:tc>
        <w:tc>
          <w:tcPr>
            <w:tcW w:type="dxa" w:w="6696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Metrics, logs, traces, SLOs, capacity, cost and recovery</w:t>
            </w:r>
          </w:p>
        </w:tc>
        <w:tc>
          <w:tcPr>
            <w:tcW w:type="dxa" w:w="115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2–3</w:t>
            </w:r>
          </w:p>
        </w:tc>
      </w:tr>
    </w:tbl>
    <w:p>
      <w:pPr>
        <w:spacing w:after="0"/>
      </w:pPr>
    </w:p>
    <w:p>
      <w:pPr>
        <w:pStyle w:val="Heading2"/>
      </w:pPr>
      <w:r>
        <w:t>Core component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088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Component</w:t>
            </w:r>
          </w:p>
        </w:tc>
        <w:tc>
          <w:tcPr>
            <w:tcW w:type="dxa" w:w="3312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Role</w:t>
            </w:r>
          </w:p>
        </w:tc>
        <w:tc>
          <w:tcPr>
            <w:tcW w:type="dxa" w:w="4320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Guardrail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Coder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Workspace foundation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Verify edition boundaries; do not duplicate its scheduler/UI.</w:t>
            </w:r>
          </w:p>
        </w:tc>
      </w:tr>
      <w:tr>
        <w:trPr>
          <w:cantSplit/>
        </w:trPr>
        <w:tc>
          <w:tcPr>
            <w:tcW w:type="dxa" w:w="208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code-server + Cline</w:t>
            </w:r>
          </w:p>
        </w:tc>
        <w:tc>
          <w:tcPr>
            <w:tcW w:type="dxa" w:w="331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Interactive browser coding</w:t>
            </w:r>
          </w:p>
        </w:tc>
        <w:tc>
          <w:tcPr>
            <w:tcW w:type="dxa" w:w="432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Pin versions and prove full browser workflow.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React/Vite portal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Company experience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Thin orchestration surface, not a second IDE.</w:t>
            </w:r>
          </w:p>
        </w:tc>
      </w:tr>
      <w:tr>
        <w:trPr>
          <w:cantSplit/>
        </w:trPr>
        <w:tc>
          <w:tcPr>
            <w:tcW w:type="dxa" w:w="208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NestJS/Fastify</w:t>
            </w:r>
          </w:p>
        </w:tc>
        <w:tc>
          <w:tcPr>
            <w:tcW w:type="dxa" w:w="331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Control-plane modular monolith</w:t>
            </w:r>
          </w:p>
        </w:tc>
        <w:tc>
          <w:tcPr>
            <w:tcW w:type="dxa" w:w="432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Split only for real scale/security/ownership reasons.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PostgreSQL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Business, audit and job truth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No platform SQLite; use migrations for shared environments.</w:t>
            </w:r>
          </w:p>
        </w:tc>
      </w:tr>
      <w:tr>
        <w:trPr>
          <w:cantSplit/>
        </w:trPr>
        <w:tc>
          <w:tcPr>
            <w:tcW w:type="dxa" w:w="208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LiteLLM</w:t>
            </w:r>
          </w:p>
        </w:tc>
        <w:tc>
          <w:tcPr>
            <w:tcW w:type="dxa" w:w="331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Approved AI gateway</w:t>
            </w:r>
          </w:p>
        </w:tc>
        <w:tc>
          <w:tcPr>
            <w:tcW w:type="dxa" w:w="432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Per-user/workspace scopes; no provider keys in source/images.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RabbitMQ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Asynchronous execution delivery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Introduce only at Stage 4; require owned operations.</w:t>
            </w:r>
          </w:p>
        </w:tc>
      </w:tr>
      <w:tr>
        <w:trPr>
          <w:cantSplit/>
        </w:trPr>
        <w:tc>
          <w:tcPr>
            <w:tcW w:type="dxa" w:w="208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Git + OCI</w:t>
            </w:r>
          </w:p>
        </w:tc>
        <w:tc>
          <w:tcPr>
            <w:tcW w:type="dxa" w:w="331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Source/template artifact truth</w:t>
            </w:r>
          </w:p>
        </w:tc>
        <w:tc>
          <w:tcPr>
            <w:tcW w:type="dxa" w:w="432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Immutable versions, digests, scans and exportability.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Production topology, scaling and data placement</w:t>
      </w:r>
    </w:p>
    <w:p>
      <w:r>
        <w:t>The final target keeps users, active infrastructure, warm-passive DR and platform data in Hong Kong. Back office is an access site rather than the platform host; offices use local secure breakout to the HK edge. The active facility is multi-AZ, while a physically separate HK facility provides fenced warm-passive recovery.</w:t>
      </w:r>
    </w:p>
    <w:p>
      <w:pPr>
        <w:pStyle w:val="Heading2"/>
      </w:pPr>
      <w:r>
        <w:t>Scaling and high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944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Area</w:t>
            </w:r>
          </w:p>
        </w:tc>
        <w:tc>
          <w:tcPr>
            <w:tcW w:type="dxa" w:w="3816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Production model</w:t>
            </w:r>
          </w:p>
        </w:tc>
        <w:tc>
          <w:tcPr>
            <w:tcW w:type="dxa" w:w="3960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Initial envelope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Edge / ingress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Managed WAF/LB plus 3+ ingress/proxy replicas across AZs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443 only; no sticky API; WebSocket drain/reconnect and soak tests.</w:t>
            </w:r>
          </w:p>
        </w:tc>
      </w:tr>
      <w:tr>
        <w:trPr>
          <w:cantSplit/>
        </w:trPr>
        <w:tc>
          <w:tcPr>
            <w:tcW w:type="dxa" w:w="1944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Portal / Control API</w:t>
            </w:r>
          </w:p>
        </w:tc>
        <w:tc>
          <w:tcPr>
            <w:tcW w:type="dxa" w:w="3816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3+ stateless active-active replicas with topology spread and PDB</w:t>
            </w:r>
          </w:p>
        </w:tc>
        <w:tc>
          <w:tcPr>
            <w:tcW w:type="dxa" w:w="396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99.9% initial monthly SLO; 99.95% only after failover evidence.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Coder / LiteLLM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2+ replicas with state and credentials externalized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Per-workspace keys, budget and fallback; no master key in workspaces.</w:t>
            </w:r>
          </w:p>
        </w:tc>
      </w:tr>
      <w:tr>
        <w:trPr>
          <w:cantSplit/>
        </w:trPr>
        <w:tc>
          <w:tcPr>
            <w:tcW w:type="dxa" w:w="1944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Workspace Router</w:t>
            </w:r>
          </w:p>
        </w:tc>
        <w:tc>
          <w:tcPr>
            <w:tcW w:type="dxa" w:w="3816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3+ active-active proxies routed by workspace ID</w:t>
            </w:r>
          </w:p>
        </w:tc>
        <w:tc>
          <w:tcPr>
            <w:tcW w:type="dxa" w:w="396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Connections may reconnect; new sessions use healthy replicas.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Workspace pool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Single-active workspace + PVC; autoscaling node pool with N+1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Pre-warm 30, autoscale 50, contingency test 80; 10–20% warm slots.</w:t>
            </w:r>
          </w:p>
        </w:tc>
      </w:tr>
      <w:tr>
        <w:trPr>
          <w:cantSplit/>
        </w:trPr>
        <w:tc>
          <w:tcPr>
            <w:tcW w:type="dxa" w:w="1944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50-active capacity</w:t>
            </w:r>
          </w:p>
        </w:tc>
        <w:tc>
          <w:tcPr>
            <w:tcW w:type="dxa" w:w="3816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Separate workspace/build/system pools</w:t>
            </w:r>
          </w:p>
        </w:tc>
        <w:tc>
          <w:tcPr>
            <w:tcW w:type="dxa" w:w="396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About 7 × 16/64 nodes, or 4–5 × 32/128 nodes after burst/fragmentation tests.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Build / evaluation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Separate ephemeral pool; queue/KEDA scaling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Build storm queues and cannot starve interactive IDEs.</w:t>
            </w:r>
          </w:p>
        </w:tc>
      </w:tr>
      <w:tr>
        <w:trPr>
          <w:cantSplit/>
        </w:trPr>
        <w:tc>
          <w:tcPr>
            <w:tcW w:type="dxa" w:w="1944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Durable agents</w:t>
            </w:r>
          </w:p>
        </w:tc>
        <w:tc>
          <w:tcPr>
            <w:tcW w:type="dxa" w:w="3816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3+ dispatcher/runners with DB lease, idempotency and checkpoint</w:t>
            </w:r>
          </w:p>
        </w:tc>
        <w:tc>
          <w:tcPr>
            <w:tcW w:type="dxa" w:w="396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PostgreSQL outbox → 3-node RabbitMQ quorum → isolated runner.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PostgreSQL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Writable primary + synchronous/managed standby; PITR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Strong truth for identity, project, job, approval, audit, budget and policy.</w:t>
            </w:r>
          </w:p>
        </w:tc>
      </w:tr>
      <w:tr>
        <w:trPr>
          <w:cantSplit/>
        </w:trPr>
        <w:tc>
          <w:tcPr>
            <w:tcW w:type="dxa" w:w="1944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Regional DR</w:t>
            </w:r>
          </w:p>
        </w:tc>
        <w:tc>
          <w:tcPr>
            <w:tcW w:type="dxa" w:w="3816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Warm-passive second HK facility with fenced promotion</w:t>
            </w:r>
          </w:p>
        </w:tc>
        <w:tc>
          <w:tcPr>
            <w:tcW w:type="dxa" w:w="396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Initial RTO ≤ 2 h and RPO ≤ 15 min; prove by restore/failover drill.</w:t>
            </w:r>
          </w:p>
        </w:tc>
      </w:tr>
    </w:tbl>
    <w:p>
      <w:pPr>
        <w:spacing w:after="0"/>
      </w:pPr>
    </w:p>
    <w:p>
      <w:pPr>
        <w:pStyle w:val="SmallNote"/>
      </w:pPr>
      <w:r>
        <w:t>Capacity assumptions are load-test starting points, not supplier guarantees. Weighted workspace demand is 1.15 vCPU, 3.6 GiB RAM and 18 GiB disk. One hundred registered workspaces require about 2.29 TiB after a 30% buffer, before registry, object-store and database capacity. When full, the API returns CAPACITY_QUEUED; login and administration remain available.</w:t>
      </w:r>
    </w:p>
    <w:p>
      <w:r>
        <w:br w:type="page"/>
      </w:r>
    </w:p>
    <w:p>
      <w:pPr>
        <w:pStyle w:val="Heading2"/>
      </w:pPr>
      <w:r>
        <w:t>User and platform data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448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Data class</w:t>
            </w:r>
          </w:p>
        </w:tc>
        <w:tc>
          <w:tcPr>
            <w:tcW w:type="dxa" w:w="3168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Authoritative location</w:t>
            </w:r>
          </w:p>
        </w:tc>
        <w:tc>
          <w:tcPr>
            <w:tcW w:type="dxa" w:w="4104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Durability / policy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Identity, teams, sessions, roles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HK private PostgreSQL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Primary + standby, encrypted backup and PITR; identity/platform owner access.</w:t>
            </w:r>
          </w:p>
        </w:tc>
      </w:tr>
      <w:tr>
        <w:trPr>
          <w:cantSplit/>
        </w:trPr>
        <w:tc>
          <w:tcPr>
            <w:tcW w:type="dxa" w:w="244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Projects, jobs/outbox, approvals, policy, audit, budget</w:t>
            </w:r>
          </w:p>
        </w:tc>
        <w:tc>
          <w:tcPr>
            <w:tcW w:type="dxa" w:w="316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HK private PostgreSQL</w:t>
            </w:r>
          </w:p>
        </w:tc>
        <w:tc>
          <w:tcPr>
            <w:tcW w:type="dxa" w:w="4104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Transactional truth, no public endpoint, PITR and DR-log copy.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Source and checkpoints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Approved HK Git service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Commit SHA is truth; protected branches, backup and exportability.</w:t>
            </w:r>
          </w:p>
        </w:tc>
      </w:tr>
      <w:tr>
        <w:trPr>
          <w:cantSplit/>
        </w:trPr>
        <w:tc>
          <w:tcPr>
            <w:tcW w:type="dxa" w:w="244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Live workspace filesystem</w:t>
            </w:r>
          </w:p>
        </w:tc>
        <w:tc>
          <w:tcPr>
            <w:tcW w:type="dxa" w:w="316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Per-workspace PVC in active HK facility</w:t>
            </w:r>
          </w:p>
        </w:tc>
        <w:tc>
          <w:tcPr>
            <w:tcW w:type="dxa" w:w="4104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Single-active 10/20/50 GiB; snapshot to HK object storage; no local-path-only copy.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Snapshots, POC artifacts, SBOM, evidence, handover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HK object storage / OCI registry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Digest, encryption, lifecycle/deletion policy and warm-passive HK replication.</w:t>
            </w:r>
          </w:p>
        </w:tc>
      </w:tr>
      <w:tr>
        <w:trPr>
          <w:cantSplit/>
        </w:trPr>
        <w:tc>
          <w:tcPr>
            <w:tcW w:type="dxa" w:w="244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Presence and cache</w:t>
            </w:r>
          </w:p>
        </w:tc>
        <w:tc>
          <w:tcPr>
            <w:tcW w:type="dxa" w:w="316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HK Redis private endpoint</w:t>
            </w:r>
          </w:p>
        </w:tc>
        <w:tc>
          <w:tcPr>
            <w:tcW w:type="dxa" w:w="4104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Primary/replica; rebuildable; never durable job or approval truth.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Logs, metrics and privacy-aware traces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HK observability stores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Explicit retention, RBAC, redaction and deletion; identity stays out of metric labels.</w:t>
            </w:r>
          </w:p>
        </w:tc>
      </w:tr>
      <w:tr>
        <w:trPr>
          <w:cantSplit/>
        </w:trPr>
        <w:tc>
          <w:tcPr>
            <w:tcW w:type="dxa" w:w="244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Secrets and provider keys</w:t>
            </w:r>
          </w:p>
        </w:tc>
        <w:tc>
          <w:tcPr>
            <w:tcW w:type="dxa" w:w="316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HK Vault/KMS or approved secret manager</w:t>
            </w:r>
          </w:p>
        </w:tc>
        <w:tc>
          <w:tcPr>
            <w:tcW w:type="dxa" w:w="4104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References only; scoped expiring virtual keys in workspaces.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AI prompts/responses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Policy-approved model endpoint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Residency/retention/training-use gate; HK-only requires HK/private endpoint or route block.</w:t>
            </w:r>
          </w:p>
        </w:tc>
      </w:tr>
      <w:tr>
        <w:trPr>
          <w:cantSplit/>
        </w:trPr>
        <w:tc>
          <w:tcPr>
            <w:tcW w:type="dxa" w:w="244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DR copies</w:t>
            </w:r>
          </w:p>
        </w:tc>
        <w:tc>
          <w:tcPr>
            <w:tcW w:type="dxa" w:w="316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Separate HK DC/cloud failure domain</w:t>
            </w:r>
          </w:p>
        </w:tc>
        <w:tc>
          <w:tcPr>
            <w:tcW w:type="dxa" w:w="4104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PITR/log, object/registry, GitOps, images and secret references; no dual writers.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val="clear" w:fill="EFF6FF"/>
          </w:tcPr>
          <w:p>
            <w:pPr>
              <w:pStyle w:val="Callout"/>
            </w:pPr>
            <w:r>
              <w:t>Residual risk: an HK-only active/DR design does not survive a territory-wide Hong Kong outage. If policy forbids overseas DR, record and accept that limitation instead of claiming unsupported multi-region HA.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Staged delivery roadmap</w:t>
      </w:r>
    </w:p>
    <w:p>
      <w:r>
        <w:t>The full target spans workspace, AI gateway, asynchronous agents, security/evaluation, handover and availability streams. A fully funded programme may require a dedicated 6–9 person team and roughly 9–18 months. The first useful product should arrive much earlier by cutting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512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Stage</w:t>
            </w:r>
          </w:p>
        </w:tc>
        <w:tc>
          <w:tcPr>
            <w:tcW w:type="dxa" w:w="1152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Duration</w:t>
            </w:r>
          </w:p>
        </w:tc>
        <w:tc>
          <w:tcPr>
            <w:tcW w:type="dxa" w:w="4464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Primary outcome</w:t>
            </w:r>
          </w:p>
        </w:tc>
        <w:tc>
          <w:tcPr>
            <w:tcW w:type="dxa" w:w="3168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Gate / exclusion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0 — Feasibility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4–6 weeks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Prove workspace, IDE/agent, model flow, preview, persistence and isolation for 2–5 users.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No mobile, RabbitMQ, arbitrary Compose, detached preview, DR or 50-user load.</w:t>
            </w:r>
          </w:p>
        </w:tc>
      </w:tr>
      <w:tr>
        <w:trPr>
          <w:cantSplit/>
        </w:trPr>
        <w:tc>
          <w:tcPr>
            <w:tcW w:type="dxa" w:w="151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1 — V0 pilot</w:t>
            </w:r>
          </w:p>
        </w:tc>
        <w:tc>
          <w:tcPr>
            <w:tcW w:type="dxa" w:w="115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+4–6 weeks</w:t>
            </w:r>
          </w:p>
        </w:tc>
        <w:tc>
          <w:tcPr>
            <w:tcW w:type="dxa" w:w="4464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5–10 users complete the portal → workspace → preview → handover journey.</w:t>
            </w:r>
          </w:p>
        </w:tc>
        <w:tc>
          <w:tcPr>
            <w:tcW w:type="dxa" w:w="316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Thin portal; no custom scheduler; PostgreSQL is enough.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2 — V1 internal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+6–8 weeks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Templates, app packages, scans, usage, backup/restore and handover for 10–20 users.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No server-side async agent or mobile PWA.</w:t>
            </w:r>
          </w:p>
        </w:tc>
      </w:tr>
      <w:tr>
        <w:trPr>
          <w:cantSplit/>
        </w:trPr>
        <w:tc>
          <w:tcPr>
            <w:tcW w:type="dxa" w:w="151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3 — V1.5 hardening</w:t>
            </w:r>
          </w:p>
        </w:tc>
        <w:tc>
          <w:tcPr>
            <w:tcW w:type="dxa" w:w="115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+4–8 weeks</w:t>
            </w:r>
          </w:p>
        </w:tc>
        <w:tc>
          <w:tcPr>
            <w:tcW w:type="dxa" w:w="4464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Measured 30–50 user capacity, network controls, failure drills, SLO and recovery.</w:t>
            </w:r>
          </w:p>
        </w:tc>
        <w:tc>
          <w:tcPr>
            <w:tcW w:type="dxa" w:w="316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Fund scale only after adoption evidence.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4 — V2 async agents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+8–12 weeks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Outbox + RabbitMQ, isolated runners, approvals, checkpoints, replay and PRs.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Broker becomes a requirement here.</w:t>
            </w:r>
          </w:p>
        </w:tc>
      </w:tr>
      <w:tr>
        <w:trPr>
          <w:cantSplit/>
        </w:trPr>
        <w:tc>
          <w:tcPr>
            <w:tcW w:type="dxa" w:w="151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5 — V2.5 mobile</w:t>
            </w:r>
          </w:p>
        </w:tc>
        <w:tc>
          <w:tcPr>
            <w:tcW w:type="dxa" w:w="115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+4–6 weeks</w:t>
            </w:r>
          </w:p>
        </w:tc>
        <w:tc>
          <w:tcPr>
            <w:tcW w:type="dxa" w:w="4464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Task-first PWA, stop/follow-up, mobile review and notifications.</w:t>
            </w:r>
          </w:p>
        </w:tc>
        <w:tc>
          <w:tcPr>
            <w:tcW w:type="dxa" w:w="316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Not a browser IDE clone.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6 — V3 evidence-led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Variable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Detached preview, stronger sandbox, richer packages, graph evidence and DR.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Only where usage and risk justify it.</w:t>
            </w:r>
          </w:p>
        </w:tc>
      </w:tr>
    </w:tbl>
    <w:p>
      <w:pPr>
        <w:spacing w:after="0"/>
      </w:pPr>
    </w:p>
    <w:p>
      <w:pPr>
        <w:pStyle w:val="Heading2"/>
      </w:pPr>
      <w:r>
        <w:t>Funding gate</w:t>
      </w:r>
    </w:p>
    <w:p>
      <w:r>
        <w:t>Each stage must present adoption, failure, cost, security and support evidence before the next stage is funded. Scope must not expand merely because a component appears in the target diagram.</w:t>
      </w:r>
    </w:p>
    <w:p>
      <w:pPr>
        <w:pStyle w:val="Heading1"/>
      </w:pPr>
      <w:r>
        <w:t>6. Stage 0 feasibility spike</w:t>
      </w:r>
    </w:p>
    <w:p>
      <w:r>
        <w:t>Goal: prove the five questions that can invalidate the whole approach before funding a platform build.</w:t>
      </w:r>
    </w:p>
    <w:p>
      <w:pPr>
        <w:pStyle w:val="ListNumber"/>
        <w:spacing w:after="40"/>
      </w:pPr>
      <w:r>
        <w:t>Can Coder reliably create, start, stop and recreate workspaces on the intended managed Kubernetes or small K3s environment?</w:t>
      </w:r>
    </w:p>
    <w:p>
      <w:pPr>
        <w:pStyle w:val="ListNumber"/>
        <w:spacing w:after="40"/>
      </w:pPr>
      <w:r>
        <w:t>Does the pinned code-server + Cline workflow actually support activation, webview, edits, diff, terminal approval, checkpoint, attachment, OAuth callback and failure/retry?</w:t>
      </w:r>
    </w:p>
    <w:p>
      <w:pPr>
        <w:pStyle w:val="ListNumber"/>
        <w:spacing w:after="40"/>
      </w:pPr>
      <w:r>
        <w:t>Can Cline stream large-context and tool-calling requests through LiteLLM with scoped-key creation and revocation?</w:t>
      </w:r>
    </w:p>
    <w:p>
      <w:pPr>
        <w:pStyle w:val="ListNumber"/>
        <w:spacing w:after="40"/>
      </w:pPr>
      <w:r>
        <w:t>Can one React/Vite + FastAPI golden POC run through authenticated frontend/API Coder Apps previews?</w:t>
      </w:r>
    </w:p>
    <w:p>
      <w:pPr>
        <w:pStyle w:val="ListNumber"/>
        <w:spacing w:after="40"/>
      </w:pPr>
      <w:r>
        <w:t>Do Git/source, persistent data, workspace isolation and basic egress boundaries survive stop/start/recreate?</w:t>
      </w:r>
    </w:p>
    <w:p>
      <w:pPr>
        <w:pStyle w:val="Heading2"/>
      </w:pPr>
      <w:r>
        <w:t>Required evidence</w:t>
      </w:r>
    </w:p>
    <w:p>
      <w:pPr>
        <w:pStyle w:val="ListBullet"/>
        <w:spacing w:after="40"/>
      </w:pPr>
      <w:r>
        <w:t>Pinned component versions and licence/edition matrix.</w:t>
      </w:r>
    </w:p>
    <w:p>
      <w:pPr>
        <w:pStyle w:val="ListBullet"/>
        <w:spacing w:after="40"/>
      </w:pPr>
      <w:r>
        <w:t>Reproducible setup and acceptance scripts.</w:t>
      </w:r>
    </w:p>
    <w:p>
      <w:pPr>
        <w:pStyle w:val="ListBullet"/>
        <w:spacing w:after="40"/>
      </w:pPr>
      <w:r>
        <w:t>Real browser recording or screenshots of the complete workflow.</w:t>
      </w:r>
    </w:p>
    <w:p>
      <w:pPr>
        <w:pStyle w:val="ListBullet"/>
        <w:spacing w:after="40"/>
      </w:pPr>
      <w:r>
        <w:t>Failure logs and visible retry/recovery paths.</w:t>
      </w:r>
    </w:p>
    <w:p>
      <w:pPr>
        <w:pStyle w:val="ListBullet"/>
        <w:spacing w:after="40"/>
      </w:pPr>
      <w:r>
        <w:t>Workspace startup, image-pull, idle/active memory, build peak and AI latency/cost measurements.</w:t>
      </w:r>
    </w:p>
    <w:p>
      <w:pPr>
        <w:pStyle w:val="ListBullet"/>
        <w:spacing w:after="40"/>
      </w:pPr>
      <w:r>
        <w:t>Cross-user access-denial and credential-isolation tests.</w:t>
      </w:r>
    </w:p>
    <w:p>
      <w:pPr>
        <w:pStyle w:val="Heading2"/>
      </w:pPr>
      <w:r>
        <w:t>Stage 0 exit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Outcome</w:t>
            </w:r>
          </w:p>
        </w:tc>
        <w:tc>
          <w:tcPr>
            <w:tcW w:type="dxa" w:w="7632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Condition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GO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All five questions pass and at least two named users repeat the journey without manual repair.</w:t>
            </w:r>
          </w:p>
        </w:tc>
      </w:tr>
      <w:tr>
        <w:trPr>
          <w:cantSplit/>
        </w:trPr>
        <w:tc>
          <w:tcPr>
            <w:tcW w:type="dxa" w:w="208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CONDITIONAL GO</w:t>
            </w:r>
          </w:p>
        </w:tc>
        <w:tc>
          <w:tcPr>
            <w:tcW w:type="dxa" w:w="763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Only non-security usability/performance gaps remain, each with owner and date.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NO-GO / redesign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Browser agent is unusable; data/source is lost; isolation fails; credentials must be exposed; or required edition cost is unacceptable.</w:t>
            </w:r>
          </w:p>
        </w:tc>
      </w:tr>
    </w:tbl>
    <w:p>
      <w:pPr>
        <w:spacing w:after="0"/>
      </w:pPr>
    </w:p>
    <w:p>
      <w:pPr>
        <w:pStyle w:val="Heading1"/>
      </w:pPr>
      <w:r>
        <w:t>7. Security and operational boundaries</w:t>
      </w:r>
    </w:p>
    <w:p>
      <w:pPr>
        <w:pStyle w:val="ListBullet"/>
        <w:spacing w:after="40"/>
      </w:pPr>
      <w:r>
        <w:t>Backend-enforced ownership; hiding projects in the UI is not access control.</w:t>
      </w:r>
    </w:p>
    <w:p>
      <w:pPr>
        <w:pStyle w:val="ListBullet"/>
        <w:spacing w:after="40"/>
      </w:pPr>
      <w:r>
        <w:t>Non-root, resource-limited workspaces with dropped capabilities and no host mounts or shared Docker socket.</w:t>
      </w:r>
    </w:p>
    <w:p>
      <w:pPr>
        <w:pStyle w:val="ListBullet"/>
        <w:spacing w:after="40"/>
      </w:pPr>
      <w:r>
        <w:t>Authenticated preview routes; no direct host-port publication.</w:t>
      </w:r>
    </w:p>
    <w:p>
      <w:pPr>
        <w:pStyle w:val="ListBullet"/>
        <w:spacing w:after="40"/>
      </w:pPr>
      <w:r>
        <w:t>Per-user/workspace model credentials through an approved gateway; no shared employee OAuth profile.</w:t>
      </w:r>
    </w:p>
    <w:p>
      <w:pPr>
        <w:pStyle w:val="ListBullet"/>
        <w:spacing w:after="40"/>
      </w:pPr>
      <w:r>
        <w:t>Metadata-only prompt audit by default; full capture requires explicit retention, encryption, RBAC and deletion controls.</w:t>
      </w:r>
    </w:p>
    <w:p>
      <w:pPr>
        <w:pStyle w:val="ListBullet"/>
        <w:spacing w:after="40"/>
      </w:pPr>
      <w:r>
        <w:t>Protected branches and isolated worktrees for agent/package changes; completion does not imply merge approval.</w:t>
      </w:r>
    </w:p>
    <w:p>
      <w:pPr>
        <w:pStyle w:val="ListBullet"/>
        <w:spacing w:after="40"/>
      </w:pPr>
      <w:r>
        <w:t>Generated apps carry explicit POC status, known gaps, test/scan evidence and no production credentials.</w:t>
      </w:r>
    </w:p>
    <w:p>
      <w:pPr>
        <w:pStyle w:val="ListBullet"/>
        <w:spacing w:after="40"/>
      </w:pPr>
      <w:r>
        <w:t>Administrative actions, budget changes, suspension and break-glass operations are auditable.</w:t>
      </w:r>
    </w:p>
    <w:p>
      <w:pPr>
        <w:pStyle w:val="Heading2"/>
      </w:pPr>
      <w:r>
        <w:t>Failure containment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592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Failure</w:t>
            </w:r>
          </w:p>
        </w:tc>
        <w:tc>
          <w:tcPr>
            <w:tcW w:type="dxa" w:w="7128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Expected platform behaviour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Preview/app crash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Keep IDE, Git and agent available; expose logs and restart action.</w:t>
            </w:r>
          </w:p>
        </w:tc>
      </w:tr>
      <w:tr>
        <w:trPr>
          <w:cantSplit/>
        </w:trPr>
        <w:tc>
          <w:tcPr>
            <w:tcW w:type="dxa" w:w="259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Build/test failure</w:t>
            </w:r>
          </w:p>
        </w:tc>
        <w:tc>
          <w:tcPr>
            <w:tcW w:type="dxa" w:w="712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Preserve stage, command, exit code and source; retry only failed stage.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LLM provider failure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Use approved fallback, then preserve manual IDE mode.</w:t>
            </w:r>
          </w:p>
        </w:tc>
      </w:tr>
      <w:tr>
        <w:trPr>
          <w:cantSplit/>
        </w:trPr>
        <w:tc>
          <w:tcPr>
            <w:tcW w:type="dxa" w:w="259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Workspace/pod failure</w:t>
            </w:r>
          </w:p>
        </w:tc>
        <w:tc>
          <w:tcPr>
            <w:tcW w:type="dxa" w:w="712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Reschedule and reattach persistent storage; provide rescue workspace if image fails.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Capacity exhausted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Return queued status and notification, not a generic 500.</w:t>
            </w:r>
          </w:p>
        </w:tc>
      </w:tr>
      <w:tr>
        <w:trPr>
          <w:cantSplit/>
        </w:trPr>
        <w:tc>
          <w:tcPr>
            <w:tcW w:type="dxa" w:w="259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Control-plane database unavailable</w:t>
            </w:r>
          </w:p>
        </w:tc>
        <w:tc>
          <w:tcPr>
            <w:tcW w:type="dxa" w:w="712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Fail new state changes closed while existing workspaces continue where safe.</w:t>
            </w:r>
          </w:p>
        </w:tc>
      </w:tr>
    </w:tbl>
    <w:p>
      <w:pPr>
        <w:spacing w:after="0"/>
      </w:pPr>
    </w:p>
    <w:p>
      <w:pPr>
        <w:pStyle w:val="Heading1"/>
      </w:pPr>
      <w:r>
        <w:t>8. Key risks and decision owners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232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Risk</w:t>
            </w:r>
          </w:p>
        </w:tc>
        <w:tc>
          <w:tcPr>
            <w:tcW w:type="dxa" w:w="6120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Required decision / evidence</w:t>
            </w:r>
          </w:p>
        </w:tc>
        <w:tc>
          <w:tcPr>
            <w:tcW w:type="dxa" w:w="1800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Browser compatibility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Pinned real-browser workflow; do not infer from extension listing.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Platform lead</w:t>
            </w:r>
          </w:p>
        </w:tc>
      </w:tr>
      <w:tr>
        <w:trPr>
          <w:cantSplit/>
        </w:trPr>
        <w:tc>
          <w:tcPr>
            <w:tcW w:type="dxa" w:w="223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Coder edition</w:t>
            </w:r>
          </w:p>
        </w:tc>
        <w:tc>
          <w:tcPr>
            <w:tcW w:type="dxa" w:w="612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OSS/commercial matrix for SSO, RBAC, audit and HA.</w:t>
            </w:r>
          </w:p>
        </w:tc>
        <w:tc>
          <w:tcPr>
            <w:tcW w:type="dxa" w:w="180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Architecture / procurement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Compose isolation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Remote build or sandbox decision; host Docker remains prohibited.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Security / platform</w:t>
            </w:r>
          </w:p>
        </w:tc>
      </w:tr>
      <w:tr>
        <w:trPr>
          <w:cantSplit/>
        </w:trPr>
        <w:tc>
          <w:tcPr>
            <w:tcW w:type="dxa" w:w="223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Prompt privacy</w:t>
            </w:r>
          </w:p>
        </w:tc>
        <w:tc>
          <w:tcPr>
            <w:tcW w:type="dxa" w:w="612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Retention, encryption, RBAC, redaction and deletion policy.</w:t>
            </w:r>
          </w:p>
        </w:tc>
        <w:tc>
          <w:tcPr>
            <w:tcW w:type="dxa" w:w="180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Security / privacy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Template conflicts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Upgrade branch/PR or codemod; no silent overwrite.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Template owner</w:t>
            </w:r>
          </w:p>
        </w:tc>
      </w:tr>
      <w:tr>
        <w:trPr>
          <w:cantSplit/>
        </w:trPr>
        <w:tc>
          <w:tcPr>
            <w:tcW w:type="dxa" w:w="223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Cost accuracy</w:t>
            </w:r>
          </w:p>
        </w:tc>
        <w:tc>
          <w:tcPr>
            <w:tcW w:type="dxa" w:w="612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Reconcile gateway/traces with provider invoices.</w:t>
            </w:r>
          </w:p>
        </w:tc>
        <w:tc>
          <w:tcPr>
            <w:tcW w:type="dxa" w:w="180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FinOps / platform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Package supply chain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Digest, SBOM, signature, permissions, canary and kill switch.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Security / package owner</w:t>
            </w:r>
          </w:p>
        </w:tc>
      </w:tr>
      <w:tr>
        <w:trPr>
          <w:cantSplit/>
        </w:trPr>
        <w:tc>
          <w:tcPr>
            <w:tcW w:type="dxa" w:w="223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Broker operations</w:t>
            </w:r>
          </w:p>
        </w:tc>
        <w:tc>
          <w:tcPr>
            <w:tcW w:type="dxa" w:w="612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Managed or owned RabbitMQ with failure and recovery drills.</w:t>
            </w:r>
          </w:p>
        </w:tc>
        <w:tc>
          <w:tcPr>
            <w:tcW w:type="dxa" w:w="1800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Operations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Scope inflation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Stage gates based on measured adoption, failures and support load.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Product sponsor</w:t>
            </w:r>
          </w:p>
        </w:tc>
      </w:tr>
    </w:tbl>
    <w:p>
      <w:pPr>
        <w:spacing w:after="0"/>
      </w:pPr>
    </w:p>
    <w:p>
      <w:pPr>
        <w:pStyle w:val="Heading1"/>
      </w:pPr>
      <w:r>
        <w:t>9. Immediate decision package</w:t>
      </w:r>
    </w:p>
    <w:p>
      <w:r>
        <w:t>Management should answer these questions before implementation expands beyond the current local POC:</w:t>
      </w:r>
    </w:p>
    <w:p>
      <w:pPr>
        <w:pStyle w:val="ListNumber"/>
        <w:spacing w:after="40"/>
      </w:pPr>
      <w:r>
        <w:t>Approve a bounded 4–6 week Stage 0 spike with 2–3 experienced engineers and 2–5 named users?</w:t>
      </w:r>
    </w:p>
    <w:p>
      <w:pPr>
        <w:pStyle w:val="ListNumber"/>
        <w:spacing w:after="40"/>
      </w:pPr>
      <w:r>
        <w:t>Use an existing managed Kubernetes test environment or a small K3s spike cluster?</w:t>
      </w:r>
    </w:p>
    <w:p>
      <w:pPr>
        <w:pStyle w:val="ListNumber"/>
        <w:spacing w:after="40"/>
      </w:pPr>
      <w:r>
        <w:t>Which identity provider, Git organisation and approved model route may be used for the spike?</w:t>
      </w:r>
    </w:p>
    <w:p>
      <w:pPr>
        <w:pStyle w:val="ListNumber"/>
        <w:spacing w:after="40"/>
      </w:pPr>
      <w:r>
        <w:t>Which Coder edition features are mandatory, and what commercial ceiling is acceptable?</w:t>
      </w:r>
    </w:p>
    <w:p>
      <w:pPr>
        <w:pStyle w:val="ListNumber"/>
        <w:spacing w:after="40"/>
      </w:pPr>
      <w:r>
        <w:t>Who owns platform, security/privacy, model gateway, template and operational decisions?</w:t>
      </w:r>
    </w:p>
    <w:p>
      <w:pPr>
        <w:pStyle w:val="ListNumber"/>
        <w:spacing w:after="40"/>
      </w:pPr>
      <w:r>
        <w:t>What evidence threshold constitutes GO, CONDITIONAL GO and NO-GO?</w:t>
      </w:r>
    </w:p>
    <w:p>
      <w:pPr>
        <w:pStyle w:val="Heading2"/>
      </w:pPr>
      <w:r>
        <w:t>Recommended next actions</w:t>
      </w:r>
    </w:p>
    <w:p>
      <w:pPr>
        <w:pStyle w:val="ListBullet"/>
        <w:spacing w:after="40"/>
      </w:pPr>
      <w:r>
        <w:t>Pin Coder, code-server, Cline, LiteLLM and model versions.</w:t>
      </w:r>
    </w:p>
    <w:p>
      <w:pPr>
        <w:pStyle w:val="ListBullet"/>
        <w:spacing w:after="40"/>
      </w:pPr>
      <w:r>
        <w:t>Prepare one golden React/Vite + FastAPI/SQLAlchemy/SQLite project.</w:t>
      </w:r>
    </w:p>
    <w:p>
      <w:pPr>
        <w:pStyle w:val="ListBullet"/>
        <w:spacing w:after="40"/>
      </w:pPr>
      <w:r>
        <w:t>Execute browser, workspace lifecycle, Git recovery, PVC, isolation and egress tests.</w:t>
      </w:r>
    </w:p>
    <w:p>
      <w:pPr>
        <w:pStyle w:val="ListBullet"/>
        <w:spacing w:after="40"/>
      </w:pPr>
      <w:r>
        <w:t>Measure resource and AI cost baselines instead of estimating 30–50 user capacity.</w:t>
      </w:r>
    </w:p>
    <w:p>
      <w:pPr>
        <w:pStyle w:val="ListBullet"/>
        <w:spacing w:after="40"/>
      </w:pPr>
      <w:r>
        <w:t>Produce a Stage 0 go/no-go report and a 5–10 user V0 pilot backlog.</w:t>
      </w:r>
    </w:p>
    <w:p>
      <w:pPr>
        <w:pStyle w:val="ListBullet"/>
        <w:spacing w:after="40"/>
      </w:pPr>
      <w:r>
        <w:t>Keep mobile, RabbitMQ, multi-agent, app-package composer, detached preview, graph scoring and DR in their evidence-led stages.</w:t>
      </w:r>
    </w:p>
    <w:p>
      <w:pPr>
        <w:pStyle w:val="Heading1"/>
      </w:pPr>
      <w:r>
        <w:t>10. Repository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3168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Artifact</w:t>
            </w:r>
          </w:p>
        </w:tc>
        <w:tc>
          <w:tcPr>
            <w:tcW w:type="dxa" w:w="6552"/>
            <w:shd w:val="clear" w:fill="DBEAF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E3A8A"/>
                <w:sz w:val="17"/>
              </w:rPr>
              <w:t>Repository path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Target architecture baseline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wiki/architecture/baseline/vibe-code-platform-target-architecture.md</w:t>
            </w:r>
          </w:p>
        </w:tc>
      </w:tr>
      <w:tr>
        <w:trPr>
          <w:cantSplit/>
        </w:trPr>
        <w:tc>
          <w:tcPr>
            <w:tcW w:type="dxa" w:w="316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Editable architecture diagram</w:t>
            </w:r>
          </w:p>
        </w:tc>
        <w:tc>
          <w:tcPr>
            <w:tcW w:type="dxa" w:w="655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wiki/architecture/diagrams/vibe-code-platform-target-architecture.html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PNG architecture diagram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wiki/architecture/diagrams/vibe-code-platform-target-architecture.png</w:t>
            </w:r>
          </w:p>
        </w:tc>
      </w:tr>
      <w:tr>
        <w:trPr>
          <w:cantSplit/>
        </w:trPr>
        <w:tc>
          <w:tcPr>
            <w:tcW w:type="dxa" w:w="316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Raw platform planning source</w:t>
            </w:r>
          </w:p>
        </w:tc>
        <w:tc>
          <w:tcPr>
            <w:tcW w:type="dxa" w:w="655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wiki/raw/vibe-code-platform-plan.md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Current local POC baseline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wiki/architecture/baseline/README.md</w:t>
            </w:r>
          </w:p>
        </w:tc>
      </w:tr>
      <w:tr>
        <w:trPr>
          <w:cantSplit/>
        </w:trPr>
        <w:tc>
          <w:tcPr>
            <w:tcW w:type="dxa" w:w="3168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Current local POC ADR</w:t>
            </w:r>
          </w:p>
        </w:tc>
        <w:tc>
          <w:tcPr>
            <w:tcW w:type="dxa" w:w="6552"/>
            <w:shd w:val="clear" w:fill="F1F5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wiki/architecture/decisions/ADR-0001-local-poc-stack.md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POC feature package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wiki/delivery/features/FTR-001-poc-platform/feature.md</w:t>
            </w:r>
          </w:p>
        </w:tc>
      </w:tr>
    </w:tbl>
    <w:p>
      <w:pPr>
        <w:spacing w:after="0"/>
      </w:pPr>
    </w:p>
    <w:p>
      <w:pPr>
        <w:pStyle w:val="SmallNote"/>
      </w:pPr>
      <w:r>
        <w:t>External technology references are maintained in the source plan so URLs and product claims can be updated independently from this management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Architecture baseline  |  24 August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t>VIBE-CODE PLATFORM  /  ARCHITECTURE &amp; DELIVERY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74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172A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4748B"/>
      <w:sz w:val="16"/>
    </w:rPr>
  </w:style>
  <w:style w:type="paragraph" w:customStyle="1" w:styleId="Callout">
    <w:name w:val="Callout"/>
    <w:rPr>
      <w:rFonts w:ascii="Aptos" w:hAnsi="Aptos"/>
      <w:b/>
      <w:color w:val="0F766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Vibe-Code Platform Final Production Architecture &amp; Delivery Plan</dc:title>
  <dc:subject>HK production topology, scaling, data placement, staged roadmap and Stage 0 decision package</dc:subject>
  <dc:creator>Architecture Team</dc:creator>
  <cp:keywords>Vibe-Code, architecture, Coder, LiteLLM, Kubernetes, roadmap</cp:keywords>
  <dc:description>generated by python-docx</dc:description>
  <cp:lastModifiedBy/>
  <cp:revision>1</cp:revision>
  <dcterms:created xsi:type="dcterms:W3CDTF">2026-08-24T00:00:00Z</dcterms:created>
  <dcterms:modified xsi:type="dcterms:W3CDTF">2026-08-24T00:00:00Z</dcterms:modified>
  <cp:category/>
</cp:coreProperties>
</file>