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0AE1" w:rsidRPr="000C0AE1" w:rsidRDefault="000C0AE1" w:rsidP="000C0AE1">
      <w:pPr>
        <w:pStyle w:val="ae"/>
        <w:rPr>
          <w:rFonts w:ascii="微软雅黑" w:eastAsia="微软雅黑" w:hAnsi="微软雅黑"/>
        </w:rPr>
      </w:pPr>
      <w:r w:rsidRPr="000C0AE1">
        <w:rPr>
          <w:rFonts w:ascii="微软雅黑" w:eastAsia="微软雅黑" w:hAnsi="微软雅黑"/>
        </w:rPr>
        <w:t>第一，情境与冲突（Context &amp; Conflict）。这是案例的基座。它必须清晰地描绘出案例发生的真实业务战场。这包括当时的行业背景，市场竞争格局，公司的战略意图，以及可用的资源限制。更重要的是，它要揭示核心的冲突。这种冲突可能是产品目标与技术实现能力的矛盾，可能是不同部门之间的利益博弈，也可能是用户短期需求与产品长期价值的权衡。一个没有鲜活冲突的案例，是没有灵魂的。</w:t>
      </w:r>
    </w:p>
    <w:p w:rsidR="000C0AE1" w:rsidRPr="000C0AE1" w:rsidRDefault="000C0AE1" w:rsidP="000C0AE1">
      <w:pPr>
        <w:pStyle w:val="ae"/>
        <w:rPr>
          <w:rFonts w:ascii="微软雅黑" w:eastAsia="微软雅黑" w:hAnsi="微软雅黑"/>
        </w:rPr>
      </w:pPr>
      <w:r w:rsidRPr="000C0AE1">
        <w:rPr>
          <w:rFonts w:ascii="微软雅黑" w:eastAsia="微软雅黑" w:hAnsi="微软雅黑"/>
        </w:rPr>
        <w:t>第二，决策与路径（Decision &amp; Path）。这是案例的骨架，也是学习价值最高的部分。这里不能只展示最终被采纳的“正确”方案。它需要完整呈现当时决策者面临的选项，分析每个选项背后的假设，潜在收益和风险。尤其要记录决策过程中的关键争论和被放弃的方案。这能帮助学习者理解，决策不是一次性的判断，而是在信息不完备的情况下，一系列动态的权衡和取舍。它展现了从混乱到清晰的思考路径。</w:t>
      </w:r>
    </w:p>
    <w:p w:rsidR="000C0AE1" w:rsidRPr="000C0AE1" w:rsidRDefault="000C0AE1" w:rsidP="000C0AE1">
      <w:pPr>
        <w:pStyle w:val="ae"/>
        <w:rPr>
          <w:rFonts w:ascii="微软雅黑" w:eastAsia="微软雅黑" w:hAnsi="微软雅黑"/>
        </w:rPr>
      </w:pPr>
      <w:r w:rsidRPr="000C0AE1">
        <w:rPr>
          <w:rFonts w:ascii="微软雅黑" w:eastAsia="微软雅黑" w:hAnsi="微软雅黑"/>
        </w:rPr>
        <w:t>第三，结果与复盘（Result &amp; Reflection）。这是案例的验证环节。它需要客观展示决策实施后带来的业务结果，最好有明确的数据支撑，这能满足付玲姐对结果驱动的偏好。但比结果更重要的是复盘。当事人需要反思，当初的决策哪些被验证是正确的，哪些是侥幸成功，哪些判断出现了偏差。甚至可以追问，如果重新来过，会在哪个环节做出不一样的选择。成功的经验和失败的教训在复盘中拥有同等重要的价值。</w:t>
      </w:r>
    </w:p>
    <w:p w:rsidR="000C0AE1" w:rsidRPr="000C0AE1" w:rsidRDefault="000C0AE1" w:rsidP="000C0AE1">
      <w:pPr>
        <w:pStyle w:val="ae"/>
        <w:rPr>
          <w:rFonts w:ascii="微软雅黑" w:eastAsia="微软雅黑" w:hAnsi="微软雅黑"/>
        </w:rPr>
      </w:pPr>
      <w:r w:rsidRPr="000C0AE1">
        <w:rPr>
          <w:rFonts w:ascii="微软雅黑" w:eastAsia="微软雅黑" w:hAnsi="微软雅黑"/>
        </w:rPr>
        <w:t>第四，迁移与应用（Transfer &amp; Application）。这是案例的出口，是连接学习和工作的桥梁。在案例结尾，需要提炼出可供学习者迁移的核心原则，实用的工具模型，或者可复用的检查清单。最关键的是，要设计一组高质量的引导</w:t>
      </w:r>
      <w:r w:rsidRPr="000C0AE1">
        <w:rPr>
          <w:rFonts w:ascii="微软雅黑" w:eastAsia="微软雅黑" w:hAnsi="微软雅黑"/>
        </w:rPr>
        <w:lastRenderedPageBreak/>
        <w:t>性问题，激发学习者将案例中的洞察与自己的工作情境相连接，思考“如果是我，我会怎么做？”以及“这个原则能用在我手头的XX项目上吗？”。这直接服务于任务导向的学习目标。</w:t>
      </w:r>
    </w:p>
    <w:p w:rsidR="001A482F" w:rsidRPr="000C0AE1" w:rsidRDefault="001A482F">
      <w:pPr>
        <w:rPr>
          <w:rFonts w:ascii="微软雅黑" w:eastAsia="微软雅黑" w:hAnsi="微软雅黑"/>
        </w:rPr>
      </w:pPr>
    </w:p>
    <w:sectPr w:rsidR="001A482F" w:rsidRPr="000C0AE1" w:rsidSect="00E87A2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E1"/>
    <w:rsid w:val="000C0AE1"/>
    <w:rsid w:val="001A482F"/>
    <w:rsid w:val="00761966"/>
    <w:rsid w:val="00E87A20"/>
    <w:rsid w:val="00EE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E6A4B94-BF78-A64F-91CD-C7051F853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C0A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A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A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A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AE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A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A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A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0A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0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0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0A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0A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0A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0A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0A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0A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0A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0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A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0A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0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0A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0A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0A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0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0A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0AE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C0A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2025-07-29T08:29:00Z</dcterms:created>
  <dcterms:modified xsi:type="dcterms:W3CDTF">2025-07-29T08:43:00Z</dcterms:modified>
</cp:coreProperties>
</file>