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53A36" w14:textId="7D40FC8E" w:rsidR="008258D6" w:rsidRPr="002E4BCB" w:rsidRDefault="008258D6" w:rsidP="008258D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2E4BCB">
        <w:rPr>
          <w:rFonts w:ascii="Times New Roman" w:eastAsia="Times New Roman" w:hAnsi="Times New Roman" w:cs="Times New Roman"/>
          <w:b/>
          <w:bCs/>
          <w:kern w:val="36"/>
          <w:sz w:val="48"/>
          <w:szCs w:val="48"/>
          <w14:ligatures w14:val="none"/>
        </w:rPr>
        <w:t xml:space="preserve">Stage I Technical Benchmarking Metrics </w:t>
      </w:r>
    </w:p>
    <w:p w14:paraId="21E6F599" w14:textId="77777777" w:rsidR="008258D6" w:rsidRDefault="008258D6" w:rsidP="00825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drawing>
          <wp:inline distT="0" distB="0" distL="0" distR="0" wp14:anchorId="0E9224CE" wp14:editId="179AAF88">
            <wp:extent cx="4262967" cy="1655088"/>
            <wp:effectExtent l="0" t="0" r="4445" b="2540"/>
            <wp:docPr id="2061079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2401" cy="1658751"/>
                    </a:xfrm>
                    <a:prstGeom prst="rect">
                      <a:avLst/>
                    </a:prstGeom>
                    <a:noFill/>
                    <a:ln>
                      <a:noFill/>
                    </a:ln>
                  </pic:spPr>
                </pic:pic>
              </a:graphicData>
            </a:graphic>
          </wp:inline>
        </w:drawing>
      </w:r>
    </w:p>
    <w:p w14:paraId="3468A91A" w14:textId="77777777" w:rsidR="008258D6" w:rsidRPr="002E4BCB" w:rsidRDefault="008258D6" w:rsidP="00825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Executive Overview</w:t>
      </w:r>
    </w:p>
    <w:p w14:paraId="2E2C1EF7" w14:textId="77777777" w:rsidR="008258D6" w:rsidRPr="002E4BCB"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Stage I establishes the engineering foundation for all Truth Collective product evaluations. This stage maps each product category to internationally recognized standards bodies, compliance organizations, and engineering authorities. These governing bodies define the minimum thresholds for safety, performance, material quality, and manufacturing integrity.</w:t>
      </w:r>
    </w:p>
    <w:p w14:paraId="6DACBF5F" w14:textId="77777777" w:rsidR="008258D6" w:rsidRPr="002E4BCB"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Stage I ensures that every product reviewed by Truth Collective meets or exceeds baseline engineering expectations before advancing to Stage II quantitative scoring or Stage III page</w:t>
      </w:r>
      <w:r w:rsidRPr="002E4BCB">
        <w:rPr>
          <w:rFonts w:ascii="Times New Roman" w:eastAsia="Times New Roman" w:hAnsi="Times New Roman" w:cs="Times New Roman"/>
          <w:kern w:val="0"/>
          <w14:ligatures w14:val="none"/>
        </w:rPr>
        <w:noBreakHyphen/>
        <w:t>specific evaluation.</w:t>
      </w:r>
    </w:p>
    <w:p w14:paraId="173690F5" w14:textId="77777777" w:rsidR="008258D6" w:rsidRPr="002E4BCB" w:rsidRDefault="008258D6" w:rsidP="00825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1. Global Manufacturing &amp; Quality Standards</w:t>
      </w:r>
    </w:p>
    <w:p w14:paraId="2363BAC8" w14:textId="77777777" w:rsidR="008258D6" w:rsidRPr="002E4BCB"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Truth Collective evaluates products against the world’s most widely adopted manufacturing and quality assurance systems.</w:t>
      </w:r>
    </w:p>
    <w:p w14:paraId="440151D7" w14:textId="77777777" w:rsidR="008258D6" w:rsidRPr="002E4BCB"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ISO Standards</w:t>
      </w:r>
    </w:p>
    <w:p w14:paraId="01AD6E04" w14:textId="0B3852E1" w:rsidR="008258D6" w:rsidRPr="008258D6" w:rsidRDefault="008258D6" w:rsidP="008258D6">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8" w:history="1">
        <w:r w:rsidRPr="008258D6">
          <w:rPr>
            <w:rStyle w:val="Hyperlink"/>
            <w:rFonts w:ascii="Times New Roman" w:eastAsia="Times New Roman" w:hAnsi="Times New Roman" w:cs="Times New Roman"/>
            <w:b/>
            <w:bCs/>
            <w:kern w:val="0"/>
            <w14:ligatures w14:val="none"/>
          </w:rPr>
          <w:t>ISO 9001</w:t>
        </w:r>
        <w:r w:rsidRPr="008258D6">
          <w:rPr>
            <w:rStyle w:val="Hyperlink"/>
            <w:rFonts w:ascii="Times New Roman" w:eastAsia="Times New Roman" w:hAnsi="Times New Roman" w:cs="Times New Roman"/>
            <w:kern w:val="0"/>
            <w14:ligatures w14:val="none"/>
          </w:rPr>
          <w:t xml:space="preserve"> — Quality management systems</w:t>
        </w:r>
      </w:hyperlink>
      <w:r>
        <w:rPr>
          <w:rFonts w:ascii="Times New Roman" w:eastAsia="Times New Roman" w:hAnsi="Times New Roman" w:cs="Times New Roman"/>
          <w:b/>
          <w:bCs/>
          <w:kern w:val="0"/>
          <w14:ligatures w14:val="none"/>
        </w:rPr>
        <w:t xml:space="preserve">  / G</w:t>
      </w:r>
      <w:r w:rsidRPr="008258D6">
        <w:rPr>
          <w:rFonts w:ascii="Playfair Display" w:eastAsia="Times New Roman" w:hAnsi="Playfair Display" w:cs="Times New Roman"/>
          <w:kern w:val="0"/>
          <w14:ligatures w14:val="none"/>
        </w:rPr>
        <w:t>lobally recognized standard for quality management. It helps organizations of all sizes and sectors to improve their performance, meet customer expectations and demonstrate their commitment to quality</w:t>
      </w:r>
    </w:p>
    <w:p w14:paraId="756238D0" w14:textId="5B32872A" w:rsidR="008258D6" w:rsidRPr="008258D6" w:rsidRDefault="008258D6" w:rsidP="008258D6">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9" w:history="1">
        <w:r w:rsidRPr="008258D6">
          <w:rPr>
            <w:rStyle w:val="Hyperlink"/>
            <w:rFonts w:ascii="Times New Roman" w:eastAsia="Times New Roman" w:hAnsi="Times New Roman" w:cs="Times New Roman"/>
            <w:b/>
            <w:bCs/>
            <w:kern w:val="0"/>
            <w14:ligatures w14:val="none"/>
          </w:rPr>
          <w:t>ISO/IEC 27001</w:t>
        </w:r>
        <w:r w:rsidRPr="008258D6">
          <w:rPr>
            <w:rStyle w:val="Hyperlink"/>
            <w:rFonts w:ascii="Times New Roman" w:eastAsia="Times New Roman" w:hAnsi="Times New Roman" w:cs="Times New Roman"/>
            <w:kern w:val="0"/>
            <w14:ligatures w14:val="none"/>
          </w:rPr>
          <w:t xml:space="preserve"> — Information security</w:t>
        </w:r>
      </w:hyperlink>
      <w:r>
        <w:rPr>
          <w:rFonts w:ascii="Times New Roman" w:eastAsia="Times New Roman" w:hAnsi="Times New Roman" w:cs="Times New Roman"/>
          <w:b/>
          <w:bCs/>
          <w:kern w:val="0"/>
          <w14:ligatures w14:val="none"/>
        </w:rPr>
        <w:t xml:space="preserve"> / </w:t>
      </w:r>
      <w:r w:rsidRPr="008258D6">
        <w:rPr>
          <w:rFonts w:ascii="Playfair Display" w:eastAsia="Times New Roman" w:hAnsi="Playfair Display" w:cs="Times New Roman"/>
          <w:kern w:val="0"/>
          <w14:ligatures w14:val="none"/>
        </w:rPr>
        <w:t>The ISO/IEC 27001 standard provides companies of any size and from all sectors of activity with guidance for establishing, implementing, maintaining and continually improving an information security management system</w:t>
      </w:r>
    </w:p>
    <w:p w14:paraId="542A6798" w14:textId="55C90215" w:rsidR="008258D6" w:rsidRPr="008258D6" w:rsidRDefault="008258D6" w:rsidP="008258D6">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0" w:history="1">
        <w:r w:rsidRPr="008258D6">
          <w:rPr>
            <w:rStyle w:val="Hyperlink"/>
            <w:rFonts w:ascii="Playfair Display" w:eastAsia="Times New Roman" w:hAnsi="Playfair Display" w:cs="Times New Roman"/>
            <w:kern w:val="0"/>
            <w14:ligatures w14:val="none"/>
          </w:rPr>
          <w:t>ISO/IEC 62368 — Audio/Video &amp; ICT equipment safety</w:t>
        </w:r>
      </w:hyperlink>
      <w:r w:rsidRPr="008258D6">
        <w:rPr>
          <w:rFonts w:ascii="Playfair Display" w:hAnsi="Playfair Display"/>
        </w:rPr>
        <w:t xml:space="preserve"> </w:t>
      </w:r>
      <w:r w:rsidRPr="008258D6">
        <w:rPr>
          <w:rFonts w:ascii="Playfair Display" w:eastAsia="Times New Roman" w:hAnsi="Playfair Display" w:cs="Times New Roman"/>
          <w:kern w:val="0"/>
          <w14:ligatures w14:val="none"/>
        </w:rPr>
        <w:t>The IEC 62368-1 standard is a globally recognized safety standard for audio, video, information, and communication technology equipment. It replaces older safety standards, ensuring better protection for users and device</w:t>
      </w:r>
      <w:r>
        <w:rPr>
          <w:rFonts w:ascii="Playfair Display" w:eastAsia="Times New Roman" w:hAnsi="Playfair Display" w:cs="Times New Roman"/>
          <w:kern w:val="0"/>
          <w14:ligatures w14:val="none"/>
        </w:rPr>
        <w:t>s.</w:t>
      </w:r>
      <w:r w:rsidRPr="008258D6">
        <w:rPr>
          <w:rFonts w:ascii="Playfair Display" w:eastAsia="Times New Roman" w:hAnsi="Playfair Display" w:cs="Times New Roman"/>
          <w:kern w:val="0"/>
          <w14:ligatures w14:val="none"/>
        </w:rPr>
        <w:t xml:space="preserve"> </w:t>
      </w:r>
    </w:p>
    <w:p w14:paraId="79D50F80" w14:textId="0D3C3628" w:rsidR="008258D6" w:rsidRPr="002E4BCB" w:rsidRDefault="008258D6" w:rsidP="008258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history="1">
        <w:r w:rsidRPr="008258D6">
          <w:rPr>
            <w:rStyle w:val="Hyperlink"/>
            <w:rFonts w:ascii="Times New Roman" w:eastAsia="Times New Roman" w:hAnsi="Times New Roman" w:cs="Times New Roman"/>
            <w:b/>
            <w:bCs/>
            <w:kern w:val="0"/>
            <w14:ligatures w14:val="none"/>
          </w:rPr>
          <w:t>ISO 14001</w:t>
        </w:r>
        <w:r w:rsidRPr="008258D6">
          <w:rPr>
            <w:rStyle w:val="Hyperlink"/>
            <w:rFonts w:ascii="Times New Roman" w:eastAsia="Times New Roman" w:hAnsi="Times New Roman" w:cs="Times New Roman"/>
            <w:kern w:val="0"/>
            <w14:ligatures w14:val="none"/>
          </w:rPr>
          <w:t xml:space="preserve"> — Environmental management</w:t>
        </w:r>
      </w:hyperlink>
      <w:r>
        <w:rPr>
          <w:rFonts w:ascii="Times New Roman" w:eastAsia="Times New Roman" w:hAnsi="Times New Roman" w:cs="Times New Roman"/>
          <w:b/>
          <w:bCs/>
          <w:kern w:val="0"/>
          <w14:ligatures w14:val="none"/>
        </w:rPr>
        <w:t xml:space="preserve"> / </w:t>
      </w:r>
      <w:r w:rsidRPr="008258D6">
        <w:rPr>
          <w:rFonts w:ascii="Playfair Display" w:eastAsia="Times New Roman" w:hAnsi="Playfair Display" w:cs="Times New Roman"/>
          <w:b/>
          <w:bCs/>
          <w:kern w:val="0"/>
          <w14:ligatures w14:val="none"/>
        </w:rPr>
        <w:t>[</w:t>
      </w:r>
      <w:proofErr w:type="gramStart"/>
      <w:r w:rsidRPr="008258D6">
        <w:rPr>
          <w:rFonts w:ascii="Playfair Display" w:eastAsia="Times New Roman" w:hAnsi="Playfair Display" w:cs="Times New Roman"/>
          <w:b/>
          <w:bCs/>
          <w:kern w:val="0"/>
          <w14:ligatures w14:val="none"/>
        </w:rPr>
        <w:t>Stage :</w:t>
      </w:r>
      <w:proofErr w:type="gramEnd"/>
      <w:r w:rsidRPr="008258D6">
        <w:rPr>
          <w:rFonts w:ascii="Playfair Display" w:eastAsia="Times New Roman" w:hAnsi="Playfair Display" w:cs="Times New Roman"/>
          <w:b/>
          <w:bCs/>
          <w:kern w:val="0"/>
          <w14:ligatures w14:val="none"/>
        </w:rPr>
        <w:t xml:space="preserve"> International Standard published [60.60]</w:t>
      </w:r>
      <w:r w:rsidRPr="008258D6">
        <w:rPr>
          <w:rFonts w:ascii="Playfair Display" w:eastAsia="Times New Roman" w:hAnsi="Playfair Display" w:cs="Times New Roman"/>
          <w:b/>
          <w:bCs/>
          <w:kern w:val="0"/>
          <w14:ligatures w14:val="none"/>
        </w:rPr>
        <w:t xml:space="preserve"> </w:t>
      </w:r>
      <w:proofErr w:type="gramStart"/>
      <w:r>
        <w:rPr>
          <w:rFonts w:ascii="Playfair Display" w:eastAsia="Times New Roman" w:hAnsi="Playfair Display" w:cs="Times New Roman"/>
          <w:kern w:val="0"/>
          <w14:ligatures w14:val="none"/>
        </w:rPr>
        <w:t>The</w:t>
      </w:r>
      <w:proofErr w:type="gramEnd"/>
      <w:r w:rsidRPr="008258D6">
        <w:rPr>
          <w:rFonts w:ascii="Playfair Display" w:eastAsia="Times New Roman" w:hAnsi="Playfair Display" w:cs="Times New Roman"/>
          <w:kern w:val="0"/>
          <w14:ligatures w14:val="none"/>
        </w:rPr>
        <w:t xml:space="preserve"> internationally recognized standard for environmental management systems (EMS). It provides a framework for organizations to design and implement </w:t>
      </w:r>
      <w:proofErr w:type="gramStart"/>
      <w:r w:rsidRPr="008258D6">
        <w:rPr>
          <w:rFonts w:ascii="Playfair Display" w:eastAsia="Times New Roman" w:hAnsi="Playfair Display" w:cs="Times New Roman"/>
          <w:kern w:val="0"/>
          <w14:ligatures w14:val="none"/>
        </w:rPr>
        <w:t xml:space="preserve">an </w:t>
      </w:r>
      <w:r w:rsidRPr="008258D6">
        <w:rPr>
          <w:rFonts w:ascii="Playfair Display" w:eastAsia="Times New Roman" w:hAnsi="Playfair Display" w:cs="Times New Roman"/>
          <w:kern w:val="0"/>
          <w14:ligatures w14:val="none"/>
        </w:rPr>
        <w:t>EMS</w:t>
      </w:r>
      <w:proofErr w:type="gramEnd"/>
      <w:r w:rsidRPr="008258D6">
        <w:rPr>
          <w:rFonts w:ascii="Playfair Display" w:eastAsia="Times New Roman" w:hAnsi="Playfair Display" w:cs="Times New Roman"/>
          <w:kern w:val="0"/>
          <w14:ligatures w14:val="none"/>
        </w:rPr>
        <w:t xml:space="preserve"> and</w:t>
      </w:r>
      <w:r w:rsidRPr="008258D6">
        <w:rPr>
          <w:rFonts w:ascii="Playfair Display" w:eastAsia="Times New Roman" w:hAnsi="Playfair Display" w:cs="Times New Roman"/>
          <w:kern w:val="0"/>
          <w14:ligatures w14:val="none"/>
        </w:rPr>
        <w:t xml:space="preserve"> continually improve their environmental performance</w:t>
      </w:r>
      <w:r>
        <w:rPr>
          <w:rFonts w:ascii="Playfair Display" w:eastAsia="Times New Roman" w:hAnsi="Playfair Display" w:cs="Times New Roman"/>
          <w:kern w:val="0"/>
          <w14:ligatures w14:val="none"/>
        </w:rPr>
        <w:t>.</w:t>
      </w:r>
    </w:p>
    <w:p w14:paraId="7DC0A72B" w14:textId="77777777" w:rsidR="008258D6" w:rsidRPr="002E4BCB"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IATF &amp; AS Standards</w:t>
      </w:r>
    </w:p>
    <w:p w14:paraId="62DA1E9F" w14:textId="715AEE75" w:rsidR="008258D6" w:rsidRPr="008258D6" w:rsidRDefault="008258D6" w:rsidP="008258D6">
      <w:pPr>
        <w:numPr>
          <w:ilvl w:val="0"/>
          <w:numId w:val="2"/>
        </w:numPr>
        <w:spacing w:before="100" w:beforeAutospacing="1" w:after="100" w:afterAutospacing="1" w:line="240" w:lineRule="auto"/>
        <w:rPr>
          <w:rFonts w:ascii="Playfair Display" w:eastAsia="Times New Roman" w:hAnsi="Playfair Display" w:cs="Times New Roman"/>
          <w:kern w:val="0"/>
          <w14:ligatures w14:val="none"/>
        </w:rPr>
      </w:pPr>
      <w:hyperlink r:id="rId12" w:history="1">
        <w:r w:rsidRPr="008258D6">
          <w:rPr>
            <w:rStyle w:val="Hyperlink"/>
            <w:rFonts w:ascii="Times New Roman" w:eastAsia="Times New Roman" w:hAnsi="Times New Roman" w:cs="Times New Roman"/>
            <w:b/>
            <w:bCs/>
            <w:kern w:val="0"/>
            <w14:ligatures w14:val="none"/>
          </w:rPr>
          <w:t>IATF 16949</w:t>
        </w:r>
        <w:r w:rsidRPr="008258D6">
          <w:rPr>
            <w:rStyle w:val="Hyperlink"/>
            <w:rFonts w:ascii="Times New Roman" w:eastAsia="Times New Roman" w:hAnsi="Times New Roman" w:cs="Times New Roman"/>
            <w:kern w:val="0"/>
            <w14:ligatures w14:val="none"/>
          </w:rPr>
          <w:t xml:space="preserve"> — Automotive manufacturing</w:t>
        </w:r>
      </w:hyperlink>
      <w:r>
        <w:rPr>
          <w:rFonts w:ascii="Times New Roman" w:eastAsia="Times New Roman" w:hAnsi="Times New Roman" w:cs="Times New Roman"/>
          <w:b/>
          <w:bCs/>
          <w:kern w:val="0"/>
          <w14:ligatures w14:val="none"/>
        </w:rPr>
        <w:t xml:space="preserve"> / </w:t>
      </w:r>
      <w:r w:rsidRPr="008258D6">
        <w:rPr>
          <w:rFonts w:ascii="Playfair Display" w:eastAsia="Times New Roman" w:hAnsi="Playfair Display" w:cs="Times New Roman"/>
          <w:kern w:val="0"/>
          <w14:ligatures w14:val="none"/>
        </w:rPr>
        <w:t>International Automotive Task Force (IATF) with the aim of harmonizing the different assessment and certification systems worldwide in the supply chain for the automotive sector.</w:t>
      </w:r>
    </w:p>
    <w:p w14:paraId="64D5994B" w14:textId="3E825B5C" w:rsidR="008258D6" w:rsidRPr="002E4BCB" w:rsidRDefault="008258D6" w:rsidP="008258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8258D6">
          <w:rPr>
            <w:rStyle w:val="Hyperlink"/>
            <w:rFonts w:ascii="Times New Roman" w:eastAsia="Times New Roman" w:hAnsi="Times New Roman" w:cs="Times New Roman"/>
            <w:b/>
            <w:bCs/>
            <w:kern w:val="0"/>
            <w14:ligatures w14:val="none"/>
          </w:rPr>
          <w:t>AS9100</w:t>
        </w:r>
        <w:r w:rsidRPr="008258D6">
          <w:rPr>
            <w:rStyle w:val="Hyperlink"/>
            <w:rFonts w:ascii="Times New Roman" w:eastAsia="Times New Roman" w:hAnsi="Times New Roman" w:cs="Times New Roman"/>
            <w:kern w:val="0"/>
            <w14:ligatures w14:val="none"/>
          </w:rPr>
          <w:t xml:space="preserve"> — Aerospace manufacturing</w:t>
        </w:r>
      </w:hyperlink>
      <w:r>
        <w:rPr>
          <w:rFonts w:ascii="Times New Roman" w:eastAsia="Times New Roman" w:hAnsi="Times New Roman" w:cs="Times New Roman"/>
          <w:b/>
          <w:bCs/>
          <w:kern w:val="0"/>
          <w14:ligatures w14:val="none"/>
        </w:rPr>
        <w:t xml:space="preserve"> / </w:t>
      </w:r>
      <w:r w:rsidRPr="008258D6">
        <w:rPr>
          <w:rFonts w:ascii="Playfair Display" w:eastAsia="Times New Roman" w:hAnsi="Playfair Display" w:cs="Times New Roman"/>
          <w:kern w:val="0"/>
          <w14:ligatures w14:val="none"/>
        </w:rPr>
        <w:t>Quality Systems - Aerospace - Model for Quality Assurance in Design, Development, Production, Installation and Servicing</w:t>
      </w:r>
    </w:p>
    <w:p w14:paraId="7166C2C9" w14:textId="77777777" w:rsidR="008258D6" w:rsidRPr="002E4BCB"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These standards define the structural, procedural, and quality benchmarks required for professional</w:t>
      </w:r>
      <w:r w:rsidRPr="002E4BCB">
        <w:rPr>
          <w:rFonts w:ascii="Times New Roman" w:eastAsia="Times New Roman" w:hAnsi="Times New Roman" w:cs="Times New Roman"/>
          <w:kern w:val="0"/>
          <w14:ligatures w14:val="none"/>
        </w:rPr>
        <w:noBreakHyphen/>
        <w:t>grade products.</w:t>
      </w:r>
    </w:p>
    <w:p w14:paraId="0E4B927B" w14:textId="77777777" w:rsidR="008258D6" w:rsidRPr="002E4BCB" w:rsidRDefault="008258D6" w:rsidP="00825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2. Safety &amp; Compliance Standards</w:t>
      </w:r>
    </w:p>
    <w:p w14:paraId="043F3D19" w14:textId="77777777" w:rsidR="008258D6" w:rsidRPr="002E4BCB"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Truth Collective verifies compliance with all relevant safety and regulatory bodies.</w:t>
      </w:r>
    </w:p>
    <w:p w14:paraId="09179558" w14:textId="77777777" w:rsidR="008258D6" w:rsidRPr="002E4BCB"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Electrical &amp; Safety Certification</w:t>
      </w:r>
    </w:p>
    <w:p w14:paraId="68C8F95A" w14:textId="77777777" w:rsidR="008258D6" w:rsidRPr="002E4BCB" w:rsidRDefault="008258D6" w:rsidP="008258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UL</w:t>
      </w:r>
      <w:r w:rsidRPr="002E4BCB">
        <w:rPr>
          <w:rFonts w:ascii="Times New Roman" w:eastAsia="Times New Roman" w:hAnsi="Times New Roman" w:cs="Times New Roman"/>
          <w:kern w:val="0"/>
          <w14:ligatures w14:val="none"/>
        </w:rPr>
        <w:t xml:space="preserve"> — Underwriters Laboratories</w:t>
      </w:r>
    </w:p>
    <w:p w14:paraId="0112EE3B" w14:textId="77777777" w:rsidR="008258D6" w:rsidRPr="002E4BCB" w:rsidRDefault="008258D6" w:rsidP="008258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ETL</w:t>
      </w:r>
      <w:r w:rsidRPr="002E4BCB">
        <w:rPr>
          <w:rFonts w:ascii="Times New Roman" w:eastAsia="Times New Roman" w:hAnsi="Times New Roman" w:cs="Times New Roman"/>
          <w:kern w:val="0"/>
          <w14:ligatures w14:val="none"/>
        </w:rPr>
        <w:t xml:space="preserve"> — Intertek</w:t>
      </w:r>
    </w:p>
    <w:p w14:paraId="4E49FC90" w14:textId="77777777" w:rsidR="008258D6" w:rsidRPr="002E4BCB" w:rsidRDefault="008258D6" w:rsidP="008258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CSA Group</w:t>
      </w:r>
      <w:r w:rsidRPr="002E4BCB">
        <w:rPr>
          <w:rFonts w:ascii="Times New Roman" w:eastAsia="Times New Roman" w:hAnsi="Times New Roman" w:cs="Times New Roman"/>
          <w:kern w:val="0"/>
          <w14:ligatures w14:val="none"/>
        </w:rPr>
        <w:t xml:space="preserve"> — Canadian Standards Association</w:t>
      </w:r>
    </w:p>
    <w:p w14:paraId="076B03D2" w14:textId="77777777" w:rsidR="008258D6" w:rsidRPr="002E4BCB"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Regulatory Compliance</w:t>
      </w:r>
    </w:p>
    <w:p w14:paraId="2F7E569F" w14:textId="77777777" w:rsidR="008258D6" w:rsidRPr="002E4BCB" w:rsidRDefault="008258D6" w:rsidP="008258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FCC</w:t>
      </w:r>
      <w:r w:rsidRPr="002E4BCB">
        <w:rPr>
          <w:rFonts w:ascii="Times New Roman" w:eastAsia="Times New Roman" w:hAnsi="Times New Roman" w:cs="Times New Roman"/>
          <w:kern w:val="0"/>
          <w14:ligatures w14:val="none"/>
        </w:rPr>
        <w:t xml:space="preserve"> — Electromagnetic emissions</w:t>
      </w:r>
    </w:p>
    <w:p w14:paraId="1CCDE89B" w14:textId="77777777" w:rsidR="008258D6" w:rsidRPr="002E4BCB" w:rsidRDefault="008258D6" w:rsidP="008258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CE</w:t>
      </w:r>
      <w:r w:rsidRPr="002E4BCB">
        <w:rPr>
          <w:rFonts w:ascii="Times New Roman" w:eastAsia="Times New Roman" w:hAnsi="Times New Roman" w:cs="Times New Roman"/>
          <w:kern w:val="0"/>
          <w14:ligatures w14:val="none"/>
        </w:rPr>
        <w:t xml:space="preserve"> — European </w:t>
      </w:r>
      <w:proofErr w:type="gramStart"/>
      <w:r w:rsidRPr="002E4BCB">
        <w:rPr>
          <w:rFonts w:ascii="Times New Roman" w:eastAsia="Times New Roman" w:hAnsi="Times New Roman" w:cs="Times New Roman"/>
          <w:kern w:val="0"/>
          <w14:ligatures w14:val="none"/>
        </w:rPr>
        <w:t>conformity</w:t>
      </w:r>
      <w:proofErr w:type="gramEnd"/>
    </w:p>
    <w:p w14:paraId="226149CB" w14:textId="77777777" w:rsidR="008258D6" w:rsidRPr="002E4BCB" w:rsidRDefault="008258D6" w:rsidP="008258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CPSC</w:t>
      </w:r>
      <w:r w:rsidRPr="002E4BCB">
        <w:rPr>
          <w:rFonts w:ascii="Times New Roman" w:eastAsia="Times New Roman" w:hAnsi="Times New Roman" w:cs="Times New Roman"/>
          <w:kern w:val="0"/>
          <w14:ligatures w14:val="none"/>
        </w:rPr>
        <w:t xml:space="preserve"> — Consumer product safety</w:t>
      </w:r>
    </w:p>
    <w:p w14:paraId="0958AF2A" w14:textId="77777777" w:rsidR="008258D6" w:rsidRPr="002E4BCB" w:rsidRDefault="008258D6" w:rsidP="008258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DOE</w:t>
      </w:r>
      <w:r w:rsidRPr="002E4BCB">
        <w:rPr>
          <w:rFonts w:ascii="Times New Roman" w:eastAsia="Times New Roman" w:hAnsi="Times New Roman" w:cs="Times New Roman"/>
          <w:kern w:val="0"/>
          <w14:ligatures w14:val="none"/>
        </w:rPr>
        <w:t xml:space="preserve"> — Energy efficiency</w:t>
      </w:r>
    </w:p>
    <w:p w14:paraId="2A449D80" w14:textId="12B3F69B" w:rsidR="008258D6" w:rsidRPr="002E4BCB" w:rsidRDefault="008258D6" w:rsidP="008258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8258D6">
          <w:rPr>
            <w:rStyle w:val="Hyperlink"/>
            <w:rFonts w:ascii="Times New Roman" w:eastAsia="Times New Roman" w:hAnsi="Times New Roman" w:cs="Times New Roman"/>
            <w:b/>
            <w:bCs/>
            <w:kern w:val="0"/>
            <w14:ligatures w14:val="none"/>
          </w:rPr>
          <w:t>EPA</w:t>
        </w:r>
        <w:r w:rsidRPr="008258D6">
          <w:rPr>
            <w:rStyle w:val="Hyperlink"/>
            <w:rFonts w:ascii="Times New Roman" w:eastAsia="Times New Roman" w:hAnsi="Times New Roman" w:cs="Times New Roman"/>
            <w:kern w:val="0"/>
            <w14:ligatures w14:val="none"/>
          </w:rPr>
          <w:t xml:space="preserve"> — Chemical &amp; environmental compliance</w:t>
        </w:r>
      </w:hyperlink>
      <w:r>
        <w:rPr>
          <w:rFonts w:ascii="Times New Roman" w:eastAsia="Times New Roman" w:hAnsi="Times New Roman" w:cs="Times New Roman"/>
          <w:b/>
          <w:bCs/>
          <w:kern w:val="0"/>
          <w14:ligatures w14:val="none"/>
        </w:rPr>
        <w:t xml:space="preserve"> / </w:t>
      </w:r>
      <w:hyperlink r:id="rId15" w:history="1">
        <w:r w:rsidRPr="008258D6">
          <w:rPr>
            <w:rStyle w:val="Hyperlink"/>
            <w:rFonts w:ascii="Times New Roman" w:eastAsia="Times New Roman" w:hAnsi="Times New Roman" w:cs="Times New Roman"/>
            <w:b/>
            <w:bCs/>
            <w:kern w:val="0"/>
            <w14:ligatures w14:val="none"/>
          </w:rPr>
          <w:t>The mission of EPA is to protect human health and the environment</w:t>
        </w:r>
      </w:hyperlink>
    </w:p>
    <w:p w14:paraId="255AF6AB" w14:textId="43A3C8DB" w:rsidR="008258D6" w:rsidRPr="008258D6" w:rsidRDefault="008258D6" w:rsidP="008258D6">
      <w:pPr>
        <w:numPr>
          <w:ilvl w:val="0"/>
          <w:numId w:val="4"/>
        </w:numPr>
        <w:spacing w:before="100" w:beforeAutospacing="1" w:after="100" w:afterAutospacing="1" w:line="240" w:lineRule="auto"/>
        <w:rPr>
          <w:rFonts w:ascii="Playfair Display" w:eastAsia="Times New Roman" w:hAnsi="Playfair Display" w:cs="Times New Roman"/>
          <w:kern w:val="0"/>
          <w14:ligatures w14:val="none"/>
        </w:rPr>
      </w:pPr>
      <w:hyperlink r:id="rId16" w:history="1">
        <w:r w:rsidRPr="008258D6">
          <w:rPr>
            <w:rStyle w:val="Hyperlink"/>
            <w:rFonts w:ascii="Times New Roman" w:eastAsia="Times New Roman" w:hAnsi="Times New Roman" w:cs="Times New Roman"/>
            <w:b/>
            <w:bCs/>
            <w:kern w:val="0"/>
            <w14:ligatures w14:val="none"/>
          </w:rPr>
          <w:t>RoHS</w:t>
        </w:r>
        <w:r w:rsidRPr="008258D6">
          <w:rPr>
            <w:rStyle w:val="Hyperlink"/>
            <w:rFonts w:ascii="Times New Roman" w:eastAsia="Times New Roman" w:hAnsi="Times New Roman" w:cs="Times New Roman"/>
            <w:kern w:val="0"/>
            <w14:ligatures w14:val="none"/>
          </w:rPr>
          <w:t xml:space="preserve"> — Hazardous substance restrictions</w:t>
        </w:r>
      </w:hyperlink>
      <w:r>
        <w:rPr>
          <w:rFonts w:ascii="Times New Roman" w:eastAsia="Times New Roman" w:hAnsi="Times New Roman" w:cs="Times New Roman"/>
          <w:b/>
          <w:bCs/>
          <w:kern w:val="0"/>
          <w14:ligatures w14:val="none"/>
        </w:rPr>
        <w:t xml:space="preserve"> / </w:t>
      </w:r>
      <w:r w:rsidRPr="008258D6">
        <w:rPr>
          <w:rFonts w:ascii="Playfair Display" w:eastAsia="Times New Roman" w:hAnsi="Playfair Display" w:cs="Times New Roman"/>
          <w:kern w:val="0"/>
          <w14:ligatures w14:val="none"/>
        </w:rPr>
        <w:t>Information about the implementation of the RoHS Directive, including the exemption procedure, timeframe and assessment studies.</w:t>
      </w:r>
    </w:p>
    <w:p w14:paraId="2DB5B652" w14:textId="77777777" w:rsidR="008258D6" w:rsidRPr="002E4BCB"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Products lacking proper compliance automatically receive reduced scores or disqualification.</w:t>
      </w:r>
    </w:p>
    <w:p w14:paraId="2F20241C" w14:textId="77777777" w:rsidR="008258D6" w:rsidRPr="002E4BCB" w:rsidRDefault="008258D6" w:rsidP="00825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3. Category-Specific Engineering Bodies</w:t>
      </w:r>
    </w:p>
    <w:p w14:paraId="7F16021C" w14:textId="77777777" w:rsidR="008258D6" w:rsidRPr="002E4BCB"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lastRenderedPageBreak/>
        <w:t>Each product category is mapped to its own engineering authorities.</w:t>
      </w:r>
    </w:p>
    <w:p w14:paraId="0A5BF85E" w14:textId="77777777" w:rsidR="008258D6" w:rsidRPr="002E4BCB"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Audio Engineering</w:t>
      </w:r>
    </w:p>
    <w:p w14:paraId="0553DBEF" w14:textId="77777777" w:rsidR="008258D6" w:rsidRPr="002E4BCB" w:rsidRDefault="008258D6" w:rsidP="008258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AES</w:t>
      </w:r>
      <w:r w:rsidRPr="002E4BCB">
        <w:rPr>
          <w:rFonts w:ascii="Times New Roman" w:eastAsia="Times New Roman" w:hAnsi="Times New Roman" w:cs="Times New Roman"/>
          <w:kern w:val="0"/>
          <w14:ligatures w14:val="none"/>
        </w:rPr>
        <w:t xml:space="preserve"> — Audio Engineering Society</w:t>
      </w:r>
    </w:p>
    <w:p w14:paraId="7D29129F" w14:textId="77777777" w:rsidR="008258D6" w:rsidRPr="002E4BCB" w:rsidRDefault="008258D6" w:rsidP="008258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IEC 60268</w:t>
      </w:r>
      <w:r w:rsidRPr="002E4BCB">
        <w:rPr>
          <w:rFonts w:ascii="Times New Roman" w:eastAsia="Times New Roman" w:hAnsi="Times New Roman" w:cs="Times New Roman"/>
          <w:kern w:val="0"/>
          <w14:ligatures w14:val="none"/>
        </w:rPr>
        <w:t xml:space="preserve"> — Sound system equipment</w:t>
      </w:r>
    </w:p>
    <w:p w14:paraId="2BBC63CF" w14:textId="77777777" w:rsidR="008258D6" w:rsidRPr="002E4BCB"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Computing &amp; Electronics</w:t>
      </w:r>
    </w:p>
    <w:p w14:paraId="754DD463" w14:textId="0F8F69AA" w:rsidR="008258D6" w:rsidRPr="008258D6" w:rsidRDefault="008258D6" w:rsidP="008258D6">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hyperlink r:id="rId17" w:history="1">
        <w:r w:rsidRPr="008258D6">
          <w:rPr>
            <w:rStyle w:val="Hyperlink"/>
            <w:rFonts w:ascii="Times New Roman" w:eastAsia="Times New Roman" w:hAnsi="Times New Roman" w:cs="Times New Roman"/>
            <w:b/>
            <w:bCs/>
            <w:kern w:val="0"/>
            <w14:ligatures w14:val="none"/>
          </w:rPr>
          <w:t>IEEE</w:t>
        </w:r>
        <w:r w:rsidRPr="008258D6">
          <w:rPr>
            <w:rStyle w:val="Hyperlink"/>
            <w:rFonts w:ascii="Times New Roman" w:eastAsia="Times New Roman" w:hAnsi="Times New Roman" w:cs="Times New Roman"/>
            <w:kern w:val="0"/>
            <w14:ligatures w14:val="none"/>
          </w:rPr>
          <w:t xml:space="preserve"> — Electrical &amp; computing standards</w:t>
        </w:r>
      </w:hyperlink>
      <w:r>
        <w:rPr>
          <w:rFonts w:ascii="Times New Roman" w:eastAsia="Times New Roman" w:hAnsi="Times New Roman" w:cs="Times New Roman"/>
          <w:b/>
          <w:bCs/>
          <w:kern w:val="0"/>
          <w14:ligatures w14:val="none"/>
        </w:rPr>
        <w:t xml:space="preserve"> / </w:t>
      </w:r>
      <w:r w:rsidRPr="008258D6">
        <w:rPr>
          <w:rFonts w:ascii="Playfair Display" w:eastAsia="Times New Roman" w:hAnsi="Playfair Display" w:cs="Times New Roman"/>
          <w:kern w:val="0"/>
          <w14:ligatures w14:val="none"/>
        </w:rPr>
        <w:t>O</w:t>
      </w:r>
      <w:r w:rsidRPr="008258D6">
        <w:rPr>
          <w:rFonts w:ascii="Playfair Display" w:eastAsia="Times New Roman" w:hAnsi="Playfair Display" w:cs="Times New Roman"/>
          <w:kern w:val="0"/>
          <w14:ligatures w14:val="none"/>
        </w:rPr>
        <w:t>versight involves evaluating and directing the needs and considerations associated with innovative IEEE SA products and services. A key benefit of IEEE SA Governance involves actively promoting new initiatives throughout the standards life cycle while facilitating industry input</w:t>
      </w:r>
      <w:r>
        <w:rPr>
          <w:rFonts w:ascii="Playfair Display" w:eastAsia="Times New Roman" w:hAnsi="Playfair Display" w:cs="Times New Roman"/>
          <w:kern w:val="0"/>
          <w14:ligatures w14:val="none"/>
        </w:rPr>
        <w:t>.</w:t>
      </w:r>
    </w:p>
    <w:p w14:paraId="45D9D226" w14:textId="5CF00012" w:rsidR="008258D6" w:rsidRPr="008258D6" w:rsidRDefault="008258D6" w:rsidP="008258D6">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hyperlink r:id="rId18" w:history="1">
        <w:r w:rsidRPr="008258D6">
          <w:rPr>
            <w:rStyle w:val="Hyperlink"/>
            <w:rFonts w:ascii="Times New Roman" w:eastAsia="Times New Roman" w:hAnsi="Times New Roman" w:cs="Times New Roman"/>
            <w:b/>
            <w:bCs/>
            <w:kern w:val="0"/>
            <w14:ligatures w14:val="none"/>
          </w:rPr>
          <w:t>JEDEC</w:t>
        </w:r>
        <w:r w:rsidRPr="008258D6">
          <w:rPr>
            <w:rStyle w:val="Hyperlink"/>
            <w:rFonts w:ascii="Times New Roman" w:eastAsia="Times New Roman" w:hAnsi="Times New Roman" w:cs="Times New Roman"/>
            <w:kern w:val="0"/>
            <w14:ligatures w14:val="none"/>
          </w:rPr>
          <w:t xml:space="preserve"> — Memory &amp; semiconductor standards</w:t>
        </w:r>
      </w:hyperlink>
      <w:r>
        <w:rPr>
          <w:rFonts w:ascii="Times New Roman" w:eastAsia="Times New Roman" w:hAnsi="Times New Roman" w:cs="Times New Roman"/>
          <w:b/>
          <w:bCs/>
          <w:kern w:val="0"/>
          <w14:ligatures w14:val="none"/>
        </w:rPr>
        <w:t xml:space="preserve"> / </w:t>
      </w:r>
      <w:r w:rsidRPr="008258D6">
        <w:rPr>
          <w:rFonts w:ascii="Playfair Display" w:eastAsia="Times New Roman" w:hAnsi="Playfair Display" w:cs="Times New Roman"/>
          <w:kern w:val="0"/>
          <w14:ligatures w14:val="none"/>
        </w:rPr>
        <w:t>JEDEC brings manufacturers and suppliers together to participate in more than 50 committees and subcommittees, with the mission to create standards to meet the diverse technical and developmental needs of the industry</w:t>
      </w:r>
      <w:r>
        <w:rPr>
          <w:rFonts w:ascii="Playfair Display" w:eastAsia="Times New Roman" w:hAnsi="Playfair Display" w:cs="Times New Roman"/>
          <w:kern w:val="0"/>
          <w14:ligatures w14:val="none"/>
        </w:rPr>
        <w:t>.</w:t>
      </w:r>
    </w:p>
    <w:p w14:paraId="505FE321" w14:textId="0E545E06" w:rsidR="008258D6" w:rsidRPr="008258D6" w:rsidRDefault="008258D6" w:rsidP="008258D6">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hyperlink r:id="rId19" w:history="1">
        <w:r w:rsidRPr="008258D6">
          <w:rPr>
            <w:rStyle w:val="Hyperlink"/>
            <w:rFonts w:ascii="Times New Roman" w:eastAsia="Times New Roman" w:hAnsi="Times New Roman" w:cs="Times New Roman"/>
            <w:b/>
            <w:bCs/>
            <w:kern w:val="0"/>
            <w14:ligatures w14:val="none"/>
          </w:rPr>
          <w:t>PCI</w:t>
        </w:r>
        <w:r w:rsidRPr="008258D6">
          <w:rPr>
            <w:rStyle w:val="Hyperlink"/>
            <w:rFonts w:ascii="Times New Roman" w:eastAsia="Times New Roman" w:hAnsi="Times New Roman" w:cs="Times New Roman"/>
            <w:b/>
            <w:bCs/>
            <w:kern w:val="0"/>
            <w14:ligatures w14:val="none"/>
          </w:rPr>
          <w:noBreakHyphen/>
          <w:t>SIG</w:t>
        </w:r>
        <w:r w:rsidRPr="008258D6">
          <w:rPr>
            <w:rStyle w:val="Hyperlink"/>
            <w:rFonts w:ascii="Times New Roman" w:eastAsia="Times New Roman" w:hAnsi="Times New Roman" w:cs="Times New Roman"/>
            <w:kern w:val="0"/>
            <w14:ligatures w14:val="none"/>
          </w:rPr>
          <w:t xml:space="preserve"> — PCI Express standards</w:t>
        </w:r>
      </w:hyperlink>
      <w:r>
        <w:rPr>
          <w:rFonts w:ascii="Times New Roman" w:eastAsia="Times New Roman" w:hAnsi="Times New Roman" w:cs="Times New Roman"/>
          <w:b/>
          <w:bCs/>
          <w:kern w:val="0"/>
          <w14:ligatures w14:val="none"/>
        </w:rPr>
        <w:t xml:space="preserve"> / </w:t>
      </w:r>
      <w:proofErr w:type="spellStart"/>
      <w:r w:rsidRPr="008258D6">
        <w:rPr>
          <w:rFonts w:ascii="Playfair Display" w:eastAsia="Times New Roman" w:hAnsi="Playfair Display" w:cs="Times New Roman"/>
          <w:kern w:val="0"/>
          <w14:ligatures w14:val="none"/>
        </w:rPr>
        <w:t>SpecificationsPCI</w:t>
      </w:r>
      <w:proofErr w:type="spellEnd"/>
      <w:r w:rsidRPr="008258D6">
        <w:rPr>
          <w:rFonts w:ascii="Playfair Display" w:eastAsia="Times New Roman" w:hAnsi="Playfair Display" w:cs="Times New Roman"/>
          <w:kern w:val="0"/>
          <w14:ligatures w14:val="none"/>
        </w:rPr>
        <w:t>-SIG® specifications define standards driving the industry-wide compatibility of peripheral component interconnects.</w:t>
      </w:r>
    </w:p>
    <w:p w14:paraId="09995557" w14:textId="77777777" w:rsidR="008258D6" w:rsidRPr="002E4BCB"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Woodworking &amp; Furniture</w:t>
      </w:r>
    </w:p>
    <w:p w14:paraId="5A6B90BE" w14:textId="51D89DBE" w:rsidR="008258D6" w:rsidRPr="008258D6" w:rsidRDefault="008258D6" w:rsidP="008258D6">
      <w:pPr>
        <w:numPr>
          <w:ilvl w:val="0"/>
          <w:numId w:val="7"/>
        </w:numPr>
        <w:spacing w:before="100" w:beforeAutospacing="1" w:after="100" w:afterAutospacing="1" w:line="240" w:lineRule="auto"/>
        <w:rPr>
          <w:rFonts w:ascii="Playfair Display" w:eastAsia="Times New Roman" w:hAnsi="Playfair Display" w:cs="Times New Roman"/>
          <w:kern w:val="0"/>
          <w14:ligatures w14:val="none"/>
        </w:rPr>
      </w:pPr>
      <w:hyperlink r:id="rId20" w:history="1">
        <w:r w:rsidRPr="008258D6">
          <w:rPr>
            <w:rStyle w:val="Hyperlink"/>
            <w:rFonts w:ascii="Times New Roman" w:eastAsia="Times New Roman" w:hAnsi="Times New Roman" w:cs="Times New Roman"/>
            <w:b/>
            <w:bCs/>
            <w:kern w:val="0"/>
            <w14:ligatures w14:val="none"/>
          </w:rPr>
          <w:t>AWI</w:t>
        </w:r>
        <w:r w:rsidRPr="008258D6">
          <w:rPr>
            <w:rStyle w:val="Hyperlink"/>
            <w:rFonts w:ascii="Times New Roman" w:eastAsia="Times New Roman" w:hAnsi="Times New Roman" w:cs="Times New Roman"/>
            <w:kern w:val="0"/>
            <w14:ligatures w14:val="none"/>
          </w:rPr>
          <w:t xml:space="preserve"> — Architectural Woodwork Institute</w:t>
        </w:r>
      </w:hyperlink>
      <w:r>
        <w:rPr>
          <w:rFonts w:ascii="Times New Roman" w:eastAsia="Times New Roman" w:hAnsi="Times New Roman" w:cs="Times New Roman"/>
          <w:b/>
          <w:bCs/>
          <w:kern w:val="0"/>
          <w14:ligatures w14:val="none"/>
        </w:rPr>
        <w:t xml:space="preserve"> / </w:t>
      </w:r>
      <w:r w:rsidRPr="008258D6">
        <w:rPr>
          <w:rFonts w:ascii="Playfair Display" w:eastAsia="Times New Roman" w:hAnsi="Playfair Display" w:cs="Times New Roman"/>
          <w:kern w:val="0"/>
          <w14:ligatures w14:val="none"/>
        </w:rPr>
        <w:t>Upholding the highest standards of honesty and transparency in all our endeavors, ensuring trustworthiness in every facet of our organization.</w:t>
      </w:r>
    </w:p>
    <w:p w14:paraId="6B9CB452" w14:textId="0E3919F8" w:rsidR="008258D6" w:rsidRPr="002E4BCB" w:rsidRDefault="008258D6" w:rsidP="008258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hyperlink r:id="rId21" w:history="1">
        <w:r w:rsidRPr="008258D6">
          <w:rPr>
            <w:rStyle w:val="Hyperlink"/>
            <w:rFonts w:ascii="Times New Roman" w:eastAsia="Times New Roman" w:hAnsi="Times New Roman" w:cs="Times New Roman"/>
            <w:b/>
            <w:bCs/>
            <w:kern w:val="0"/>
            <w14:ligatures w14:val="none"/>
          </w:rPr>
          <w:t>NHLA</w:t>
        </w:r>
        <w:r w:rsidRPr="008258D6">
          <w:rPr>
            <w:rStyle w:val="Hyperlink"/>
            <w:rFonts w:ascii="Times New Roman" w:eastAsia="Times New Roman" w:hAnsi="Times New Roman" w:cs="Times New Roman"/>
            <w:kern w:val="0"/>
            <w14:ligatures w14:val="none"/>
          </w:rPr>
          <w:t xml:space="preserve"> — Hardwood lumber grading</w:t>
        </w:r>
      </w:hyperlink>
      <w:r>
        <w:rPr>
          <w:rFonts w:ascii="Times New Roman" w:eastAsia="Times New Roman" w:hAnsi="Times New Roman" w:cs="Times New Roman"/>
          <w:b/>
          <w:bCs/>
          <w:kern w:val="0"/>
          <w14:ligatures w14:val="none"/>
        </w:rPr>
        <w:t xml:space="preserve"> / </w:t>
      </w:r>
      <w:r w:rsidRPr="008258D6">
        <w:rPr>
          <w:rFonts w:ascii="Playfair Display" w:eastAsia="Times New Roman" w:hAnsi="Playfair Display" w:cs="Times New Roman"/>
          <w:kern w:val="0"/>
          <w14:ligatures w14:val="none"/>
        </w:rPr>
        <w:t>T</w:t>
      </w:r>
      <w:r w:rsidRPr="008258D6">
        <w:rPr>
          <w:rFonts w:ascii="Playfair Display" w:eastAsia="Times New Roman" w:hAnsi="Playfair Display" w:cs="Times New Roman"/>
          <w:kern w:val="0"/>
          <w14:ligatures w14:val="none"/>
        </w:rPr>
        <w:t>he NHLA Grading Rules have defined the standard for consistent, fair, and accurate classification of hardwood lumber across North America. Trusted by sawmills, distributors, and manufacturers worldwide</w:t>
      </w:r>
      <w:r>
        <w:rPr>
          <w:rFonts w:ascii="Playfair Display" w:eastAsia="Times New Roman" w:hAnsi="Playfair Display" w:cs="Times New Roman"/>
          <w:kern w:val="0"/>
          <w14:ligatures w14:val="none"/>
        </w:rPr>
        <w:t>.</w:t>
      </w:r>
    </w:p>
    <w:p w14:paraId="75BE8BD2" w14:textId="0953DBF7" w:rsidR="008258D6" w:rsidRPr="008258D6" w:rsidRDefault="008258D6" w:rsidP="008258D6">
      <w:pPr>
        <w:numPr>
          <w:ilvl w:val="0"/>
          <w:numId w:val="7"/>
        </w:numPr>
        <w:spacing w:before="100" w:beforeAutospacing="1" w:after="100" w:afterAutospacing="1" w:line="240" w:lineRule="auto"/>
        <w:rPr>
          <w:rFonts w:ascii="Playfair Display" w:eastAsia="Times New Roman" w:hAnsi="Playfair Display" w:cs="Times New Roman"/>
          <w:kern w:val="0"/>
          <w14:ligatures w14:val="none"/>
        </w:rPr>
      </w:pPr>
      <w:hyperlink r:id="rId22" w:history="1">
        <w:r w:rsidRPr="008258D6">
          <w:rPr>
            <w:rStyle w:val="Hyperlink"/>
            <w:rFonts w:ascii="Times New Roman" w:eastAsia="Times New Roman" w:hAnsi="Times New Roman" w:cs="Times New Roman"/>
            <w:b/>
            <w:bCs/>
            <w:kern w:val="0"/>
            <w14:ligatures w14:val="none"/>
          </w:rPr>
          <w:t>ANSI / ASC O1</w:t>
        </w:r>
        <w:r w:rsidRPr="008258D6">
          <w:rPr>
            <w:rStyle w:val="Hyperlink"/>
            <w:rFonts w:ascii="Times New Roman" w:eastAsia="Times New Roman" w:hAnsi="Times New Roman" w:cs="Times New Roman"/>
            <w:kern w:val="0"/>
            <w14:ligatures w14:val="none"/>
          </w:rPr>
          <w:t xml:space="preserve"> — Woodworking machinery safety</w:t>
        </w:r>
      </w:hyperlink>
      <w:r>
        <w:rPr>
          <w:rFonts w:ascii="Times New Roman" w:eastAsia="Times New Roman" w:hAnsi="Times New Roman" w:cs="Times New Roman"/>
          <w:b/>
          <w:bCs/>
          <w:kern w:val="0"/>
          <w14:ligatures w14:val="none"/>
        </w:rPr>
        <w:t xml:space="preserve"> / </w:t>
      </w:r>
      <w:r w:rsidRPr="008258D6">
        <w:rPr>
          <w:rFonts w:ascii="Playfair Display" w:eastAsia="Times New Roman" w:hAnsi="Playfair Display" w:cs="Times New Roman"/>
          <w:kern w:val="0"/>
          <w14:ligatures w14:val="none"/>
        </w:rPr>
        <w:t>Industrial woodworking safety standards help protect workers, guide manufacturers, and support safe machine design.</w:t>
      </w:r>
    </w:p>
    <w:p w14:paraId="2A06F5FF" w14:textId="77777777" w:rsidR="008258D6"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These bodies define the technical thresholds that separate entry</w:t>
      </w:r>
      <w:r w:rsidRPr="002E4BCB">
        <w:rPr>
          <w:rFonts w:ascii="Times New Roman" w:eastAsia="Times New Roman" w:hAnsi="Times New Roman" w:cs="Times New Roman"/>
          <w:kern w:val="0"/>
          <w14:ligatures w14:val="none"/>
        </w:rPr>
        <w:noBreakHyphen/>
        <w:t>level, consumer, professional, and premium</w:t>
      </w:r>
      <w:r w:rsidRPr="002E4BCB">
        <w:rPr>
          <w:rFonts w:ascii="Times New Roman" w:eastAsia="Times New Roman" w:hAnsi="Times New Roman" w:cs="Times New Roman"/>
          <w:kern w:val="0"/>
          <w14:ligatures w14:val="none"/>
        </w:rPr>
        <w:noBreakHyphen/>
        <w:t>grade products.</w:t>
      </w:r>
    </w:p>
    <w:p w14:paraId="5C215E18" w14:textId="77777777" w:rsidR="008258D6" w:rsidRPr="002E4BCB"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p>
    <w:p w14:paraId="6817F11B" w14:textId="77777777" w:rsidR="008258D6" w:rsidRDefault="008258D6" w:rsidP="00825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4. Technical Benchmark Framework</w:t>
      </w:r>
    </w:p>
    <w:p w14:paraId="6C55CCDB" w14:textId="77777777" w:rsidR="008258D6" w:rsidRPr="008258D6"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b/>
          <w:bCs/>
          <w:kern w:val="0"/>
          <w14:ligatures w14:val="none"/>
        </w:rPr>
        <w:lastRenderedPageBreak/>
        <w:t>Stage I</w:t>
      </w:r>
      <w:r w:rsidRPr="008258D6">
        <w:rPr>
          <w:rFonts w:ascii="Times New Roman" w:eastAsia="Times New Roman" w:hAnsi="Times New Roman" w:cs="Times New Roman"/>
          <w:kern w:val="0"/>
          <w14:ligatures w14:val="none"/>
        </w:rPr>
        <w:t xml:space="preserve"> evaluates products using a multi</w:t>
      </w:r>
      <w:r w:rsidRPr="008258D6">
        <w:rPr>
          <w:rFonts w:ascii="Times New Roman" w:eastAsia="Times New Roman" w:hAnsi="Times New Roman" w:cs="Times New Roman"/>
          <w:kern w:val="0"/>
          <w14:ligatures w14:val="none"/>
        </w:rPr>
        <w:noBreakHyphen/>
        <w:t>layered engineering framework:</w:t>
      </w:r>
    </w:p>
    <w:p w14:paraId="32A0D39D" w14:textId="77777777" w:rsidR="008258D6" w:rsidRPr="008258D6"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8D6">
        <w:rPr>
          <w:rFonts w:ascii="Times New Roman" w:eastAsia="Times New Roman" w:hAnsi="Times New Roman" w:cs="Times New Roman"/>
          <w:b/>
          <w:bCs/>
          <w:kern w:val="0"/>
          <w:sz w:val="27"/>
          <w:szCs w:val="27"/>
          <w14:ligatures w14:val="none"/>
        </w:rPr>
        <w:t>Material Quality</w:t>
      </w:r>
    </w:p>
    <w:p w14:paraId="5EE2F0CB" w14:textId="77777777" w:rsidR="008258D6" w:rsidRPr="008258D6" w:rsidRDefault="008258D6" w:rsidP="008258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Grade</w:t>
      </w:r>
    </w:p>
    <w:p w14:paraId="433C95E1" w14:textId="77777777" w:rsidR="008258D6" w:rsidRPr="008258D6" w:rsidRDefault="008258D6" w:rsidP="008258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Density</w:t>
      </w:r>
    </w:p>
    <w:p w14:paraId="064EB56E" w14:textId="77777777" w:rsidR="008258D6" w:rsidRPr="008258D6" w:rsidRDefault="008258D6" w:rsidP="008258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Thickness</w:t>
      </w:r>
    </w:p>
    <w:p w14:paraId="1492E487" w14:textId="77777777" w:rsidR="008258D6" w:rsidRPr="008258D6" w:rsidRDefault="008258D6" w:rsidP="008258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Purity</w:t>
      </w:r>
    </w:p>
    <w:p w14:paraId="6255BEEC" w14:textId="77777777" w:rsidR="008258D6" w:rsidRPr="008258D6" w:rsidRDefault="008258D6" w:rsidP="008258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Structural integrity</w:t>
      </w:r>
    </w:p>
    <w:p w14:paraId="0E8A4033" w14:textId="77777777" w:rsidR="008258D6" w:rsidRPr="008258D6"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8D6">
        <w:rPr>
          <w:rFonts w:ascii="Times New Roman" w:eastAsia="Times New Roman" w:hAnsi="Times New Roman" w:cs="Times New Roman"/>
          <w:b/>
          <w:bCs/>
          <w:kern w:val="0"/>
          <w:sz w:val="27"/>
          <w:szCs w:val="27"/>
          <w14:ligatures w14:val="none"/>
        </w:rPr>
        <w:t>Construction Integrity</w:t>
      </w:r>
    </w:p>
    <w:p w14:paraId="68CD9D8C" w14:textId="77777777" w:rsidR="008258D6" w:rsidRPr="008258D6" w:rsidRDefault="008258D6" w:rsidP="008258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Joinery</w:t>
      </w:r>
    </w:p>
    <w:p w14:paraId="3321E677" w14:textId="77777777" w:rsidR="008258D6" w:rsidRPr="008258D6" w:rsidRDefault="008258D6" w:rsidP="008258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Fastener quality</w:t>
      </w:r>
    </w:p>
    <w:p w14:paraId="36933E92" w14:textId="77777777" w:rsidR="008258D6" w:rsidRPr="008258D6" w:rsidRDefault="008258D6" w:rsidP="008258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Adhesive grade</w:t>
      </w:r>
    </w:p>
    <w:p w14:paraId="49D42AA0" w14:textId="77777777" w:rsidR="008258D6" w:rsidRPr="008258D6" w:rsidRDefault="008258D6" w:rsidP="008258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Internal bracing</w:t>
      </w:r>
    </w:p>
    <w:p w14:paraId="6B740FD1" w14:textId="77777777" w:rsidR="008258D6" w:rsidRPr="008258D6" w:rsidRDefault="008258D6" w:rsidP="008258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Load distribution</w:t>
      </w:r>
    </w:p>
    <w:p w14:paraId="5E8FC101" w14:textId="77777777" w:rsidR="008258D6" w:rsidRPr="008258D6"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8D6">
        <w:rPr>
          <w:rFonts w:ascii="Times New Roman" w:eastAsia="Times New Roman" w:hAnsi="Times New Roman" w:cs="Times New Roman"/>
          <w:b/>
          <w:bCs/>
          <w:kern w:val="0"/>
          <w:sz w:val="27"/>
          <w:szCs w:val="27"/>
          <w14:ligatures w14:val="none"/>
        </w:rPr>
        <w:t>Component Engineering</w:t>
      </w:r>
    </w:p>
    <w:p w14:paraId="4BEC3BC6" w14:textId="77777777" w:rsidR="008258D6" w:rsidRPr="008258D6" w:rsidRDefault="008258D6" w:rsidP="008258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Semiconductor quality</w:t>
      </w:r>
    </w:p>
    <w:p w14:paraId="40BDF0CC" w14:textId="77777777" w:rsidR="008258D6" w:rsidRPr="008258D6" w:rsidRDefault="008258D6" w:rsidP="008258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Capacitor grade</w:t>
      </w:r>
    </w:p>
    <w:p w14:paraId="51CBA217" w14:textId="77777777" w:rsidR="008258D6" w:rsidRPr="008258D6" w:rsidRDefault="008258D6" w:rsidP="008258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Driver materials</w:t>
      </w:r>
    </w:p>
    <w:p w14:paraId="0C164059" w14:textId="77777777" w:rsidR="008258D6" w:rsidRPr="008258D6" w:rsidRDefault="008258D6" w:rsidP="008258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Motor type</w:t>
      </w:r>
    </w:p>
    <w:p w14:paraId="4CAF50B3" w14:textId="77777777" w:rsidR="008258D6" w:rsidRPr="008258D6" w:rsidRDefault="008258D6" w:rsidP="008258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Sensor accuracy</w:t>
      </w:r>
    </w:p>
    <w:p w14:paraId="7CB7CFF8" w14:textId="77777777" w:rsidR="008258D6" w:rsidRPr="008258D6" w:rsidRDefault="008258D6" w:rsidP="008258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Thermal management</w:t>
      </w:r>
    </w:p>
    <w:p w14:paraId="32B26158" w14:textId="77777777" w:rsidR="008258D6" w:rsidRPr="008258D6"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8D6">
        <w:rPr>
          <w:rFonts w:ascii="Times New Roman" w:eastAsia="Times New Roman" w:hAnsi="Times New Roman" w:cs="Times New Roman"/>
          <w:b/>
          <w:bCs/>
          <w:kern w:val="0"/>
          <w:sz w:val="27"/>
          <w:szCs w:val="27"/>
          <w14:ligatures w14:val="none"/>
        </w:rPr>
        <w:t>Electrical Performance</w:t>
      </w:r>
    </w:p>
    <w:p w14:paraId="004D3760" w14:textId="77777777" w:rsidR="008258D6" w:rsidRPr="008258D6" w:rsidRDefault="008258D6" w:rsidP="008258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Voltage stability</w:t>
      </w:r>
    </w:p>
    <w:p w14:paraId="2D521F83" w14:textId="77777777" w:rsidR="008258D6" w:rsidRPr="008258D6" w:rsidRDefault="008258D6" w:rsidP="008258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Current handling</w:t>
      </w:r>
    </w:p>
    <w:p w14:paraId="428FC2ED" w14:textId="77777777" w:rsidR="008258D6" w:rsidRPr="008258D6" w:rsidRDefault="008258D6" w:rsidP="008258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Overcurrent protection</w:t>
      </w:r>
    </w:p>
    <w:p w14:paraId="2035DA43" w14:textId="77777777" w:rsidR="008258D6" w:rsidRPr="008258D6" w:rsidRDefault="008258D6" w:rsidP="008258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Wire gauge</w:t>
      </w:r>
    </w:p>
    <w:p w14:paraId="4D02FFDA" w14:textId="77777777" w:rsidR="008258D6" w:rsidRPr="008258D6" w:rsidRDefault="008258D6" w:rsidP="008258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Insulation rating</w:t>
      </w:r>
    </w:p>
    <w:p w14:paraId="071E1AED" w14:textId="77777777" w:rsidR="008258D6" w:rsidRPr="008258D6" w:rsidRDefault="008258D6" w:rsidP="008258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Connector quality</w:t>
      </w:r>
    </w:p>
    <w:p w14:paraId="28FBA993" w14:textId="77777777" w:rsidR="008258D6" w:rsidRPr="008258D6" w:rsidRDefault="008258D6" w:rsidP="008258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Power supply certification</w:t>
      </w:r>
    </w:p>
    <w:p w14:paraId="59A53E13" w14:textId="77777777" w:rsidR="008258D6" w:rsidRPr="008258D6"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8D6">
        <w:rPr>
          <w:rFonts w:ascii="Times New Roman" w:eastAsia="Times New Roman" w:hAnsi="Times New Roman" w:cs="Times New Roman"/>
          <w:b/>
          <w:bCs/>
          <w:kern w:val="0"/>
          <w:sz w:val="27"/>
          <w:szCs w:val="27"/>
          <w14:ligatures w14:val="none"/>
        </w:rPr>
        <w:t>Category-Specific Performance</w:t>
      </w:r>
    </w:p>
    <w:p w14:paraId="334B384B" w14:textId="77777777" w:rsidR="008258D6" w:rsidRPr="008258D6" w:rsidRDefault="008258D6" w:rsidP="008258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Acoustic</w:t>
      </w:r>
    </w:p>
    <w:p w14:paraId="67BB6378" w14:textId="77777777" w:rsidR="008258D6" w:rsidRPr="008258D6" w:rsidRDefault="008258D6" w:rsidP="008258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Computational</w:t>
      </w:r>
    </w:p>
    <w:p w14:paraId="1AE3E4B6" w14:textId="77777777" w:rsidR="008258D6" w:rsidRPr="008258D6" w:rsidRDefault="008258D6" w:rsidP="008258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Ergonomic</w:t>
      </w:r>
    </w:p>
    <w:p w14:paraId="33C9E618" w14:textId="77777777" w:rsidR="008258D6" w:rsidRPr="008258D6" w:rsidRDefault="008258D6" w:rsidP="008258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Lighting</w:t>
      </w:r>
    </w:p>
    <w:p w14:paraId="638D0799" w14:textId="77777777" w:rsidR="008258D6" w:rsidRPr="008258D6" w:rsidRDefault="008258D6" w:rsidP="008258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Smart home</w:t>
      </w:r>
    </w:p>
    <w:p w14:paraId="34697377" w14:textId="77777777" w:rsidR="008258D6" w:rsidRPr="008258D6" w:rsidRDefault="008258D6" w:rsidP="008258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t>Productivity</w:t>
      </w:r>
    </w:p>
    <w:p w14:paraId="4C7F71E0" w14:textId="77777777" w:rsidR="008258D6" w:rsidRPr="008258D6"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8258D6">
        <w:rPr>
          <w:rFonts w:ascii="Times New Roman" w:eastAsia="Times New Roman" w:hAnsi="Times New Roman" w:cs="Times New Roman"/>
          <w:kern w:val="0"/>
          <w14:ligatures w14:val="none"/>
        </w:rPr>
        <w:lastRenderedPageBreak/>
        <w:t>Each benchmark area contributes to the product’s Stage I readiness score.</w:t>
      </w:r>
    </w:p>
    <w:p w14:paraId="79897EDC" w14:textId="77777777" w:rsidR="008258D6" w:rsidRPr="002E4BCB"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Stage I evaluates products using a multi</w:t>
      </w:r>
      <w:r w:rsidRPr="002E4BCB">
        <w:rPr>
          <w:rFonts w:ascii="Times New Roman" w:eastAsia="Times New Roman" w:hAnsi="Times New Roman" w:cs="Times New Roman"/>
          <w:kern w:val="0"/>
          <w14:ligatures w14:val="none"/>
        </w:rPr>
        <w:noBreakHyphen/>
        <w:t>layered engineering framework:</w:t>
      </w:r>
    </w:p>
    <w:p w14:paraId="2AD4A6E6" w14:textId="77777777" w:rsidR="008258D6" w:rsidRPr="002E4BCB"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Material Quality</w:t>
      </w:r>
    </w:p>
    <w:p w14:paraId="3B138B77" w14:textId="77777777" w:rsidR="008258D6" w:rsidRPr="002E4BCB" w:rsidRDefault="008258D6" w:rsidP="008258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Grade</w:t>
      </w:r>
    </w:p>
    <w:p w14:paraId="77DA19C3" w14:textId="77777777" w:rsidR="008258D6" w:rsidRPr="002E4BCB" w:rsidRDefault="008258D6" w:rsidP="008258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Density</w:t>
      </w:r>
    </w:p>
    <w:p w14:paraId="051B3D43" w14:textId="77777777" w:rsidR="008258D6" w:rsidRPr="002E4BCB" w:rsidRDefault="008258D6" w:rsidP="008258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Thickness</w:t>
      </w:r>
    </w:p>
    <w:p w14:paraId="0109EAB7" w14:textId="77777777" w:rsidR="008258D6" w:rsidRPr="002E4BCB" w:rsidRDefault="008258D6" w:rsidP="008258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Purity</w:t>
      </w:r>
    </w:p>
    <w:p w14:paraId="747E2ADF" w14:textId="77777777" w:rsidR="008258D6" w:rsidRPr="002E4BCB" w:rsidRDefault="008258D6" w:rsidP="008258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Structural integrity</w:t>
      </w:r>
    </w:p>
    <w:p w14:paraId="273F964A" w14:textId="77777777" w:rsidR="008258D6" w:rsidRPr="002E4BCB"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Construction Integrity</w:t>
      </w:r>
    </w:p>
    <w:p w14:paraId="4D755BD7" w14:textId="77777777" w:rsidR="008258D6" w:rsidRPr="002E4BCB" w:rsidRDefault="008258D6" w:rsidP="008258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Joinery</w:t>
      </w:r>
    </w:p>
    <w:p w14:paraId="2A512178" w14:textId="77777777" w:rsidR="008258D6" w:rsidRPr="002E4BCB" w:rsidRDefault="008258D6" w:rsidP="008258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Fastener quality</w:t>
      </w:r>
    </w:p>
    <w:p w14:paraId="057DD4AF" w14:textId="77777777" w:rsidR="008258D6" w:rsidRPr="002E4BCB" w:rsidRDefault="008258D6" w:rsidP="008258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Adhesive grade</w:t>
      </w:r>
    </w:p>
    <w:p w14:paraId="4754FA1E" w14:textId="77777777" w:rsidR="008258D6" w:rsidRPr="002E4BCB" w:rsidRDefault="008258D6" w:rsidP="008258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Internal bracing</w:t>
      </w:r>
    </w:p>
    <w:p w14:paraId="220C21C0" w14:textId="77777777" w:rsidR="008258D6" w:rsidRPr="002E4BCB" w:rsidRDefault="008258D6" w:rsidP="008258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Load distribution</w:t>
      </w:r>
    </w:p>
    <w:p w14:paraId="467775DA" w14:textId="77777777" w:rsidR="008258D6" w:rsidRPr="002E4BCB"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Component Engineering</w:t>
      </w:r>
    </w:p>
    <w:p w14:paraId="6FF10163" w14:textId="77777777" w:rsidR="008258D6" w:rsidRPr="002E4BCB" w:rsidRDefault="008258D6" w:rsidP="008258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Semiconductor quality</w:t>
      </w:r>
    </w:p>
    <w:p w14:paraId="0BCF20F7" w14:textId="77777777" w:rsidR="008258D6" w:rsidRPr="002E4BCB" w:rsidRDefault="008258D6" w:rsidP="008258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Capacitor grade</w:t>
      </w:r>
    </w:p>
    <w:p w14:paraId="243049B9" w14:textId="77777777" w:rsidR="008258D6" w:rsidRPr="002E4BCB" w:rsidRDefault="008258D6" w:rsidP="008258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Driver materials</w:t>
      </w:r>
    </w:p>
    <w:p w14:paraId="6B88F534" w14:textId="77777777" w:rsidR="008258D6" w:rsidRPr="002E4BCB" w:rsidRDefault="008258D6" w:rsidP="008258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Motor type</w:t>
      </w:r>
    </w:p>
    <w:p w14:paraId="0033B22C" w14:textId="77777777" w:rsidR="008258D6" w:rsidRPr="002E4BCB" w:rsidRDefault="008258D6" w:rsidP="008258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Sensor accuracy</w:t>
      </w:r>
    </w:p>
    <w:p w14:paraId="5A46F336" w14:textId="77777777" w:rsidR="008258D6" w:rsidRPr="002E4BCB" w:rsidRDefault="008258D6" w:rsidP="008258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Thermal management</w:t>
      </w:r>
    </w:p>
    <w:p w14:paraId="6EED456B" w14:textId="77777777" w:rsidR="008258D6" w:rsidRPr="002E4BCB"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Electrical Performance</w:t>
      </w:r>
    </w:p>
    <w:p w14:paraId="1F8D0A31" w14:textId="77777777" w:rsidR="008258D6" w:rsidRPr="002E4BCB" w:rsidRDefault="008258D6" w:rsidP="008258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Voltage stability</w:t>
      </w:r>
    </w:p>
    <w:p w14:paraId="00CCB812" w14:textId="77777777" w:rsidR="008258D6" w:rsidRPr="002E4BCB" w:rsidRDefault="008258D6" w:rsidP="008258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Current handling</w:t>
      </w:r>
    </w:p>
    <w:p w14:paraId="48BE3BD7" w14:textId="77777777" w:rsidR="008258D6" w:rsidRPr="002E4BCB" w:rsidRDefault="008258D6" w:rsidP="008258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Overcurrent protection</w:t>
      </w:r>
    </w:p>
    <w:p w14:paraId="450A94E0" w14:textId="77777777" w:rsidR="008258D6" w:rsidRPr="002E4BCB" w:rsidRDefault="008258D6" w:rsidP="008258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Wire gauge</w:t>
      </w:r>
    </w:p>
    <w:p w14:paraId="41FE3EA6" w14:textId="77777777" w:rsidR="008258D6" w:rsidRPr="002E4BCB" w:rsidRDefault="008258D6" w:rsidP="008258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Insulation rating</w:t>
      </w:r>
    </w:p>
    <w:p w14:paraId="51B64803" w14:textId="77777777" w:rsidR="008258D6" w:rsidRPr="002E4BCB" w:rsidRDefault="008258D6" w:rsidP="008258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Connector quality</w:t>
      </w:r>
    </w:p>
    <w:p w14:paraId="58F56F88" w14:textId="77777777" w:rsidR="008258D6" w:rsidRPr="002E4BCB" w:rsidRDefault="008258D6" w:rsidP="008258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Power supply certification</w:t>
      </w:r>
    </w:p>
    <w:p w14:paraId="5AC4A971" w14:textId="77777777" w:rsidR="008258D6" w:rsidRPr="002E4BCB"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Category-Specific Performance</w:t>
      </w:r>
    </w:p>
    <w:p w14:paraId="45A5499D" w14:textId="77777777" w:rsidR="008258D6" w:rsidRPr="002E4BCB" w:rsidRDefault="008258D6" w:rsidP="008258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Acoustic</w:t>
      </w:r>
    </w:p>
    <w:p w14:paraId="7105E5A6" w14:textId="77777777" w:rsidR="008258D6" w:rsidRPr="002E4BCB" w:rsidRDefault="008258D6" w:rsidP="008258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Computational</w:t>
      </w:r>
    </w:p>
    <w:p w14:paraId="0A47F470" w14:textId="77777777" w:rsidR="008258D6" w:rsidRPr="002E4BCB" w:rsidRDefault="008258D6" w:rsidP="008258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Ergonomic</w:t>
      </w:r>
    </w:p>
    <w:p w14:paraId="05792C28" w14:textId="77777777" w:rsidR="008258D6" w:rsidRPr="002E4BCB" w:rsidRDefault="008258D6" w:rsidP="008258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Lighting</w:t>
      </w:r>
    </w:p>
    <w:p w14:paraId="149FA83E" w14:textId="77777777" w:rsidR="008258D6" w:rsidRPr="002E4BCB" w:rsidRDefault="008258D6" w:rsidP="008258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Smart home</w:t>
      </w:r>
    </w:p>
    <w:p w14:paraId="4C05FE5B" w14:textId="77777777" w:rsidR="008258D6" w:rsidRPr="002E4BCB" w:rsidRDefault="008258D6" w:rsidP="008258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lastRenderedPageBreak/>
        <w:t>Productivity</w:t>
      </w:r>
    </w:p>
    <w:p w14:paraId="1CFBCCDE" w14:textId="77777777" w:rsidR="008258D6" w:rsidRPr="002E4BCB"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Each benchmark area contributes to the product’s Stage I readiness score.</w:t>
      </w:r>
    </w:p>
    <w:p w14:paraId="02EF1208" w14:textId="77777777" w:rsidR="008258D6" w:rsidRPr="002E4BCB" w:rsidRDefault="008258D6" w:rsidP="00825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5. Evidence Requirements</w:t>
      </w:r>
    </w:p>
    <w:p w14:paraId="289364EB" w14:textId="77777777" w:rsidR="008258D6" w:rsidRPr="002E4BCB"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Truth Collective requires objective, verifiable evidence for all engineering claims.</w:t>
      </w:r>
    </w:p>
    <w:p w14:paraId="39936510" w14:textId="77777777" w:rsidR="008258D6" w:rsidRPr="002E4BCB"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Accepted Evidence Types</w:t>
      </w:r>
    </w:p>
    <w:p w14:paraId="6698F18C" w14:textId="77777777" w:rsidR="008258D6" w:rsidRPr="002E4BCB" w:rsidRDefault="008258D6" w:rsidP="00825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Manufacturer specifications</w:t>
      </w:r>
    </w:p>
    <w:p w14:paraId="147786CA" w14:textId="77777777" w:rsidR="008258D6" w:rsidRPr="002E4BCB" w:rsidRDefault="008258D6" w:rsidP="00825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Engineering documentation</w:t>
      </w:r>
    </w:p>
    <w:p w14:paraId="487AC1AF" w14:textId="77777777" w:rsidR="008258D6" w:rsidRPr="002E4BCB" w:rsidRDefault="008258D6" w:rsidP="00825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Teardown findings</w:t>
      </w:r>
    </w:p>
    <w:p w14:paraId="2865294C" w14:textId="77777777" w:rsidR="008258D6" w:rsidRPr="002E4BCB" w:rsidRDefault="008258D6" w:rsidP="00825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Compliance certificates</w:t>
      </w:r>
    </w:p>
    <w:p w14:paraId="4BEE1077" w14:textId="77777777" w:rsidR="008258D6" w:rsidRPr="002E4BCB" w:rsidRDefault="008258D6" w:rsidP="00825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Benchmark results</w:t>
      </w:r>
    </w:p>
    <w:p w14:paraId="06FA867E" w14:textId="77777777" w:rsidR="008258D6" w:rsidRPr="002E4BCB" w:rsidRDefault="008258D6" w:rsidP="00825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Expert review notes</w:t>
      </w:r>
    </w:p>
    <w:p w14:paraId="54063A68" w14:textId="77777777" w:rsidR="008258D6" w:rsidRPr="002E4BCB"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Marketing claims, star ratings, and consumer reviews are excluded from Stage I.</w:t>
      </w:r>
    </w:p>
    <w:p w14:paraId="0DFB8F30" w14:textId="42E59990" w:rsidR="008258D6" w:rsidRPr="002E4BCB" w:rsidRDefault="008258D6" w:rsidP="00825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6. Stage I</w:t>
      </w:r>
      <w:r>
        <w:rPr>
          <w:rFonts w:ascii="Times New Roman" w:eastAsia="Times New Roman" w:hAnsi="Times New Roman" w:cs="Times New Roman"/>
          <w:b/>
          <w:bCs/>
          <w:kern w:val="0"/>
          <w:sz w:val="36"/>
          <w:szCs w:val="36"/>
          <w14:ligatures w14:val="none"/>
        </w:rPr>
        <w:t xml:space="preserve"> -</w:t>
      </w:r>
      <w:r w:rsidRPr="002E4BCB">
        <w:rPr>
          <w:rFonts w:ascii="Times New Roman" w:eastAsia="Times New Roman" w:hAnsi="Times New Roman" w:cs="Times New Roman"/>
          <w:b/>
          <w:bCs/>
          <w:kern w:val="0"/>
          <w:sz w:val="36"/>
          <w:szCs w:val="36"/>
          <w14:ligatures w14:val="none"/>
        </w:rPr>
        <w:t xml:space="preserve"> Acceptance Thresholds</w:t>
      </w:r>
    </w:p>
    <w:p w14:paraId="06B0CB08" w14:textId="77777777" w:rsidR="008258D6" w:rsidRPr="002E4BCB"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A product must meet minimum engineering expectations to advance to Stage II.</w:t>
      </w:r>
    </w:p>
    <w:p w14:paraId="476993EC" w14:textId="77777777" w:rsidR="008258D6" w:rsidRPr="002E4BCB" w:rsidRDefault="008258D6" w:rsidP="00825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Minimum Requirements</w:t>
      </w:r>
    </w:p>
    <w:p w14:paraId="385CB068" w14:textId="77777777" w:rsidR="008258D6" w:rsidRPr="002E4BCB" w:rsidRDefault="008258D6" w:rsidP="00825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Verified compliance with applicable standards</w:t>
      </w:r>
    </w:p>
    <w:p w14:paraId="56E8604B" w14:textId="77777777" w:rsidR="008258D6" w:rsidRPr="002E4BCB" w:rsidRDefault="008258D6" w:rsidP="00825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Acceptable material quality</w:t>
      </w:r>
    </w:p>
    <w:p w14:paraId="2BC30745" w14:textId="77777777" w:rsidR="008258D6" w:rsidRPr="002E4BCB" w:rsidRDefault="008258D6" w:rsidP="00825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Acceptable construction integrity</w:t>
      </w:r>
    </w:p>
    <w:p w14:paraId="73FABCBA" w14:textId="77777777" w:rsidR="008258D6" w:rsidRPr="002E4BCB" w:rsidRDefault="008258D6" w:rsidP="00825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Acceptable electrical safety</w:t>
      </w:r>
    </w:p>
    <w:p w14:paraId="75272387" w14:textId="77777777" w:rsidR="008258D6" w:rsidRPr="002E4BCB" w:rsidRDefault="008258D6" w:rsidP="00825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Acceptable category-specific performance</w:t>
      </w:r>
    </w:p>
    <w:p w14:paraId="798AEAE6" w14:textId="77777777" w:rsidR="008258D6" w:rsidRPr="002E4BCB"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Products failing multiple benchmarks are disqualified from recommendation.</w:t>
      </w:r>
    </w:p>
    <w:p w14:paraId="6162794E" w14:textId="77777777" w:rsidR="008258D6" w:rsidRPr="002E4BCB" w:rsidRDefault="008258D6" w:rsidP="00825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7. Stage I Output</w:t>
      </w:r>
    </w:p>
    <w:p w14:paraId="19D49A00" w14:textId="77777777" w:rsidR="008258D6" w:rsidRPr="002E4BCB"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Stage I produces:</w:t>
      </w:r>
    </w:p>
    <w:p w14:paraId="0C24C4B9" w14:textId="77777777" w:rsidR="008258D6" w:rsidRPr="002E4BCB" w:rsidRDefault="008258D6" w:rsidP="008258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Standards mapping</w:t>
      </w:r>
    </w:p>
    <w:p w14:paraId="799BB50F" w14:textId="77777777" w:rsidR="008258D6" w:rsidRPr="002E4BCB" w:rsidRDefault="008258D6" w:rsidP="008258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Compliance verification</w:t>
      </w:r>
    </w:p>
    <w:p w14:paraId="657E0811" w14:textId="77777777" w:rsidR="008258D6" w:rsidRPr="002E4BCB" w:rsidRDefault="008258D6" w:rsidP="008258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Engineering baseline</w:t>
      </w:r>
    </w:p>
    <w:p w14:paraId="2F086BB0" w14:textId="77777777" w:rsidR="008258D6" w:rsidRPr="002E4BCB" w:rsidRDefault="008258D6" w:rsidP="008258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Category-specific benchmark alignment</w:t>
      </w:r>
    </w:p>
    <w:p w14:paraId="71180DE9" w14:textId="77777777" w:rsidR="008258D6" w:rsidRPr="002E4BCB" w:rsidRDefault="008258D6" w:rsidP="008258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Eligibility determination for Stage II</w:t>
      </w:r>
    </w:p>
    <w:p w14:paraId="42DA8EB8" w14:textId="77777777" w:rsidR="008258D6" w:rsidRPr="002E4BCB"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This output forms the foundation for all subsequent Truth Collective evaluations.</w:t>
      </w:r>
    </w:p>
    <w:p w14:paraId="55A1F20C" w14:textId="77777777" w:rsidR="008258D6" w:rsidRPr="002E4BCB" w:rsidRDefault="008258D6" w:rsidP="00825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lastRenderedPageBreak/>
        <w:t>Conclusion</w:t>
      </w:r>
    </w:p>
    <w:p w14:paraId="40CFA1F5" w14:textId="77777777" w:rsidR="008258D6" w:rsidRPr="002E4BCB"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Stage I ensures that Truth Collective recommendations are grounded in measurable, standards</w:t>
      </w:r>
      <w:r w:rsidRPr="002E4BCB">
        <w:rPr>
          <w:rFonts w:ascii="Times New Roman" w:eastAsia="Times New Roman" w:hAnsi="Times New Roman" w:cs="Times New Roman"/>
          <w:kern w:val="0"/>
          <w14:ligatures w14:val="none"/>
        </w:rPr>
        <w:noBreakHyphen/>
        <w:t>based engineering criteria. By mapping each product to authoritative governing bodies and verifying compliance, Stage I eliminates marketing distortion and establishes the technical baseline required for professional</w:t>
      </w:r>
      <w:r w:rsidRPr="002E4BCB">
        <w:rPr>
          <w:rFonts w:ascii="Times New Roman" w:eastAsia="Times New Roman" w:hAnsi="Times New Roman" w:cs="Times New Roman"/>
          <w:kern w:val="0"/>
          <w14:ligatures w14:val="none"/>
        </w:rPr>
        <w:noBreakHyphen/>
        <w:t>grade evaluation.</w:t>
      </w:r>
    </w:p>
    <w:p w14:paraId="7885078C" w14:textId="77777777" w:rsidR="008258D6" w:rsidRPr="00C827AC" w:rsidRDefault="008258D6" w:rsidP="008258D6">
      <w:pPr>
        <w:spacing w:before="100" w:beforeAutospacing="1" w:after="100" w:afterAutospacing="1" w:line="240" w:lineRule="auto"/>
        <w:rPr>
          <w:rFonts w:ascii="Times New Roman" w:eastAsia="Times New Roman" w:hAnsi="Times New Roman" w:cs="Times New Roman"/>
          <w:kern w:val="0"/>
          <w14:ligatures w14:val="none"/>
        </w:rPr>
      </w:pPr>
    </w:p>
    <w:p w14:paraId="227F7402" w14:textId="77777777" w:rsidR="008258D6" w:rsidRDefault="008258D6" w:rsidP="008258D6"/>
    <w:p w14:paraId="62DC254C" w14:textId="77777777" w:rsidR="008258D6" w:rsidRDefault="008258D6"/>
    <w:sectPr w:rsidR="008258D6">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04E1E" w14:textId="77777777" w:rsidR="0073103E" w:rsidRDefault="0073103E" w:rsidP="008258D6">
      <w:pPr>
        <w:spacing w:after="0" w:line="240" w:lineRule="auto"/>
      </w:pPr>
      <w:r>
        <w:separator/>
      </w:r>
    </w:p>
  </w:endnote>
  <w:endnote w:type="continuationSeparator" w:id="0">
    <w:p w14:paraId="48513B80" w14:textId="77777777" w:rsidR="0073103E" w:rsidRDefault="0073103E" w:rsidP="00825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layfair Display">
    <w:charset w:val="00"/>
    <w:family w:val="auto"/>
    <w:pitch w:val="variable"/>
    <w:sig w:usb0="20000207" w:usb1="00000000"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5D746" w14:textId="77777777" w:rsidR="0073103E" w:rsidRDefault="0073103E" w:rsidP="008258D6">
      <w:pPr>
        <w:spacing w:after="0" w:line="240" w:lineRule="auto"/>
      </w:pPr>
      <w:r>
        <w:separator/>
      </w:r>
    </w:p>
  </w:footnote>
  <w:footnote w:type="continuationSeparator" w:id="0">
    <w:p w14:paraId="75F45EF3" w14:textId="77777777" w:rsidR="0073103E" w:rsidRDefault="0073103E" w:rsidP="008258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50411" w14:textId="52704669" w:rsidR="008258D6" w:rsidRPr="008258D6" w:rsidRDefault="008258D6">
    <w:pPr>
      <w:pStyle w:val="Header"/>
      <w:rPr>
        <w:rFonts w:ascii="Playfair Display" w:hAnsi="Playfair Display"/>
        <w:b/>
        <w:bCs/>
      </w:rPr>
    </w:pPr>
    <w:r w:rsidRPr="008258D6">
      <w:rPr>
        <w:rFonts w:ascii="Playfair Display" w:hAnsi="Playfair Display"/>
        <w:b/>
        <w:bCs/>
      </w:rPr>
      <w:t xml:space="preserve">Truth-Collective </w:t>
    </w:r>
    <w:r>
      <w:rPr>
        <w:rFonts w:ascii="Playfair Display" w:hAnsi="Playfair Display"/>
        <w:b/>
        <w:bCs/>
      </w:rPr>
      <w:t xml:space="preserve">Stage I </w:t>
    </w:r>
    <w:r w:rsidRPr="008258D6">
      <w:rPr>
        <w:rFonts w:ascii="Playfair Display" w:hAnsi="Playfair Display"/>
        <w:b/>
        <w:bCs/>
      </w:rPr>
      <w:t xml:space="preserve">Evaluations Benchmarking </w:t>
    </w:r>
    <w:r>
      <w:rPr>
        <w:rFonts w:ascii="Playfair Display" w:hAnsi="Playfair Display"/>
        <w:b/>
        <w:bCs/>
      </w:rPr>
      <w:t>(</w:t>
    </w:r>
    <w:r w:rsidRPr="008258D6">
      <w:rPr>
        <w:rFonts w:ascii="Playfair Display" w:hAnsi="Playfair Display"/>
        <w:b/>
        <w:bCs/>
      </w:rPr>
      <w:t>Doc II</w:t>
    </w:r>
    <w:r>
      <w:rPr>
        <w:rFonts w:ascii="Playfair Display" w:hAnsi="Playfair Display"/>
        <w:b/>
        <w:bC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1F9F"/>
    <w:multiLevelType w:val="multilevel"/>
    <w:tmpl w:val="AB0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91A35"/>
    <w:multiLevelType w:val="multilevel"/>
    <w:tmpl w:val="35BE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72386"/>
    <w:multiLevelType w:val="multilevel"/>
    <w:tmpl w:val="099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750DD"/>
    <w:multiLevelType w:val="multilevel"/>
    <w:tmpl w:val="D164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47EAE"/>
    <w:multiLevelType w:val="multilevel"/>
    <w:tmpl w:val="7B46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467D4"/>
    <w:multiLevelType w:val="multilevel"/>
    <w:tmpl w:val="FAEE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564E0"/>
    <w:multiLevelType w:val="multilevel"/>
    <w:tmpl w:val="4590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A03FA"/>
    <w:multiLevelType w:val="multilevel"/>
    <w:tmpl w:val="5E5E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34609"/>
    <w:multiLevelType w:val="multilevel"/>
    <w:tmpl w:val="2A5C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D1F96"/>
    <w:multiLevelType w:val="multilevel"/>
    <w:tmpl w:val="DB1A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876E44"/>
    <w:multiLevelType w:val="multilevel"/>
    <w:tmpl w:val="DA7A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B369C1"/>
    <w:multiLevelType w:val="multilevel"/>
    <w:tmpl w:val="DFA8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DA7827"/>
    <w:multiLevelType w:val="multilevel"/>
    <w:tmpl w:val="65F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49224F"/>
    <w:multiLevelType w:val="multilevel"/>
    <w:tmpl w:val="C86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42C63"/>
    <w:multiLevelType w:val="multilevel"/>
    <w:tmpl w:val="2686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C760D"/>
    <w:multiLevelType w:val="multilevel"/>
    <w:tmpl w:val="4B58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602A5A"/>
    <w:multiLevelType w:val="multilevel"/>
    <w:tmpl w:val="DE00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8C48CE"/>
    <w:multiLevelType w:val="multilevel"/>
    <w:tmpl w:val="B4C6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B75D8B"/>
    <w:multiLevelType w:val="multilevel"/>
    <w:tmpl w:val="EAEE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CB649E"/>
    <w:multiLevelType w:val="multilevel"/>
    <w:tmpl w:val="82FE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466398">
    <w:abstractNumId w:val="3"/>
  </w:num>
  <w:num w:numId="2" w16cid:durableId="1103257228">
    <w:abstractNumId w:val="12"/>
  </w:num>
  <w:num w:numId="3" w16cid:durableId="695813461">
    <w:abstractNumId w:val="17"/>
  </w:num>
  <w:num w:numId="4" w16cid:durableId="786894644">
    <w:abstractNumId w:val="19"/>
  </w:num>
  <w:num w:numId="5" w16cid:durableId="1551653767">
    <w:abstractNumId w:val="18"/>
  </w:num>
  <w:num w:numId="6" w16cid:durableId="1039429516">
    <w:abstractNumId w:val="2"/>
  </w:num>
  <w:num w:numId="7" w16cid:durableId="1066536300">
    <w:abstractNumId w:val="1"/>
  </w:num>
  <w:num w:numId="8" w16cid:durableId="1539704593">
    <w:abstractNumId w:val="7"/>
  </w:num>
  <w:num w:numId="9" w16cid:durableId="1306004584">
    <w:abstractNumId w:val="10"/>
  </w:num>
  <w:num w:numId="10" w16cid:durableId="478353070">
    <w:abstractNumId w:val="4"/>
  </w:num>
  <w:num w:numId="11" w16cid:durableId="1440025568">
    <w:abstractNumId w:val="13"/>
  </w:num>
  <w:num w:numId="12" w16cid:durableId="1167984664">
    <w:abstractNumId w:val="11"/>
  </w:num>
  <w:num w:numId="13" w16cid:durableId="1353385761">
    <w:abstractNumId w:val="8"/>
  </w:num>
  <w:num w:numId="14" w16cid:durableId="318579430">
    <w:abstractNumId w:val="5"/>
  </w:num>
  <w:num w:numId="15" w16cid:durableId="406997715">
    <w:abstractNumId w:val="0"/>
  </w:num>
  <w:num w:numId="16" w16cid:durableId="1158763109">
    <w:abstractNumId w:val="16"/>
  </w:num>
  <w:num w:numId="17" w16cid:durableId="1725642998">
    <w:abstractNumId w:val="9"/>
  </w:num>
  <w:num w:numId="18" w16cid:durableId="1626621613">
    <w:abstractNumId w:val="15"/>
  </w:num>
  <w:num w:numId="19" w16cid:durableId="207305333">
    <w:abstractNumId w:val="6"/>
  </w:num>
  <w:num w:numId="20" w16cid:durableId="19254500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8D6"/>
    <w:rsid w:val="0073103E"/>
    <w:rsid w:val="008258D6"/>
    <w:rsid w:val="008C3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B4A80"/>
  <w15:chartTrackingRefBased/>
  <w15:docId w15:val="{44685CFB-ADA0-4148-9B90-460E8CD26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8D6"/>
  </w:style>
  <w:style w:type="paragraph" w:styleId="Heading1">
    <w:name w:val="heading 1"/>
    <w:basedOn w:val="Normal"/>
    <w:next w:val="Normal"/>
    <w:link w:val="Heading1Char"/>
    <w:uiPriority w:val="9"/>
    <w:qFormat/>
    <w:rsid w:val="00825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8D6"/>
    <w:rPr>
      <w:rFonts w:eastAsiaTheme="majorEastAsia" w:cstheme="majorBidi"/>
      <w:color w:val="272727" w:themeColor="text1" w:themeTint="D8"/>
    </w:rPr>
  </w:style>
  <w:style w:type="paragraph" w:styleId="Title">
    <w:name w:val="Title"/>
    <w:basedOn w:val="Normal"/>
    <w:next w:val="Normal"/>
    <w:link w:val="TitleChar"/>
    <w:uiPriority w:val="10"/>
    <w:qFormat/>
    <w:rsid w:val="00825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8D6"/>
    <w:pPr>
      <w:spacing w:before="160"/>
      <w:jc w:val="center"/>
    </w:pPr>
    <w:rPr>
      <w:i/>
      <w:iCs/>
      <w:color w:val="404040" w:themeColor="text1" w:themeTint="BF"/>
    </w:rPr>
  </w:style>
  <w:style w:type="character" w:customStyle="1" w:styleId="QuoteChar">
    <w:name w:val="Quote Char"/>
    <w:basedOn w:val="DefaultParagraphFont"/>
    <w:link w:val="Quote"/>
    <w:uiPriority w:val="29"/>
    <w:rsid w:val="008258D6"/>
    <w:rPr>
      <w:i/>
      <w:iCs/>
      <w:color w:val="404040" w:themeColor="text1" w:themeTint="BF"/>
    </w:rPr>
  </w:style>
  <w:style w:type="paragraph" w:styleId="ListParagraph">
    <w:name w:val="List Paragraph"/>
    <w:basedOn w:val="Normal"/>
    <w:uiPriority w:val="34"/>
    <w:qFormat/>
    <w:rsid w:val="008258D6"/>
    <w:pPr>
      <w:ind w:left="720"/>
      <w:contextualSpacing/>
    </w:pPr>
  </w:style>
  <w:style w:type="character" w:styleId="IntenseEmphasis">
    <w:name w:val="Intense Emphasis"/>
    <w:basedOn w:val="DefaultParagraphFont"/>
    <w:uiPriority w:val="21"/>
    <w:qFormat/>
    <w:rsid w:val="008258D6"/>
    <w:rPr>
      <w:i/>
      <w:iCs/>
      <w:color w:val="0F4761" w:themeColor="accent1" w:themeShade="BF"/>
    </w:rPr>
  </w:style>
  <w:style w:type="paragraph" w:styleId="IntenseQuote">
    <w:name w:val="Intense Quote"/>
    <w:basedOn w:val="Normal"/>
    <w:next w:val="Normal"/>
    <w:link w:val="IntenseQuoteChar"/>
    <w:uiPriority w:val="30"/>
    <w:qFormat/>
    <w:rsid w:val="00825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8D6"/>
    <w:rPr>
      <w:i/>
      <w:iCs/>
      <w:color w:val="0F4761" w:themeColor="accent1" w:themeShade="BF"/>
    </w:rPr>
  </w:style>
  <w:style w:type="character" w:styleId="IntenseReference">
    <w:name w:val="Intense Reference"/>
    <w:basedOn w:val="DefaultParagraphFont"/>
    <w:uiPriority w:val="32"/>
    <w:qFormat/>
    <w:rsid w:val="008258D6"/>
    <w:rPr>
      <w:b/>
      <w:bCs/>
      <w:smallCaps/>
      <w:color w:val="0F4761" w:themeColor="accent1" w:themeShade="BF"/>
      <w:spacing w:val="5"/>
    </w:rPr>
  </w:style>
  <w:style w:type="paragraph" w:styleId="Header">
    <w:name w:val="header"/>
    <w:basedOn w:val="Normal"/>
    <w:link w:val="HeaderChar"/>
    <w:uiPriority w:val="99"/>
    <w:unhideWhenUsed/>
    <w:rsid w:val="008258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8D6"/>
  </w:style>
  <w:style w:type="paragraph" w:styleId="Footer">
    <w:name w:val="footer"/>
    <w:basedOn w:val="Normal"/>
    <w:link w:val="FooterChar"/>
    <w:uiPriority w:val="99"/>
    <w:unhideWhenUsed/>
    <w:rsid w:val="008258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8D6"/>
  </w:style>
  <w:style w:type="character" w:styleId="Hyperlink">
    <w:name w:val="Hyperlink"/>
    <w:basedOn w:val="DefaultParagraphFont"/>
    <w:uiPriority w:val="99"/>
    <w:unhideWhenUsed/>
    <w:rsid w:val="008258D6"/>
    <w:rPr>
      <w:color w:val="467886" w:themeColor="hyperlink"/>
      <w:u w:val="single"/>
    </w:rPr>
  </w:style>
  <w:style w:type="character" w:styleId="UnresolvedMention">
    <w:name w:val="Unresolved Mention"/>
    <w:basedOn w:val="DefaultParagraphFont"/>
    <w:uiPriority w:val="99"/>
    <w:semiHidden/>
    <w:unhideWhenUsed/>
    <w:rsid w:val="00825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standard/62085.html" TargetMode="External"/><Relationship Id="rId13" Type="http://schemas.openxmlformats.org/officeDocument/2006/relationships/hyperlink" Target="https://www.sae.org/standards/as9100-quality-systems-aerospace-model-quality-assurance-design-development-production-installation-servicing" TargetMode="External"/><Relationship Id="rId18" Type="http://schemas.openxmlformats.org/officeDocument/2006/relationships/hyperlink" Target="https://www.jedec.org/standards-documents" TargetMode="External"/><Relationship Id="rId3" Type="http://schemas.openxmlformats.org/officeDocument/2006/relationships/settings" Target="settings.xml"/><Relationship Id="rId21" Type="http://schemas.openxmlformats.org/officeDocument/2006/relationships/hyperlink" Target="https://www.nhla.com/services/nhla-grading-rules" TargetMode="External"/><Relationship Id="rId7" Type="http://schemas.openxmlformats.org/officeDocument/2006/relationships/image" Target="media/image1.emf"/><Relationship Id="rId12" Type="http://schemas.openxmlformats.org/officeDocument/2006/relationships/hyperlink" Target="https://www.iatfglobaloversight.org/iatf-169492016/about/" TargetMode="External"/><Relationship Id="rId17" Type="http://schemas.openxmlformats.org/officeDocument/2006/relationships/hyperlink" Target="https://standards.ieee.org/standard/"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vironment.ec.europa.eu/topics/waste-and-recycling/rohs-directive_en" TargetMode="External"/><Relationship Id="rId20" Type="http://schemas.openxmlformats.org/officeDocument/2006/relationships/hyperlink" Target="https://awinet.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so.org/standard/14001"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The%20mission%20of%20EPA%20is%20to%20protect%20human%20health%20and%20the%20environment" TargetMode="External"/><Relationship Id="rId23" Type="http://schemas.openxmlformats.org/officeDocument/2006/relationships/header" Target="header1.xml"/><Relationship Id="rId10" Type="http://schemas.openxmlformats.org/officeDocument/2006/relationships/hyperlink" Target="https://azadtechhub.com/iec-62368-1-standard/" TargetMode="External"/><Relationship Id="rId19" Type="http://schemas.openxmlformats.org/officeDocument/2006/relationships/hyperlink" Target="https://pcisig.com/specifications" TargetMode="External"/><Relationship Id="rId4" Type="http://schemas.openxmlformats.org/officeDocument/2006/relationships/webSettings" Target="webSettings.xml"/><Relationship Id="rId9" Type="http://schemas.openxmlformats.org/officeDocument/2006/relationships/hyperlink" Target="https://www.iso.org/standard/27001" TargetMode="External"/><Relationship Id="rId14" Type="http://schemas.openxmlformats.org/officeDocument/2006/relationships/hyperlink" Target="https://www.epa.gov/compliance" TargetMode="External"/><Relationship Id="rId22" Type="http://schemas.openxmlformats.org/officeDocument/2006/relationships/hyperlink" Target="https://woodindustry.org/general/custom.asp?page=ASCO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1283</Words>
  <Characters>7314</Characters>
  <Application>Microsoft Office Word</Application>
  <DocSecurity>0</DocSecurity>
  <Lines>60</Lines>
  <Paragraphs>17</Paragraphs>
  <ScaleCrop>false</ScaleCrop>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Reid</dc:creator>
  <cp:keywords/>
  <dc:description/>
  <cp:lastModifiedBy>Daniel Reid</cp:lastModifiedBy>
  <cp:revision>1</cp:revision>
  <dcterms:created xsi:type="dcterms:W3CDTF">2026-08-02T14:31:00Z</dcterms:created>
  <dcterms:modified xsi:type="dcterms:W3CDTF">2026-08-02T15:16:00Z</dcterms:modified>
</cp:coreProperties>
</file>