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A1F5" w14:textId="0C96C407" w:rsidR="008258D6" w:rsidRDefault="00BB738F" w:rsidP="007863F3">
      <w:pPr>
        <w:spacing w:before="100" w:beforeAutospacing="1" w:after="100" w:afterAutospacing="1" w:line="240" w:lineRule="auto"/>
        <w:outlineLvl w:val="0"/>
        <w:rPr>
          <w:rFonts w:ascii="Times New Roman" w:eastAsia="Times New Roman" w:hAnsi="Times New Roman" w:cs="Times New Roman"/>
          <w:kern w:val="0"/>
          <w14:ligatures w14:val="none"/>
        </w:rPr>
      </w:pPr>
      <w:r w:rsidRPr="00BB738F">
        <w:drawing>
          <wp:inline distT="0" distB="0" distL="0" distR="0" wp14:anchorId="3B0B69E0" wp14:editId="6352FB24">
            <wp:extent cx="4598151" cy="1440361"/>
            <wp:effectExtent l="0" t="0" r="0" b="7620"/>
            <wp:docPr id="1896811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1008" cy="1444389"/>
                    </a:xfrm>
                    <a:prstGeom prst="rect">
                      <a:avLst/>
                    </a:prstGeom>
                    <a:noFill/>
                    <a:ln>
                      <a:noFill/>
                    </a:ln>
                  </pic:spPr>
                </pic:pic>
              </a:graphicData>
            </a:graphic>
          </wp:inline>
        </w:drawing>
      </w:r>
    </w:p>
    <w:p w14:paraId="53D63ADB"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Purpose of the Workspace Hub Evaluation System</w:t>
      </w:r>
    </w:p>
    <w:p w14:paraId="5C9CD8AC"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The Workspace Products &amp; Tools Hub governs all products designed for professional, home</w:t>
      </w:r>
      <w:r w:rsidRPr="002E4BCB">
        <w:rPr>
          <w:rFonts w:ascii="Times New Roman" w:eastAsia="Times New Roman" w:hAnsi="Times New Roman" w:cs="Times New Roman"/>
          <w:kern w:val="0"/>
          <w14:ligatures w14:val="none"/>
        </w:rPr>
        <w:noBreakHyphen/>
        <w:t>office, and productivity environments. This includes:</w:t>
      </w:r>
    </w:p>
    <w:p w14:paraId="083114A8"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Desks</w:t>
      </w:r>
    </w:p>
    <w:p w14:paraId="5DF22029"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Chairs</w:t>
      </w:r>
    </w:p>
    <w:p w14:paraId="2CC8A867"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Monitor arms</w:t>
      </w:r>
    </w:p>
    <w:p w14:paraId="28F1334A"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Storage systems</w:t>
      </w:r>
    </w:p>
    <w:p w14:paraId="48495661"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accessories</w:t>
      </w:r>
    </w:p>
    <w:p w14:paraId="40839F6E"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Cable management systems</w:t>
      </w:r>
    </w:p>
    <w:p w14:paraId="148810C9"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Ergonomic tools</w:t>
      </w:r>
    </w:p>
    <w:p w14:paraId="42F8AFFC"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Productivity hardware</w:t>
      </w:r>
    </w:p>
    <w:p w14:paraId="59841C87"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Office lighting</w:t>
      </w:r>
    </w:p>
    <w:p w14:paraId="3C4759E9" w14:textId="77777777" w:rsidR="00BB738F" w:rsidRPr="002E4BCB" w:rsidRDefault="00BB73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organization tools</w:t>
      </w:r>
    </w:p>
    <w:p w14:paraId="18510495"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This governance document ensures that every workspace product meets structural, ergonomic, material, and engineering standards required for safe, durable, long</w:t>
      </w:r>
      <w:r w:rsidRPr="002E4BCB">
        <w:rPr>
          <w:rFonts w:ascii="Times New Roman" w:eastAsia="Times New Roman" w:hAnsi="Times New Roman" w:cs="Times New Roman"/>
          <w:kern w:val="0"/>
          <w14:ligatures w14:val="none"/>
        </w:rPr>
        <w:noBreakHyphen/>
        <w:t>term professional use.</w:t>
      </w:r>
    </w:p>
    <w:p w14:paraId="77297FCC"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1. Governing Bodies &amp; Standards Authorities</w:t>
      </w:r>
    </w:p>
    <w:p w14:paraId="0E18B3BE"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products must align with the following internationally recognized engineering and structural standards:</w:t>
      </w:r>
    </w:p>
    <w:p w14:paraId="64B43299"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Furniture &amp; Structural Standards</w:t>
      </w:r>
    </w:p>
    <w:p w14:paraId="700608B9" w14:textId="77777777" w:rsidR="00BB738F" w:rsidRPr="002E4BCB" w:rsidRDefault="00BB73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BIFMA</w:t>
      </w:r>
      <w:r w:rsidRPr="002E4BCB">
        <w:rPr>
          <w:rFonts w:ascii="Times New Roman" w:eastAsia="Times New Roman" w:hAnsi="Times New Roman" w:cs="Times New Roman"/>
          <w:kern w:val="0"/>
          <w14:ligatures w14:val="none"/>
        </w:rPr>
        <w:t xml:space="preserve"> — Business &amp; Institutional Furniture Manufacturers Association</w:t>
      </w:r>
    </w:p>
    <w:p w14:paraId="328985B0" w14:textId="77777777" w:rsidR="00BB738F" w:rsidRPr="002E4BCB" w:rsidRDefault="00BB73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ANSI/BIFMA X5.</w:t>
      </w:r>
      <w:proofErr w:type="gramStart"/>
      <w:r w:rsidRPr="002E4BCB">
        <w:rPr>
          <w:rFonts w:ascii="Times New Roman" w:eastAsia="Times New Roman" w:hAnsi="Times New Roman" w:cs="Times New Roman"/>
          <w:b/>
          <w:bCs/>
          <w:kern w:val="0"/>
          <w14:ligatures w14:val="none"/>
        </w:rPr>
        <w:t>5</w:t>
      </w:r>
      <w:r w:rsidRPr="002E4BCB">
        <w:rPr>
          <w:rFonts w:ascii="Times New Roman" w:eastAsia="Times New Roman" w:hAnsi="Times New Roman" w:cs="Times New Roman"/>
          <w:kern w:val="0"/>
          <w14:ligatures w14:val="none"/>
        </w:rPr>
        <w:t xml:space="preserve"> — Desk</w:t>
      </w:r>
      <w:proofErr w:type="gramEnd"/>
      <w:r w:rsidRPr="002E4BCB">
        <w:rPr>
          <w:rFonts w:ascii="Times New Roman" w:eastAsia="Times New Roman" w:hAnsi="Times New Roman" w:cs="Times New Roman"/>
          <w:kern w:val="0"/>
          <w14:ligatures w14:val="none"/>
        </w:rPr>
        <w:t xml:space="preserve"> structural performance</w:t>
      </w:r>
    </w:p>
    <w:p w14:paraId="60DA7ABD" w14:textId="77777777" w:rsidR="00BB738F" w:rsidRPr="002E4BCB" w:rsidRDefault="00BB73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ANSI/BIFMA X5.</w:t>
      </w:r>
      <w:proofErr w:type="gramStart"/>
      <w:r w:rsidRPr="002E4BCB">
        <w:rPr>
          <w:rFonts w:ascii="Times New Roman" w:eastAsia="Times New Roman" w:hAnsi="Times New Roman" w:cs="Times New Roman"/>
          <w:b/>
          <w:bCs/>
          <w:kern w:val="0"/>
          <w14:ligatures w14:val="none"/>
        </w:rPr>
        <w:t>1</w:t>
      </w:r>
      <w:r w:rsidRPr="002E4BCB">
        <w:rPr>
          <w:rFonts w:ascii="Times New Roman" w:eastAsia="Times New Roman" w:hAnsi="Times New Roman" w:cs="Times New Roman"/>
          <w:kern w:val="0"/>
          <w14:ligatures w14:val="none"/>
        </w:rPr>
        <w:t xml:space="preserve"> — Chair</w:t>
      </w:r>
      <w:proofErr w:type="gramEnd"/>
      <w:r w:rsidRPr="002E4BCB">
        <w:rPr>
          <w:rFonts w:ascii="Times New Roman" w:eastAsia="Times New Roman" w:hAnsi="Times New Roman" w:cs="Times New Roman"/>
          <w:kern w:val="0"/>
          <w14:ligatures w14:val="none"/>
        </w:rPr>
        <w:t xml:space="preserve"> structural performance</w:t>
      </w:r>
    </w:p>
    <w:p w14:paraId="38A3A1A4" w14:textId="77777777" w:rsidR="00BB738F" w:rsidRPr="002E4BCB" w:rsidRDefault="00BB73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AWI</w:t>
      </w:r>
      <w:r w:rsidRPr="002E4BCB">
        <w:rPr>
          <w:rFonts w:ascii="Times New Roman" w:eastAsia="Times New Roman" w:hAnsi="Times New Roman" w:cs="Times New Roman"/>
          <w:kern w:val="0"/>
          <w14:ligatures w14:val="none"/>
        </w:rPr>
        <w:t xml:space="preserve"> — Architectural Woodwork Institute</w:t>
      </w:r>
    </w:p>
    <w:p w14:paraId="787CE984" w14:textId="77777777" w:rsidR="00BB738F" w:rsidRPr="002E4BCB" w:rsidRDefault="00BB73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NHLA</w:t>
      </w:r>
      <w:r w:rsidRPr="002E4BCB">
        <w:rPr>
          <w:rFonts w:ascii="Times New Roman" w:eastAsia="Times New Roman" w:hAnsi="Times New Roman" w:cs="Times New Roman"/>
          <w:kern w:val="0"/>
          <w14:ligatures w14:val="none"/>
        </w:rPr>
        <w:t xml:space="preserve"> — Hardwood lumber grading</w:t>
      </w:r>
    </w:p>
    <w:p w14:paraId="6B175E18" w14:textId="77777777" w:rsidR="00BB738F" w:rsidRPr="002E4BCB" w:rsidRDefault="00BB73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ASTM International</w:t>
      </w:r>
      <w:r w:rsidRPr="002E4BCB">
        <w:rPr>
          <w:rFonts w:ascii="Times New Roman" w:eastAsia="Times New Roman" w:hAnsi="Times New Roman" w:cs="Times New Roman"/>
          <w:kern w:val="0"/>
          <w14:ligatures w14:val="none"/>
        </w:rPr>
        <w:t xml:space="preserve"> — Materials and structural testing</w:t>
      </w:r>
    </w:p>
    <w:p w14:paraId="7A81A358"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Safety &amp; Compliance</w:t>
      </w:r>
    </w:p>
    <w:p w14:paraId="5A646512" w14:textId="77777777" w:rsidR="00BB738F" w:rsidRPr="002E4BCB" w:rsidRDefault="00BB73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UL</w:t>
      </w:r>
      <w:r w:rsidRPr="002E4BCB">
        <w:rPr>
          <w:rFonts w:ascii="Times New Roman" w:eastAsia="Times New Roman" w:hAnsi="Times New Roman" w:cs="Times New Roman"/>
          <w:kern w:val="0"/>
          <w14:ligatures w14:val="none"/>
        </w:rPr>
        <w:t xml:space="preserve"> — Electrical safety (for powered desks, lighting, accessories)</w:t>
      </w:r>
    </w:p>
    <w:p w14:paraId="5886585A" w14:textId="77777777" w:rsidR="00BB738F" w:rsidRPr="002E4BCB" w:rsidRDefault="00BB73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lastRenderedPageBreak/>
        <w:t>ETL</w:t>
      </w:r>
      <w:r w:rsidRPr="002E4BCB">
        <w:rPr>
          <w:rFonts w:ascii="Times New Roman" w:eastAsia="Times New Roman" w:hAnsi="Times New Roman" w:cs="Times New Roman"/>
          <w:kern w:val="0"/>
          <w14:ligatures w14:val="none"/>
        </w:rPr>
        <w:t xml:space="preserve"> — Intertek certification</w:t>
      </w:r>
    </w:p>
    <w:p w14:paraId="34F8555B" w14:textId="77777777" w:rsidR="00BB738F" w:rsidRPr="002E4BCB" w:rsidRDefault="00BB73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CSA Group</w:t>
      </w:r>
      <w:r w:rsidRPr="002E4BCB">
        <w:rPr>
          <w:rFonts w:ascii="Times New Roman" w:eastAsia="Times New Roman" w:hAnsi="Times New Roman" w:cs="Times New Roman"/>
          <w:kern w:val="0"/>
          <w14:ligatures w14:val="none"/>
        </w:rPr>
        <w:t xml:space="preserve"> — Safety compliance</w:t>
      </w:r>
    </w:p>
    <w:p w14:paraId="35EF43AC" w14:textId="77777777" w:rsidR="00BB738F" w:rsidRPr="002E4BCB" w:rsidRDefault="00BB73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FCC</w:t>
      </w:r>
      <w:r w:rsidRPr="002E4BCB">
        <w:rPr>
          <w:rFonts w:ascii="Times New Roman" w:eastAsia="Times New Roman" w:hAnsi="Times New Roman" w:cs="Times New Roman"/>
          <w:kern w:val="0"/>
          <w14:ligatures w14:val="none"/>
        </w:rPr>
        <w:t xml:space="preserve"> — Electromagnetic emissions (for powered accessories)</w:t>
      </w:r>
    </w:p>
    <w:p w14:paraId="3703FF7E" w14:textId="77777777" w:rsidR="00BB738F" w:rsidRPr="002E4BCB" w:rsidRDefault="00BB73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b/>
          <w:bCs/>
          <w:kern w:val="0"/>
          <w14:ligatures w14:val="none"/>
        </w:rPr>
        <w:t>CE</w:t>
      </w:r>
      <w:r w:rsidRPr="002E4BCB">
        <w:rPr>
          <w:rFonts w:ascii="Times New Roman" w:eastAsia="Times New Roman" w:hAnsi="Times New Roman" w:cs="Times New Roman"/>
          <w:kern w:val="0"/>
          <w14:ligatures w14:val="none"/>
        </w:rPr>
        <w:t xml:space="preserve"> — European </w:t>
      </w:r>
      <w:proofErr w:type="gramStart"/>
      <w:r w:rsidRPr="002E4BCB">
        <w:rPr>
          <w:rFonts w:ascii="Times New Roman" w:eastAsia="Times New Roman" w:hAnsi="Times New Roman" w:cs="Times New Roman"/>
          <w:kern w:val="0"/>
          <w14:ligatures w14:val="none"/>
        </w:rPr>
        <w:t>conformity</w:t>
      </w:r>
      <w:proofErr w:type="gramEnd"/>
    </w:p>
    <w:p w14:paraId="2F6D4EBB"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Products must meet all applicable compliance requirements to be eligible for recommendation.</w:t>
      </w:r>
    </w:p>
    <w:p w14:paraId="0F721A21"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2. Mission</w:t>
      </w:r>
      <w:r w:rsidRPr="002E4BCB">
        <w:rPr>
          <w:rFonts w:ascii="Times New Roman" w:eastAsia="Times New Roman" w:hAnsi="Times New Roman" w:cs="Times New Roman"/>
          <w:b/>
          <w:bCs/>
          <w:kern w:val="0"/>
          <w:sz w:val="36"/>
          <w:szCs w:val="36"/>
          <w14:ligatures w14:val="none"/>
        </w:rPr>
        <w:noBreakHyphen/>
        <w:t>Critical Component Requirements</w:t>
      </w:r>
    </w:p>
    <w:p w14:paraId="27610E53"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products are evaluated based on mission</w:t>
      </w:r>
      <w:r w:rsidRPr="002E4BCB">
        <w:rPr>
          <w:rFonts w:ascii="Times New Roman" w:eastAsia="Times New Roman" w:hAnsi="Times New Roman" w:cs="Times New Roman"/>
          <w:kern w:val="0"/>
          <w14:ligatures w14:val="none"/>
        </w:rPr>
        <w:noBreakHyphen/>
        <w:t>critical components that materially determine structural integrity, durability, ergonomics, and long</w:t>
      </w:r>
      <w:r w:rsidRPr="002E4BCB">
        <w:rPr>
          <w:rFonts w:ascii="Times New Roman" w:eastAsia="Times New Roman" w:hAnsi="Times New Roman" w:cs="Times New Roman"/>
          <w:kern w:val="0"/>
          <w14:ligatures w14:val="none"/>
        </w:rPr>
        <w:noBreakHyphen/>
        <w:t>term reliability.</w:t>
      </w:r>
    </w:p>
    <w:p w14:paraId="516F51AE"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Desks</w:t>
      </w:r>
    </w:p>
    <w:p w14:paraId="369D5DA6"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Frame material grade</w:t>
      </w:r>
    </w:p>
    <w:p w14:paraId="4E1E7030"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Weld quality (steel frames)</w:t>
      </w:r>
    </w:p>
    <w:p w14:paraId="00C2B4D6"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Joinery method (wood desks)</w:t>
      </w:r>
    </w:p>
    <w:p w14:paraId="48A02F96"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Load rating</w:t>
      </w:r>
    </w:p>
    <w:p w14:paraId="444E7006"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Stability under dynamic load</w:t>
      </w:r>
    </w:p>
    <w:p w14:paraId="102C7604"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Desktop material composition</w:t>
      </w:r>
    </w:p>
    <w:p w14:paraId="14B83725"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Finish durability</w:t>
      </w:r>
    </w:p>
    <w:p w14:paraId="7A28490D"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Fastener quality</w:t>
      </w:r>
    </w:p>
    <w:p w14:paraId="768763EB" w14:textId="77777777" w:rsidR="00BB738F" w:rsidRPr="002E4BCB" w:rsidRDefault="00BB73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Leg structure and reinforcement</w:t>
      </w:r>
    </w:p>
    <w:p w14:paraId="4311134D"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Chairs</w:t>
      </w:r>
    </w:p>
    <w:p w14:paraId="011E3E3A"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Frame strength</w:t>
      </w:r>
    </w:p>
    <w:p w14:paraId="0045F4F7"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Base stability</w:t>
      </w:r>
    </w:p>
    <w:p w14:paraId="16D35C8F"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Gas lift certification</w:t>
      </w:r>
    </w:p>
    <w:p w14:paraId="45929B19"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Mechanism durability</w:t>
      </w:r>
    </w:p>
    <w:p w14:paraId="2454E48D"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Seat cushion density</w:t>
      </w:r>
    </w:p>
    <w:p w14:paraId="67D0C039"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Backrest support structure</w:t>
      </w:r>
    </w:p>
    <w:p w14:paraId="4E6B4417"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Armrest reinforcement</w:t>
      </w:r>
    </w:p>
    <w:p w14:paraId="04200A17" w14:textId="77777777" w:rsidR="00BB738F" w:rsidRPr="002E4BCB" w:rsidRDefault="00BB73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Fabric or leather durability</w:t>
      </w:r>
    </w:p>
    <w:p w14:paraId="5C2FBEC3"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Monitor Arms</w:t>
      </w:r>
    </w:p>
    <w:p w14:paraId="2EB637B3" w14:textId="77777777" w:rsidR="00BB738F" w:rsidRPr="002E4BCB" w:rsidRDefault="00BB73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Joint stability</w:t>
      </w:r>
    </w:p>
    <w:p w14:paraId="1F83A758" w14:textId="77777777" w:rsidR="00BB738F" w:rsidRPr="002E4BCB" w:rsidRDefault="00BB73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Torque consistency</w:t>
      </w:r>
    </w:p>
    <w:p w14:paraId="18B7A23A" w14:textId="77777777" w:rsidR="00BB738F" w:rsidRPr="002E4BCB" w:rsidRDefault="00BB73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Load rating</w:t>
      </w:r>
    </w:p>
    <w:p w14:paraId="57D75AF1" w14:textId="77777777" w:rsidR="00BB738F" w:rsidRPr="002E4BCB" w:rsidRDefault="00BB73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Clamp or grommet integrity</w:t>
      </w:r>
    </w:p>
    <w:p w14:paraId="7BC8C183" w14:textId="77777777" w:rsidR="00BB738F" w:rsidRPr="002E4BCB" w:rsidRDefault="00BB73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Material grade</w:t>
      </w:r>
    </w:p>
    <w:p w14:paraId="5FB4C95B" w14:textId="77777777" w:rsidR="00BB738F" w:rsidRPr="002E4BCB" w:rsidRDefault="00BB73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Motion smoothness</w:t>
      </w:r>
    </w:p>
    <w:p w14:paraId="359D912F"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Workspace Accessories</w:t>
      </w:r>
    </w:p>
    <w:p w14:paraId="78D78BD7" w14:textId="77777777" w:rsidR="00BB738F" w:rsidRPr="002E4BCB" w:rsidRDefault="00BB73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lastRenderedPageBreak/>
        <w:t>Material quality</w:t>
      </w:r>
    </w:p>
    <w:p w14:paraId="001CBA29" w14:textId="77777777" w:rsidR="00BB738F" w:rsidRPr="002E4BCB" w:rsidRDefault="00BB73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Structural integrity</w:t>
      </w:r>
    </w:p>
    <w:p w14:paraId="691E5E88" w14:textId="77777777" w:rsidR="00BB738F" w:rsidRPr="002E4BCB" w:rsidRDefault="00BB73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Fastener strength</w:t>
      </w:r>
    </w:p>
    <w:p w14:paraId="4D1D649E" w14:textId="77777777" w:rsidR="00BB738F" w:rsidRPr="002E4BCB" w:rsidRDefault="00BB73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Weight tolerance</w:t>
      </w:r>
    </w:p>
    <w:p w14:paraId="7BA9E81F" w14:textId="77777777" w:rsidR="00BB738F" w:rsidRPr="002E4BCB" w:rsidRDefault="00BB73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Long</w:t>
      </w:r>
      <w:r w:rsidRPr="002E4BCB">
        <w:rPr>
          <w:rFonts w:ascii="Times New Roman" w:eastAsia="Times New Roman" w:hAnsi="Times New Roman" w:cs="Times New Roman"/>
          <w:kern w:val="0"/>
          <w14:ligatures w14:val="none"/>
        </w:rPr>
        <w:noBreakHyphen/>
        <w:t>term durability</w:t>
      </w:r>
    </w:p>
    <w:p w14:paraId="403AEE97"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Mission</w:t>
      </w:r>
      <w:r w:rsidRPr="002E4BCB">
        <w:rPr>
          <w:rFonts w:ascii="Times New Roman" w:eastAsia="Times New Roman" w:hAnsi="Times New Roman" w:cs="Times New Roman"/>
          <w:kern w:val="0"/>
          <w14:ligatures w14:val="none"/>
        </w:rPr>
        <w:noBreakHyphen/>
        <w:t>critical components carry the highest weight in the scoring model.</w:t>
      </w:r>
    </w:p>
    <w:p w14:paraId="2FDFDE1D"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3. Weighted Engineering Scoring Model</w:t>
      </w:r>
    </w:p>
    <w:p w14:paraId="3A58CE69"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148"/>
        <w:gridCol w:w="6274"/>
      </w:tblGrid>
      <w:tr w:rsidR="00BB738F" w:rsidRPr="002E4BCB" w14:paraId="4C5BB0FF" w14:textId="77777777" w:rsidTr="00EF53EF">
        <w:trPr>
          <w:tblHeader/>
          <w:tblCellSpacing w:w="15" w:type="dxa"/>
        </w:trPr>
        <w:tc>
          <w:tcPr>
            <w:tcW w:w="0" w:type="auto"/>
            <w:vAlign w:val="center"/>
            <w:hideMark/>
          </w:tcPr>
          <w:p w14:paraId="7BF35DBE" w14:textId="77777777" w:rsidR="00BB738F" w:rsidRPr="002E4BCB" w:rsidRDefault="00BB738F" w:rsidP="00EF53EF">
            <w:pPr>
              <w:spacing w:after="0" w:line="240" w:lineRule="auto"/>
              <w:jc w:val="center"/>
              <w:rPr>
                <w:rFonts w:ascii="Times New Roman" w:eastAsia="Times New Roman" w:hAnsi="Times New Roman" w:cs="Times New Roman"/>
                <w:b/>
                <w:bCs/>
                <w:kern w:val="0"/>
                <w:u w:val="single"/>
                <w14:ligatures w14:val="none"/>
              </w:rPr>
            </w:pPr>
            <w:r w:rsidRPr="002E4BCB">
              <w:rPr>
                <w:rFonts w:ascii="Times New Roman" w:eastAsia="Times New Roman" w:hAnsi="Times New Roman" w:cs="Times New Roman"/>
                <w:b/>
                <w:bCs/>
                <w:kern w:val="0"/>
                <w:u w:val="single"/>
                <w14:ligatures w14:val="none"/>
              </w:rPr>
              <w:t>Component Tier</w:t>
            </w:r>
          </w:p>
        </w:tc>
        <w:tc>
          <w:tcPr>
            <w:tcW w:w="0" w:type="auto"/>
            <w:vAlign w:val="center"/>
            <w:hideMark/>
          </w:tcPr>
          <w:p w14:paraId="42604CCA" w14:textId="77777777" w:rsidR="00BB738F" w:rsidRPr="002E4BCB" w:rsidRDefault="00BB738F" w:rsidP="00EF53EF">
            <w:pPr>
              <w:spacing w:after="0" w:line="240" w:lineRule="auto"/>
              <w:jc w:val="center"/>
              <w:rPr>
                <w:rFonts w:ascii="Times New Roman" w:eastAsia="Times New Roman" w:hAnsi="Times New Roman" w:cs="Times New Roman"/>
                <w:b/>
                <w:bCs/>
                <w:kern w:val="0"/>
                <w:u w:val="single"/>
                <w14:ligatures w14:val="none"/>
              </w:rPr>
            </w:pPr>
            <w:r w:rsidRPr="002E4BCB">
              <w:rPr>
                <w:rFonts w:ascii="Times New Roman" w:eastAsia="Times New Roman" w:hAnsi="Times New Roman" w:cs="Times New Roman"/>
                <w:b/>
                <w:bCs/>
                <w:kern w:val="0"/>
                <w:u w:val="single"/>
                <w14:ligatures w14:val="none"/>
              </w:rPr>
              <w:t xml:space="preserve">    Weight</w:t>
            </w:r>
          </w:p>
        </w:tc>
        <w:tc>
          <w:tcPr>
            <w:tcW w:w="0" w:type="auto"/>
            <w:vAlign w:val="center"/>
            <w:hideMark/>
          </w:tcPr>
          <w:p w14:paraId="036ECA83" w14:textId="77777777" w:rsidR="00BB738F" w:rsidRPr="002E4BCB" w:rsidRDefault="00BB738F" w:rsidP="00EF53EF">
            <w:pPr>
              <w:spacing w:after="0" w:line="240" w:lineRule="auto"/>
              <w:rPr>
                <w:rFonts w:ascii="Times New Roman" w:eastAsia="Times New Roman" w:hAnsi="Times New Roman" w:cs="Times New Roman"/>
                <w:b/>
                <w:bCs/>
                <w:kern w:val="0"/>
                <w:u w:val="single"/>
                <w14:ligatures w14:val="none"/>
              </w:rPr>
            </w:pPr>
            <w:r w:rsidRPr="002E4BCB">
              <w:rPr>
                <w:rFonts w:ascii="Times New Roman" w:eastAsia="Times New Roman" w:hAnsi="Times New Roman" w:cs="Times New Roman"/>
                <w:b/>
                <w:bCs/>
                <w:kern w:val="0"/>
                <w:u w:val="single"/>
                <w14:ligatures w14:val="none"/>
              </w:rPr>
              <w:t xml:space="preserve">           Engineering Impact</w:t>
            </w:r>
          </w:p>
        </w:tc>
      </w:tr>
      <w:tr w:rsidR="00BB738F" w:rsidRPr="002E4BCB" w14:paraId="479875B0" w14:textId="77777777" w:rsidTr="00EF53EF">
        <w:trPr>
          <w:tblCellSpacing w:w="15" w:type="dxa"/>
        </w:trPr>
        <w:tc>
          <w:tcPr>
            <w:tcW w:w="0" w:type="auto"/>
            <w:vAlign w:val="center"/>
            <w:hideMark/>
          </w:tcPr>
          <w:p w14:paraId="74A20352" w14:textId="77777777" w:rsidR="00BB738F" w:rsidRPr="002E4BCB" w:rsidRDefault="00BB738F" w:rsidP="00EF53EF">
            <w:pPr>
              <w:spacing w:after="0" w:line="240" w:lineRule="auto"/>
              <w:rPr>
                <w:rFonts w:ascii="Times New Roman" w:eastAsia="Times New Roman" w:hAnsi="Times New Roman" w:cs="Times New Roman"/>
                <w:b/>
                <w:bCs/>
                <w:kern w:val="0"/>
                <w14:ligatures w14:val="none"/>
              </w:rPr>
            </w:pPr>
            <w:r w:rsidRPr="002E4BCB">
              <w:rPr>
                <w:rFonts w:ascii="Times New Roman" w:eastAsia="Times New Roman" w:hAnsi="Times New Roman" w:cs="Times New Roman"/>
                <w:b/>
                <w:bCs/>
                <w:kern w:val="0"/>
                <w14:ligatures w14:val="none"/>
              </w:rPr>
              <w:t>Mission</w:t>
            </w:r>
            <w:r w:rsidRPr="002E4BCB">
              <w:rPr>
                <w:rFonts w:ascii="Times New Roman" w:eastAsia="Times New Roman" w:hAnsi="Times New Roman" w:cs="Times New Roman"/>
                <w:b/>
                <w:bCs/>
                <w:kern w:val="0"/>
                <w14:ligatures w14:val="none"/>
              </w:rPr>
              <w:noBreakHyphen/>
              <w:t>Critical</w:t>
            </w:r>
          </w:p>
        </w:tc>
        <w:tc>
          <w:tcPr>
            <w:tcW w:w="0" w:type="auto"/>
            <w:vAlign w:val="center"/>
            <w:hideMark/>
          </w:tcPr>
          <w:p w14:paraId="06665515" w14:textId="77777777" w:rsidR="00BB738F" w:rsidRPr="002E4BCB" w:rsidRDefault="00BB738F" w:rsidP="00EF53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 </w:t>
            </w:r>
            <w:r w:rsidRPr="002E4BCB">
              <w:rPr>
                <w:rFonts w:ascii="Times New Roman" w:eastAsia="Times New Roman" w:hAnsi="Times New Roman" w:cs="Times New Roman"/>
                <w:kern w:val="0"/>
                <w14:ligatures w14:val="none"/>
              </w:rPr>
              <w:t>50–60%</w:t>
            </w:r>
          </w:p>
        </w:tc>
        <w:tc>
          <w:tcPr>
            <w:tcW w:w="0" w:type="auto"/>
            <w:vAlign w:val="center"/>
            <w:hideMark/>
          </w:tcPr>
          <w:p w14:paraId="1EDAB683" w14:textId="77777777" w:rsidR="00BB738F" w:rsidRPr="002E4BCB" w:rsidRDefault="00BB738F" w:rsidP="00EF53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E4BCB">
              <w:rPr>
                <w:rFonts w:ascii="Times New Roman" w:eastAsia="Times New Roman" w:hAnsi="Times New Roman" w:cs="Times New Roman"/>
                <w:kern w:val="0"/>
                <w14:ligatures w14:val="none"/>
              </w:rPr>
              <w:t>Determines structural integrity, safety, and durability</w:t>
            </w:r>
          </w:p>
        </w:tc>
      </w:tr>
      <w:tr w:rsidR="00BB738F" w:rsidRPr="002E4BCB" w14:paraId="54B3887E" w14:textId="77777777" w:rsidTr="00EF53EF">
        <w:trPr>
          <w:tblCellSpacing w:w="15" w:type="dxa"/>
        </w:trPr>
        <w:tc>
          <w:tcPr>
            <w:tcW w:w="0" w:type="auto"/>
            <w:vAlign w:val="center"/>
            <w:hideMark/>
          </w:tcPr>
          <w:p w14:paraId="3EE7C052" w14:textId="77777777" w:rsidR="00BB738F" w:rsidRPr="002E4BCB" w:rsidRDefault="00BB738F" w:rsidP="00EF53EF">
            <w:pPr>
              <w:spacing w:after="0" w:line="240" w:lineRule="auto"/>
              <w:rPr>
                <w:rFonts w:ascii="Times New Roman" w:eastAsia="Times New Roman" w:hAnsi="Times New Roman" w:cs="Times New Roman"/>
                <w:b/>
                <w:bCs/>
                <w:kern w:val="0"/>
                <w14:ligatures w14:val="none"/>
              </w:rPr>
            </w:pPr>
            <w:r w:rsidRPr="002E4BCB">
              <w:rPr>
                <w:rFonts w:ascii="Times New Roman" w:eastAsia="Times New Roman" w:hAnsi="Times New Roman" w:cs="Times New Roman"/>
                <w:b/>
                <w:bCs/>
                <w:kern w:val="0"/>
                <w14:ligatures w14:val="none"/>
              </w:rPr>
              <w:t>Important</w:t>
            </w:r>
          </w:p>
        </w:tc>
        <w:tc>
          <w:tcPr>
            <w:tcW w:w="0" w:type="auto"/>
            <w:vAlign w:val="center"/>
            <w:hideMark/>
          </w:tcPr>
          <w:p w14:paraId="5BC9EC65" w14:textId="77777777" w:rsidR="00BB738F" w:rsidRPr="002E4BCB" w:rsidRDefault="00BB738F" w:rsidP="00EF53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 </w:t>
            </w:r>
            <w:r w:rsidRPr="002E4BCB">
              <w:rPr>
                <w:rFonts w:ascii="Times New Roman" w:eastAsia="Times New Roman" w:hAnsi="Times New Roman" w:cs="Times New Roman"/>
                <w:kern w:val="0"/>
                <w14:ligatures w14:val="none"/>
              </w:rPr>
              <w:t>25–35%</w:t>
            </w:r>
          </w:p>
        </w:tc>
        <w:tc>
          <w:tcPr>
            <w:tcW w:w="0" w:type="auto"/>
            <w:vAlign w:val="center"/>
            <w:hideMark/>
          </w:tcPr>
          <w:p w14:paraId="6C7EBA07" w14:textId="77777777" w:rsidR="00BB738F" w:rsidRPr="002E4BCB" w:rsidRDefault="00BB738F" w:rsidP="00EF53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E4BCB">
              <w:rPr>
                <w:rFonts w:ascii="Times New Roman" w:eastAsia="Times New Roman" w:hAnsi="Times New Roman" w:cs="Times New Roman"/>
                <w:kern w:val="0"/>
                <w14:ligatures w14:val="none"/>
              </w:rPr>
              <w:t>Influences stability, ergonomics, and long</w:t>
            </w:r>
            <w:r w:rsidRPr="002E4BCB">
              <w:rPr>
                <w:rFonts w:ascii="Times New Roman" w:eastAsia="Times New Roman" w:hAnsi="Times New Roman" w:cs="Times New Roman"/>
                <w:kern w:val="0"/>
                <w14:ligatures w14:val="none"/>
              </w:rPr>
              <w:noBreakHyphen/>
              <w:t>term reliability</w:t>
            </w:r>
          </w:p>
        </w:tc>
      </w:tr>
      <w:tr w:rsidR="00BB738F" w:rsidRPr="002E4BCB" w14:paraId="01368573" w14:textId="77777777" w:rsidTr="00EF53EF">
        <w:trPr>
          <w:tblCellSpacing w:w="15" w:type="dxa"/>
        </w:trPr>
        <w:tc>
          <w:tcPr>
            <w:tcW w:w="0" w:type="auto"/>
            <w:vAlign w:val="center"/>
            <w:hideMark/>
          </w:tcPr>
          <w:p w14:paraId="06881D9F" w14:textId="77777777" w:rsidR="00BB738F" w:rsidRPr="002E4BCB" w:rsidRDefault="00BB738F" w:rsidP="00EF53EF">
            <w:pPr>
              <w:spacing w:after="0" w:line="240" w:lineRule="auto"/>
              <w:rPr>
                <w:rFonts w:ascii="Times New Roman" w:eastAsia="Times New Roman" w:hAnsi="Times New Roman" w:cs="Times New Roman"/>
                <w:b/>
                <w:bCs/>
                <w:kern w:val="0"/>
                <w14:ligatures w14:val="none"/>
              </w:rPr>
            </w:pPr>
            <w:r w:rsidRPr="002E4BCB">
              <w:rPr>
                <w:rFonts w:ascii="Times New Roman" w:eastAsia="Times New Roman" w:hAnsi="Times New Roman" w:cs="Times New Roman"/>
                <w:b/>
                <w:bCs/>
                <w:kern w:val="0"/>
                <w14:ligatures w14:val="none"/>
              </w:rPr>
              <w:t>Minor</w:t>
            </w:r>
          </w:p>
        </w:tc>
        <w:tc>
          <w:tcPr>
            <w:tcW w:w="0" w:type="auto"/>
            <w:vAlign w:val="center"/>
            <w:hideMark/>
          </w:tcPr>
          <w:p w14:paraId="2EE51A0E" w14:textId="77777777" w:rsidR="00BB738F" w:rsidRPr="002E4BCB" w:rsidRDefault="00BB738F" w:rsidP="00EF53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 </w:t>
            </w:r>
            <w:r w:rsidRPr="002E4BCB">
              <w:rPr>
                <w:rFonts w:ascii="Times New Roman" w:eastAsia="Times New Roman" w:hAnsi="Times New Roman" w:cs="Times New Roman"/>
                <w:kern w:val="0"/>
                <w14:ligatures w14:val="none"/>
              </w:rPr>
              <w:t>10–15%</w:t>
            </w:r>
          </w:p>
        </w:tc>
        <w:tc>
          <w:tcPr>
            <w:tcW w:w="0" w:type="auto"/>
            <w:vAlign w:val="center"/>
            <w:hideMark/>
          </w:tcPr>
          <w:p w14:paraId="262554E4" w14:textId="77777777" w:rsidR="00BB738F" w:rsidRPr="002E4BCB" w:rsidRDefault="00BB738F" w:rsidP="00EF53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E4BCB">
              <w:rPr>
                <w:rFonts w:ascii="Times New Roman" w:eastAsia="Times New Roman" w:hAnsi="Times New Roman" w:cs="Times New Roman"/>
                <w:kern w:val="0"/>
                <w14:ligatures w14:val="none"/>
              </w:rPr>
              <w:t>Affects usability and secondary experience</w:t>
            </w:r>
          </w:p>
        </w:tc>
      </w:tr>
    </w:tbl>
    <w:p w14:paraId="23AA3F5B"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Weights vary by product type based on governing bodies and engineering relevance.</w:t>
      </w:r>
    </w:p>
    <w:p w14:paraId="554D50D6"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4. Category</w:t>
      </w:r>
      <w:r w:rsidRPr="002E4BCB">
        <w:rPr>
          <w:rFonts w:ascii="Times New Roman" w:eastAsia="Times New Roman" w:hAnsi="Times New Roman" w:cs="Times New Roman"/>
          <w:b/>
          <w:bCs/>
          <w:kern w:val="0"/>
          <w:sz w:val="36"/>
          <w:szCs w:val="36"/>
          <w14:ligatures w14:val="none"/>
        </w:rPr>
        <w:noBreakHyphen/>
        <w:t>Specific Performance Metrics</w:t>
      </w:r>
    </w:p>
    <w:p w14:paraId="122311BA"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Each workspace product category has its own performance benchmarks.</w:t>
      </w:r>
    </w:p>
    <w:p w14:paraId="666BBE9F"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Desk Performance Metrics</w:t>
      </w:r>
    </w:p>
    <w:p w14:paraId="4E7CC07D"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Load capacity</w:t>
      </w:r>
    </w:p>
    <w:p w14:paraId="22F15660"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Deflection under load</w:t>
      </w:r>
    </w:p>
    <w:p w14:paraId="1F8B67FC"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Frame rigidity</w:t>
      </w:r>
    </w:p>
    <w:p w14:paraId="4220F07C"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Stability under dynamic movement</w:t>
      </w:r>
    </w:p>
    <w:p w14:paraId="04B698E5"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Desktop surface durability</w:t>
      </w:r>
    </w:p>
    <w:p w14:paraId="6C14467B"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Joinery strength</w:t>
      </w:r>
    </w:p>
    <w:p w14:paraId="60E0CCD9" w14:textId="77777777" w:rsidR="00BB738F" w:rsidRPr="002E4BCB" w:rsidRDefault="00BB73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Finish resistance</w:t>
      </w:r>
    </w:p>
    <w:p w14:paraId="2B1F9DE4"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Chair Performance Metrics</w:t>
      </w:r>
    </w:p>
    <w:p w14:paraId="76F8ED5F" w14:textId="77777777" w:rsidR="00BB738F" w:rsidRPr="002E4BCB" w:rsidRDefault="00BB73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Back support quality</w:t>
      </w:r>
    </w:p>
    <w:p w14:paraId="46B74288" w14:textId="77777777" w:rsidR="00BB738F" w:rsidRPr="002E4BCB" w:rsidRDefault="00BB73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Seat cushion density</w:t>
      </w:r>
    </w:p>
    <w:p w14:paraId="7F804055" w14:textId="77777777" w:rsidR="00BB738F" w:rsidRPr="002E4BCB" w:rsidRDefault="00BB73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Mechanism durability</w:t>
      </w:r>
    </w:p>
    <w:p w14:paraId="7630F06A" w14:textId="77777777" w:rsidR="00BB738F" w:rsidRPr="002E4BCB" w:rsidRDefault="00BB73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Gas lift reliability</w:t>
      </w:r>
    </w:p>
    <w:p w14:paraId="4E84164E" w14:textId="77777777" w:rsidR="00BB738F" w:rsidRPr="002E4BCB" w:rsidRDefault="00BB73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Base stability</w:t>
      </w:r>
    </w:p>
    <w:p w14:paraId="3C589BA8" w14:textId="77777777" w:rsidR="00BB738F" w:rsidRPr="002E4BCB" w:rsidRDefault="00BB73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Armrest structural integrity</w:t>
      </w:r>
    </w:p>
    <w:p w14:paraId="2A8BE145" w14:textId="77777777" w:rsidR="00BB738F"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E585665" w14:textId="01796E5F"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lastRenderedPageBreak/>
        <w:t>Monitor Arm Performance Metrics</w:t>
      </w:r>
    </w:p>
    <w:p w14:paraId="0DF73CC8" w14:textId="77777777" w:rsidR="00BB738F" w:rsidRPr="002E4BCB" w:rsidRDefault="00BB73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Load rating accuracy</w:t>
      </w:r>
    </w:p>
    <w:p w14:paraId="60E38132" w14:textId="77777777" w:rsidR="00BB738F" w:rsidRPr="002E4BCB" w:rsidRDefault="00BB73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Motion smoothness</w:t>
      </w:r>
    </w:p>
    <w:p w14:paraId="12E05261" w14:textId="77777777" w:rsidR="00BB738F" w:rsidRPr="002E4BCB" w:rsidRDefault="00BB73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Joint torque consistency</w:t>
      </w:r>
    </w:p>
    <w:p w14:paraId="42C50657" w14:textId="77777777" w:rsidR="00BB738F" w:rsidRPr="002E4BCB" w:rsidRDefault="00BB73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Clamp/grommet stability</w:t>
      </w:r>
    </w:p>
    <w:p w14:paraId="1B910CCD" w14:textId="77777777" w:rsidR="00BB738F" w:rsidRPr="002E4BCB" w:rsidRDefault="00BB73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Material grade</w:t>
      </w:r>
    </w:p>
    <w:p w14:paraId="26A4DC1B"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Products must meet or exceed category thresholds to be recommended.</w:t>
      </w:r>
    </w:p>
    <w:p w14:paraId="1D9CC42A"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5. Material &amp; Construction Requirements</w:t>
      </w:r>
    </w:p>
    <w:p w14:paraId="221E3642"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 xml:space="preserve">Workspace products are evaluated </w:t>
      </w:r>
      <w:proofErr w:type="gramStart"/>
      <w:r w:rsidRPr="002E4BCB">
        <w:rPr>
          <w:rFonts w:ascii="Times New Roman" w:eastAsia="Times New Roman" w:hAnsi="Times New Roman" w:cs="Times New Roman"/>
          <w:kern w:val="0"/>
          <w14:ligatures w14:val="none"/>
        </w:rPr>
        <w:t>for</w:t>
      </w:r>
      <w:proofErr w:type="gramEnd"/>
      <w:r w:rsidRPr="002E4BCB">
        <w:rPr>
          <w:rFonts w:ascii="Times New Roman" w:eastAsia="Times New Roman" w:hAnsi="Times New Roman" w:cs="Times New Roman"/>
          <w:kern w:val="0"/>
          <w14:ligatures w14:val="none"/>
        </w:rPr>
        <w:t>:</w:t>
      </w:r>
    </w:p>
    <w:p w14:paraId="7C1441E3"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Material Quality</w:t>
      </w:r>
    </w:p>
    <w:p w14:paraId="30309F58" w14:textId="77777777" w:rsidR="00BB738F" w:rsidRPr="002E4BCB" w:rsidRDefault="00BB73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Steel gauge</w:t>
      </w:r>
    </w:p>
    <w:p w14:paraId="545DD2CD" w14:textId="77777777" w:rsidR="00BB738F" w:rsidRPr="002E4BCB" w:rsidRDefault="00BB73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Aluminum grade</w:t>
      </w:r>
    </w:p>
    <w:p w14:paraId="2E6CE887" w14:textId="77777777" w:rsidR="00BB738F" w:rsidRPr="002E4BCB" w:rsidRDefault="00BB73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Hardwood species</w:t>
      </w:r>
    </w:p>
    <w:p w14:paraId="232145A8" w14:textId="77777777" w:rsidR="00BB738F" w:rsidRPr="002E4BCB" w:rsidRDefault="00BB73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Veneer quality</w:t>
      </w:r>
    </w:p>
    <w:p w14:paraId="4E7A03DD" w14:textId="77777777" w:rsidR="00BB738F" w:rsidRPr="002E4BCB" w:rsidRDefault="00BB73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Polymer purity</w:t>
      </w:r>
    </w:p>
    <w:p w14:paraId="39F31A37" w14:textId="77777777" w:rsidR="00BB738F" w:rsidRPr="002E4BCB" w:rsidRDefault="00BB73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Fastener grade</w:t>
      </w:r>
    </w:p>
    <w:p w14:paraId="3E417D28"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Construction Integrity</w:t>
      </w:r>
    </w:p>
    <w:p w14:paraId="716B44D0" w14:textId="77777777" w:rsidR="00BB738F" w:rsidRPr="002E4BCB" w:rsidRDefault="00BB73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Weld quality</w:t>
      </w:r>
    </w:p>
    <w:p w14:paraId="3B3BE53C" w14:textId="77777777" w:rsidR="00BB738F" w:rsidRPr="002E4BCB" w:rsidRDefault="00BB73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Joinery method</w:t>
      </w:r>
    </w:p>
    <w:p w14:paraId="03D60A70" w14:textId="77777777" w:rsidR="00BB738F" w:rsidRPr="002E4BCB" w:rsidRDefault="00BB73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Internal bracing</w:t>
      </w:r>
    </w:p>
    <w:p w14:paraId="455B23C8" w14:textId="77777777" w:rsidR="00BB738F" w:rsidRPr="002E4BCB" w:rsidRDefault="00BB73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Reinforcement structure</w:t>
      </w:r>
    </w:p>
    <w:p w14:paraId="5478993B" w14:textId="77777777" w:rsidR="00BB738F" w:rsidRPr="002E4BCB" w:rsidRDefault="00BB73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Assembly precision</w:t>
      </w:r>
    </w:p>
    <w:p w14:paraId="319B43A7"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Poor construction integrity results in reduced scoring.</w:t>
      </w:r>
    </w:p>
    <w:p w14:paraId="2C7F21A1"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6. Ergonomic Requirements</w:t>
      </w:r>
    </w:p>
    <w:p w14:paraId="2439EDAA"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products must demonstrate:</w:t>
      </w:r>
    </w:p>
    <w:p w14:paraId="5D5F53DE" w14:textId="77777777" w:rsidR="00BB738F" w:rsidRPr="002E4BCB" w:rsidRDefault="00BB73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Proper posture support</w:t>
      </w:r>
    </w:p>
    <w:p w14:paraId="2D2165EF" w14:textId="77777777" w:rsidR="00BB738F" w:rsidRPr="002E4BCB" w:rsidRDefault="00BB73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Adjustable functionality (where applicable)</w:t>
      </w:r>
    </w:p>
    <w:p w14:paraId="75504615" w14:textId="77777777" w:rsidR="00BB738F" w:rsidRPr="002E4BCB" w:rsidRDefault="00BB73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Pressure distribution</w:t>
      </w:r>
    </w:p>
    <w:p w14:paraId="239D7FAD" w14:textId="77777777" w:rsidR="00BB738F" w:rsidRPr="002E4BCB" w:rsidRDefault="00BB73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Movement stability</w:t>
      </w:r>
    </w:p>
    <w:p w14:paraId="6C37E6FD" w14:textId="77777777" w:rsidR="00BB738F" w:rsidRPr="002E4BCB" w:rsidRDefault="00BB73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Long</w:t>
      </w:r>
      <w:r w:rsidRPr="002E4BCB">
        <w:rPr>
          <w:rFonts w:ascii="Times New Roman" w:eastAsia="Times New Roman" w:hAnsi="Times New Roman" w:cs="Times New Roman"/>
          <w:kern w:val="0"/>
          <w14:ligatures w14:val="none"/>
        </w:rPr>
        <w:noBreakHyphen/>
        <w:t>term comfort</w:t>
      </w:r>
    </w:p>
    <w:p w14:paraId="37A55B44" w14:textId="77777777" w:rsidR="00BB738F" w:rsidRPr="002E4BCB" w:rsidRDefault="00BB73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Category</w:t>
      </w:r>
      <w:r w:rsidRPr="002E4BCB">
        <w:rPr>
          <w:rFonts w:ascii="Times New Roman" w:eastAsia="Times New Roman" w:hAnsi="Times New Roman" w:cs="Times New Roman"/>
          <w:kern w:val="0"/>
          <w14:ligatures w14:val="none"/>
        </w:rPr>
        <w:noBreakHyphen/>
        <w:t>appropriate ergonomics</w:t>
      </w:r>
    </w:p>
    <w:p w14:paraId="5DAB1425"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Ergonomic failures result in disqualification for professional use.</w:t>
      </w:r>
    </w:p>
    <w:p w14:paraId="0730C47C"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lastRenderedPageBreak/>
        <w:t>7. Reliability &amp; Lifecycle Requirements</w:t>
      </w:r>
    </w:p>
    <w:p w14:paraId="74EE71E1"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products must demonstrate:</w:t>
      </w:r>
    </w:p>
    <w:p w14:paraId="7A93C4B6"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Structural durability</w:t>
      </w:r>
    </w:p>
    <w:p w14:paraId="11EE839D"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Component fatigue resistance</w:t>
      </w:r>
    </w:p>
    <w:p w14:paraId="063BDD81"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Finish longevity</w:t>
      </w:r>
    </w:p>
    <w:p w14:paraId="41AD4B92"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Mechanism reliability</w:t>
      </w:r>
    </w:p>
    <w:p w14:paraId="3038F23D"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Long</w:t>
      </w:r>
      <w:r w:rsidRPr="002E4BCB">
        <w:rPr>
          <w:rFonts w:ascii="Times New Roman" w:eastAsia="Times New Roman" w:hAnsi="Times New Roman" w:cs="Times New Roman"/>
          <w:kern w:val="0"/>
          <w14:ligatures w14:val="none"/>
        </w:rPr>
        <w:noBreakHyphen/>
        <w:t>term stability</w:t>
      </w:r>
    </w:p>
    <w:p w14:paraId="13B1CB9B"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Manufacturer support</w:t>
      </w:r>
    </w:p>
    <w:p w14:paraId="26DCAAB0" w14:textId="77777777" w:rsidR="00BB738F" w:rsidRPr="002E4BCB" w:rsidRDefault="00BB73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Warranty strength</w:t>
      </w:r>
    </w:p>
    <w:p w14:paraId="7A8CF04F"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Products with reliability concerns are downgraded or disqualified.</w:t>
      </w:r>
    </w:p>
    <w:p w14:paraId="0BEC06C1"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8. Compliance Verification</w:t>
      </w:r>
    </w:p>
    <w:p w14:paraId="78CBDDEC"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All workspace products must provide verifiable compliance evidence:</w:t>
      </w:r>
    </w:p>
    <w:p w14:paraId="400D8F56" w14:textId="77777777" w:rsidR="00BB738F" w:rsidRPr="002E4BCB" w:rsidRDefault="00BB73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BIFMA structural standards</w:t>
      </w:r>
    </w:p>
    <w:p w14:paraId="63409F98" w14:textId="77777777" w:rsidR="00BB738F" w:rsidRPr="002E4BCB" w:rsidRDefault="00BB73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AWI woodworking standards</w:t>
      </w:r>
    </w:p>
    <w:p w14:paraId="413783C1" w14:textId="77777777" w:rsidR="00BB738F" w:rsidRPr="002E4BCB" w:rsidRDefault="00BB73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NHLA lumber grading</w:t>
      </w:r>
    </w:p>
    <w:p w14:paraId="09C64E6B" w14:textId="77777777" w:rsidR="00BB738F" w:rsidRPr="002E4BCB" w:rsidRDefault="00BB73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UL / ETL safety (for powered items)</w:t>
      </w:r>
    </w:p>
    <w:p w14:paraId="17BB2768" w14:textId="77777777" w:rsidR="00BB738F" w:rsidRPr="002E4BCB" w:rsidRDefault="00BB73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FCC emissions (for powered items)</w:t>
      </w:r>
    </w:p>
    <w:p w14:paraId="01E36DAB" w14:textId="77777777" w:rsidR="00BB738F" w:rsidRPr="002E4BCB" w:rsidRDefault="00BB73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CE conformity</w:t>
      </w:r>
    </w:p>
    <w:p w14:paraId="0CF2E508" w14:textId="77777777" w:rsidR="00BB738F"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Missing compliance results in automatic disqualification.</w:t>
      </w:r>
    </w:p>
    <w:p w14:paraId="5D492851"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p>
    <w:p w14:paraId="5A9C960A"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9. Truth Collective Tier Assignment</w:t>
      </w:r>
    </w:p>
    <w:p w14:paraId="4434DA65"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Workspace products are assigned a tier based on Stage I and Stage II results:</w:t>
      </w:r>
    </w:p>
    <w:p w14:paraId="3AAB2996"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Tier 1 — Premium Engineering Grade</w:t>
      </w:r>
    </w:p>
    <w:p w14:paraId="5367319D"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Meets or exceeds all major engineering benchmarks and compliance requirements.</w:t>
      </w:r>
    </w:p>
    <w:p w14:paraId="38E730DF"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Tier 2 — Professional Grade</w:t>
      </w:r>
    </w:p>
    <w:p w14:paraId="184AB6E0"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Meets most benchmarks with minor limitations.</w:t>
      </w:r>
    </w:p>
    <w:p w14:paraId="05567D61"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t>Tier 3 — Consumer Grade</w:t>
      </w:r>
    </w:p>
    <w:p w14:paraId="6214A916"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Meets minimum standards for general use.</w:t>
      </w:r>
    </w:p>
    <w:p w14:paraId="4DA78955" w14:textId="77777777" w:rsidR="00BB738F" w:rsidRPr="002E4BCB" w:rsidRDefault="00BB738F" w:rsidP="00BB73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BCB">
        <w:rPr>
          <w:rFonts w:ascii="Times New Roman" w:eastAsia="Times New Roman" w:hAnsi="Times New Roman" w:cs="Times New Roman"/>
          <w:b/>
          <w:bCs/>
          <w:kern w:val="0"/>
          <w:sz w:val="27"/>
          <w:szCs w:val="27"/>
          <w14:ligatures w14:val="none"/>
        </w:rPr>
        <w:lastRenderedPageBreak/>
        <w:t>Tier 4 — Entry Level</w:t>
      </w:r>
    </w:p>
    <w:p w14:paraId="2F4C61A3"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Fails multiple benchmarks or lacks compliance.</w:t>
      </w:r>
    </w:p>
    <w:p w14:paraId="204A894D"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Tiering is based solely on engineering evidence.</w:t>
      </w:r>
    </w:p>
    <w:p w14:paraId="668215B4"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10. Evidence Requirements</w:t>
      </w:r>
    </w:p>
    <w:p w14:paraId="27878637"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Accepted evidence includes:</w:t>
      </w:r>
    </w:p>
    <w:p w14:paraId="1534AE12" w14:textId="77777777" w:rsidR="00BB738F" w:rsidRPr="002E4BCB" w:rsidRDefault="00BB73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Manufacturer engineering documentation</w:t>
      </w:r>
    </w:p>
    <w:p w14:paraId="2106A3F6" w14:textId="77777777" w:rsidR="00BB738F" w:rsidRPr="002E4BCB" w:rsidRDefault="00BB73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Teardown analysis</w:t>
      </w:r>
    </w:p>
    <w:p w14:paraId="16CCC96B" w14:textId="77777777" w:rsidR="00BB738F" w:rsidRPr="002E4BCB" w:rsidRDefault="00BB73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Compliance certificates</w:t>
      </w:r>
    </w:p>
    <w:p w14:paraId="4957D86D" w14:textId="77777777" w:rsidR="00BB738F" w:rsidRPr="002E4BCB" w:rsidRDefault="00BB73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Structural test results</w:t>
      </w:r>
    </w:p>
    <w:p w14:paraId="4A169D2C" w14:textId="77777777" w:rsidR="00BB738F" w:rsidRPr="002E4BCB" w:rsidRDefault="00BB73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Material specifications</w:t>
      </w:r>
    </w:p>
    <w:p w14:paraId="60987713" w14:textId="77777777" w:rsidR="00BB738F" w:rsidRPr="002E4BCB" w:rsidRDefault="00BB73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Reviewer observations</w:t>
      </w:r>
    </w:p>
    <w:p w14:paraId="541D08CA"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Marketing claims and consumer star ratings are excluded.</w:t>
      </w:r>
    </w:p>
    <w:p w14:paraId="78E71501"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11. Workspace Hub Output</w:t>
      </w:r>
    </w:p>
    <w:p w14:paraId="541DCF95"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Each evaluation produces:</w:t>
      </w:r>
    </w:p>
    <w:p w14:paraId="16B169AA"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Standards mapping</w:t>
      </w:r>
    </w:p>
    <w:p w14:paraId="2F2F4CC4"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Mission</w:t>
      </w:r>
      <w:r w:rsidRPr="002E4BCB">
        <w:rPr>
          <w:rFonts w:ascii="Times New Roman" w:eastAsia="Times New Roman" w:hAnsi="Times New Roman" w:cs="Times New Roman"/>
          <w:kern w:val="0"/>
          <w14:ligatures w14:val="none"/>
        </w:rPr>
        <w:noBreakHyphen/>
        <w:t>critical component analysis</w:t>
      </w:r>
    </w:p>
    <w:p w14:paraId="44A0C2E9"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Weighted engineering score</w:t>
      </w:r>
    </w:p>
    <w:p w14:paraId="666237F6"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Category performance score</w:t>
      </w:r>
    </w:p>
    <w:p w14:paraId="6109D7F8"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Reliability score</w:t>
      </w:r>
    </w:p>
    <w:p w14:paraId="51AF2BBF"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Ergonomic score</w:t>
      </w:r>
    </w:p>
    <w:p w14:paraId="482E1262"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Compliance verification</w:t>
      </w:r>
    </w:p>
    <w:p w14:paraId="2A8404D5"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Final tier assignment</w:t>
      </w:r>
    </w:p>
    <w:p w14:paraId="25BA20F1" w14:textId="77777777" w:rsidR="00BB738F" w:rsidRPr="002E4BCB" w:rsidRDefault="00BB73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Recommendation rationale</w:t>
      </w:r>
    </w:p>
    <w:p w14:paraId="708E94EA"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This ensures all Workspace Hub recommendations are grounded in measurable engineering evidence.</w:t>
      </w:r>
    </w:p>
    <w:p w14:paraId="28F3CD45" w14:textId="77777777" w:rsidR="00BB738F" w:rsidRPr="002E4BCB" w:rsidRDefault="00BB738F" w:rsidP="00BB73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4BCB">
        <w:rPr>
          <w:rFonts w:ascii="Times New Roman" w:eastAsia="Times New Roman" w:hAnsi="Times New Roman" w:cs="Times New Roman"/>
          <w:b/>
          <w:bCs/>
          <w:kern w:val="0"/>
          <w:sz w:val="36"/>
          <w:szCs w:val="36"/>
          <w14:ligatures w14:val="none"/>
        </w:rPr>
        <w:t>Conclusion</w:t>
      </w:r>
    </w:p>
    <w:p w14:paraId="2C169813" w14:textId="77777777" w:rsidR="00BB738F" w:rsidRPr="002E4BCB" w:rsidRDefault="00BB738F" w:rsidP="00BB738F">
      <w:pPr>
        <w:spacing w:before="100" w:beforeAutospacing="1" w:after="100" w:afterAutospacing="1" w:line="240" w:lineRule="auto"/>
        <w:rPr>
          <w:rFonts w:ascii="Times New Roman" w:eastAsia="Times New Roman" w:hAnsi="Times New Roman" w:cs="Times New Roman"/>
          <w:kern w:val="0"/>
          <w14:ligatures w14:val="none"/>
        </w:rPr>
      </w:pPr>
      <w:r w:rsidRPr="002E4BCB">
        <w:rPr>
          <w:rFonts w:ascii="Times New Roman" w:eastAsia="Times New Roman" w:hAnsi="Times New Roman" w:cs="Times New Roman"/>
          <w:kern w:val="0"/>
          <w14:ligatures w14:val="none"/>
        </w:rPr>
        <w:t>The Workspace Products &amp; Tools Hub Evaluation System ensures that every workspace product featured by Truth Collective meets professional engineering standards, structural requirements, ergonomic expectations, and compliance thresholds. This governance framework maintains accuracy, integrity, and trust across all workspace recommendations.</w:t>
      </w:r>
    </w:p>
    <w:p w14:paraId="522A5A22" w14:textId="77777777" w:rsidR="00BB738F" w:rsidRDefault="00BB738F" w:rsidP="007863F3">
      <w:pPr>
        <w:spacing w:before="100" w:beforeAutospacing="1" w:after="100" w:afterAutospacing="1" w:line="240" w:lineRule="auto"/>
        <w:outlineLvl w:val="0"/>
        <w:rPr>
          <w:rFonts w:ascii="Times New Roman" w:eastAsia="Times New Roman" w:hAnsi="Times New Roman" w:cs="Times New Roman"/>
          <w:kern w:val="0"/>
          <w14:ligatures w14:val="none"/>
        </w:rPr>
      </w:pPr>
    </w:p>
    <w:sectPr w:rsidR="00BB738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4EE4E" w14:textId="77777777" w:rsidR="00BD1782" w:rsidRDefault="00BD1782" w:rsidP="008258D6">
      <w:pPr>
        <w:spacing w:after="0" w:line="240" w:lineRule="auto"/>
      </w:pPr>
      <w:r>
        <w:separator/>
      </w:r>
    </w:p>
  </w:endnote>
  <w:endnote w:type="continuationSeparator" w:id="0">
    <w:p w14:paraId="0DEC6898" w14:textId="77777777" w:rsidR="00BD1782" w:rsidRDefault="00BD1782" w:rsidP="00825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981EA" w14:textId="77777777" w:rsidR="00BD1782" w:rsidRDefault="00BD1782" w:rsidP="008258D6">
      <w:pPr>
        <w:spacing w:after="0" w:line="240" w:lineRule="auto"/>
      </w:pPr>
      <w:r>
        <w:separator/>
      </w:r>
    </w:p>
  </w:footnote>
  <w:footnote w:type="continuationSeparator" w:id="0">
    <w:p w14:paraId="2B3F1DD4" w14:textId="77777777" w:rsidR="00BD1782" w:rsidRDefault="00BD1782" w:rsidP="00825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0411" w14:textId="66914B38" w:rsidR="008258D6" w:rsidRPr="008258D6" w:rsidRDefault="008258D6">
    <w:pPr>
      <w:pStyle w:val="Header"/>
      <w:rPr>
        <w:rFonts w:ascii="Playfair Display" w:hAnsi="Playfair Display"/>
        <w:b/>
        <w:bCs/>
      </w:rPr>
    </w:pPr>
    <w:r w:rsidRPr="008258D6">
      <w:rPr>
        <w:rFonts w:ascii="Playfair Display" w:hAnsi="Playfair Display"/>
        <w:b/>
        <w:bCs/>
      </w:rPr>
      <w:t>Truth-Collective</w:t>
    </w:r>
    <w:r>
      <w:rPr>
        <w:rFonts w:ascii="Playfair Display" w:hAnsi="Playfair Display"/>
        <w:b/>
        <w:bCs/>
      </w:rPr>
      <w:t xml:space="preserve"> </w:t>
    </w:r>
    <w:r w:rsidRPr="008258D6">
      <w:rPr>
        <w:rFonts w:ascii="Playfair Display" w:hAnsi="Playfair Display"/>
        <w:b/>
        <w:bCs/>
      </w:rPr>
      <w:t xml:space="preserve">Evaluations Benchmarking </w:t>
    </w:r>
    <w:r w:rsidR="007863F3">
      <w:rPr>
        <w:rFonts w:ascii="Playfair Display" w:hAnsi="Playfair Display"/>
        <w:b/>
        <w:bCs/>
      </w:rPr>
      <w:t>Evaluations and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542E"/>
    <w:multiLevelType w:val="multilevel"/>
    <w:tmpl w:val="653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7575E"/>
    <w:multiLevelType w:val="multilevel"/>
    <w:tmpl w:val="03D2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A2806"/>
    <w:multiLevelType w:val="multilevel"/>
    <w:tmpl w:val="3F8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A65F4"/>
    <w:multiLevelType w:val="multilevel"/>
    <w:tmpl w:val="090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F7406"/>
    <w:multiLevelType w:val="multilevel"/>
    <w:tmpl w:val="D00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95DD6"/>
    <w:multiLevelType w:val="multilevel"/>
    <w:tmpl w:val="53B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F7D3D"/>
    <w:multiLevelType w:val="multilevel"/>
    <w:tmpl w:val="B93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627C8"/>
    <w:multiLevelType w:val="multilevel"/>
    <w:tmpl w:val="DEC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02AFE"/>
    <w:multiLevelType w:val="multilevel"/>
    <w:tmpl w:val="2D2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327AC"/>
    <w:multiLevelType w:val="multilevel"/>
    <w:tmpl w:val="7CF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87888"/>
    <w:multiLevelType w:val="multilevel"/>
    <w:tmpl w:val="B29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2763C"/>
    <w:multiLevelType w:val="multilevel"/>
    <w:tmpl w:val="6FD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A0637"/>
    <w:multiLevelType w:val="multilevel"/>
    <w:tmpl w:val="234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A2B7E"/>
    <w:multiLevelType w:val="multilevel"/>
    <w:tmpl w:val="5A8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F2F62"/>
    <w:multiLevelType w:val="multilevel"/>
    <w:tmpl w:val="15D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C2BD3"/>
    <w:multiLevelType w:val="multilevel"/>
    <w:tmpl w:val="E60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F604B"/>
    <w:multiLevelType w:val="multilevel"/>
    <w:tmpl w:val="ACA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25192">
    <w:abstractNumId w:val="7"/>
  </w:num>
  <w:num w:numId="2" w16cid:durableId="1636251137">
    <w:abstractNumId w:val="3"/>
  </w:num>
  <w:num w:numId="3" w16cid:durableId="597257297">
    <w:abstractNumId w:val="0"/>
  </w:num>
  <w:num w:numId="4" w16cid:durableId="1539928235">
    <w:abstractNumId w:val="5"/>
  </w:num>
  <w:num w:numId="5" w16cid:durableId="619921507">
    <w:abstractNumId w:val="2"/>
  </w:num>
  <w:num w:numId="6" w16cid:durableId="2102875157">
    <w:abstractNumId w:val="11"/>
  </w:num>
  <w:num w:numId="7" w16cid:durableId="1006637465">
    <w:abstractNumId w:val="16"/>
  </w:num>
  <w:num w:numId="8" w16cid:durableId="225800355">
    <w:abstractNumId w:val="8"/>
  </w:num>
  <w:num w:numId="9" w16cid:durableId="1249997791">
    <w:abstractNumId w:val="14"/>
  </w:num>
  <w:num w:numId="10" w16cid:durableId="1398437043">
    <w:abstractNumId w:val="15"/>
  </w:num>
  <w:num w:numId="11" w16cid:durableId="79836427">
    <w:abstractNumId w:val="6"/>
  </w:num>
  <w:num w:numId="12" w16cid:durableId="51319433">
    <w:abstractNumId w:val="1"/>
  </w:num>
  <w:num w:numId="13" w16cid:durableId="1340280820">
    <w:abstractNumId w:val="9"/>
  </w:num>
  <w:num w:numId="14" w16cid:durableId="1220283271">
    <w:abstractNumId w:val="10"/>
  </w:num>
  <w:num w:numId="15" w16cid:durableId="742217757">
    <w:abstractNumId w:val="13"/>
  </w:num>
  <w:num w:numId="16" w16cid:durableId="2115903297">
    <w:abstractNumId w:val="4"/>
  </w:num>
  <w:num w:numId="17" w16cid:durableId="1773091368">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D6"/>
    <w:rsid w:val="007863F3"/>
    <w:rsid w:val="008258D6"/>
    <w:rsid w:val="008C38AC"/>
    <w:rsid w:val="00BB738F"/>
    <w:rsid w:val="00BD1782"/>
    <w:rsid w:val="00F5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4A80"/>
  <w15:chartTrackingRefBased/>
  <w15:docId w15:val="{44685CFB-ADA0-4148-9B90-460E8CD26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8D6"/>
  </w:style>
  <w:style w:type="paragraph" w:styleId="Heading1">
    <w:name w:val="heading 1"/>
    <w:basedOn w:val="Normal"/>
    <w:next w:val="Normal"/>
    <w:link w:val="Heading1Char"/>
    <w:uiPriority w:val="9"/>
    <w:qFormat/>
    <w:rsid w:val="00825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8D6"/>
    <w:rPr>
      <w:rFonts w:eastAsiaTheme="majorEastAsia" w:cstheme="majorBidi"/>
      <w:color w:val="272727" w:themeColor="text1" w:themeTint="D8"/>
    </w:rPr>
  </w:style>
  <w:style w:type="paragraph" w:styleId="Title">
    <w:name w:val="Title"/>
    <w:basedOn w:val="Normal"/>
    <w:next w:val="Normal"/>
    <w:link w:val="TitleChar"/>
    <w:uiPriority w:val="10"/>
    <w:qFormat/>
    <w:rsid w:val="0082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8D6"/>
    <w:pPr>
      <w:spacing w:before="160"/>
      <w:jc w:val="center"/>
    </w:pPr>
    <w:rPr>
      <w:i/>
      <w:iCs/>
      <w:color w:val="404040" w:themeColor="text1" w:themeTint="BF"/>
    </w:rPr>
  </w:style>
  <w:style w:type="character" w:customStyle="1" w:styleId="QuoteChar">
    <w:name w:val="Quote Char"/>
    <w:basedOn w:val="DefaultParagraphFont"/>
    <w:link w:val="Quote"/>
    <w:uiPriority w:val="29"/>
    <w:rsid w:val="008258D6"/>
    <w:rPr>
      <w:i/>
      <w:iCs/>
      <w:color w:val="404040" w:themeColor="text1" w:themeTint="BF"/>
    </w:rPr>
  </w:style>
  <w:style w:type="paragraph" w:styleId="ListParagraph">
    <w:name w:val="List Paragraph"/>
    <w:basedOn w:val="Normal"/>
    <w:uiPriority w:val="34"/>
    <w:qFormat/>
    <w:rsid w:val="008258D6"/>
    <w:pPr>
      <w:ind w:left="720"/>
      <w:contextualSpacing/>
    </w:pPr>
  </w:style>
  <w:style w:type="character" w:styleId="IntenseEmphasis">
    <w:name w:val="Intense Emphasis"/>
    <w:basedOn w:val="DefaultParagraphFont"/>
    <w:uiPriority w:val="21"/>
    <w:qFormat/>
    <w:rsid w:val="008258D6"/>
    <w:rPr>
      <w:i/>
      <w:iCs/>
      <w:color w:val="0F4761" w:themeColor="accent1" w:themeShade="BF"/>
    </w:rPr>
  </w:style>
  <w:style w:type="paragraph" w:styleId="IntenseQuote">
    <w:name w:val="Intense Quote"/>
    <w:basedOn w:val="Normal"/>
    <w:next w:val="Normal"/>
    <w:link w:val="IntenseQuoteChar"/>
    <w:uiPriority w:val="30"/>
    <w:qFormat/>
    <w:rsid w:val="0082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8D6"/>
    <w:rPr>
      <w:i/>
      <w:iCs/>
      <w:color w:val="0F4761" w:themeColor="accent1" w:themeShade="BF"/>
    </w:rPr>
  </w:style>
  <w:style w:type="character" w:styleId="IntenseReference">
    <w:name w:val="Intense Reference"/>
    <w:basedOn w:val="DefaultParagraphFont"/>
    <w:uiPriority w:val="32"/>
    <w:qFormat/>
    <w:rsid w:val="008258D6"/>
    <w:rPr>
      <w:b/>
      <w:bCs/>
      <w:smallCaps/>
      <w:color w:val="0F4761" w:themeColor="accent1" w:themeShade="BF"/>
      <w:spacing w:val="5"/>
    </w:rPr>
  </w:style>
  <w:style w:type="paragraph" w:styleId="Header">
    <w:name w:val="header"/>
    <w:basedOn w:val="Normal"/>
    <w:link w:val="HeaderChar"/>
    <w:uiPriority w:val="99"/>
    <w:unhideWhenUsed/>
    <w:rsid w:val="00825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8D6"/>
  </w:style>
  <w:style w:type="paragraph" w:styleId="Footer">
    <w:name w:val="footer"/>
    <w:basedOn w:val="Normal"/>
    <w:link w:val="FooterChar"/>
    <w:uiPriority w:val="99"/>
    <w:unhideWhenUsed/>
    <w:rsid w:val="00825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8D6"/>
  </w:style>
  <w:style w:type="character" w:styleId="Hyperlink">
    <w:name w:val="Hyperlink"/>
    <w:basedOn w:val="DefaultParagraphFont"/>
    <w:uiPriority w:val="99"/>
    <w:unhideWhenUsed/>
    <w:rsid w:val="008258D6"/>
    <w:rPr>
      <w:color w:val="467886" w:themeColor="hyperlink"/>
      <w:u w:val="single"/>
    </w:rPr>
  </w:style>
  <w:style w:type="character" w:styleId="UnresolvedMention">
    <w:name w:val="Unresolved Mention"/>
    <w:basedOn w:val="DefaultParagraphFont"/>
    <w:uiPriority w:val="99"/>
    <w:semiHidden/>
    <w:unhideWhenUsed/>
    <w:rsid w:val="00825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2</cp:revision>
  <cp:lastPrinted>2026-08-02T15:57:00Z</cp:lastPrinted>
  <dcterms:created xsi:type="dcterms:W3CDTF">2026-08-02T16:08:00Z</dcterms:created>
  <dcterms:modified xsi:type="dcterms:W3CDTF">2026-08-02T16:08:00Z</dcterms:modified>
</cp:coreProperties>
</file>