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style="position:absolute;margin-left:0.0pt;margin-top:0.0pt;width:612pt;height:790.7pt;mso-position-horizontal-relative:margin;mso-position-vertical-relative:text;z-index:-15866368;mso-position-horizontal:absolute;mso-position-vertical:absolute;" coordsize="12240,15814" coordorigin="0,0">
            <v:shape style="position:absolute;left:0;top:0;width:12240;height:15814" stroked="false" type="#_x0000_t75">
              <v:imagedata r:id="rId1" o:title=""/>
            </v:shape>
            <v:shape style="position:absolute;left:8853;top:6720;width:1375;height:1568" stroked="false" type="#_x0000_t75">
              <v:imagedata r:id="rId2" o:title=""/>
            </v:shape>
          </v:group>
        </w:pict>
      </w:r>
      <w:r w:rsidDel="00000000" w:rsidR="00000000" w:rsidRPr="00000000"/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8.0" w:type="dxa"/>
        <w:jc w:val="left"/>
        <w:tblInd w:w="42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08"/>
        <w:gridCol w:w="5590"/>
        <w:tblGridChange w:id="0">
          <w:tblGrid>
            <w:gridCol w:w="3508"/>
            <w:gridCol w:w="5590"/>
          </w:tblGrid>
        </w:tblGridChange>
      </w:tblGrid>
      <w:tr>
        <w:trPr>
          <w:trHeight w:val="791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19" w:right="462" w:hanging="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Este documento es emitido por Eufar; está limitada su reproducción y es un DOCUMENTO NO CONTROLADO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6.99999999999994" w:lineRule="auto"/>
              <w:ind w:left="464" w:right="197" w:firstLine="251.99999999999994"/>
              <w:jc w:val="righ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24b8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Detergente y desinfectante concentrado para superficies extensas e inactivación de derrames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0" w:right="197" w:firstLine="0"/>
              <w:jc w:val="righ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24b8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biológicos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62.0" w:type="dxa"/>
        <w:jc w:val="left"/>
        <w:tblInd w:w="40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008"/>
        <w:gridCol w:w="5954"/>
        <w:tblGridChange w:id="0">
          <w:tblGrid>
            <w:gridCol w:w="5008"/>
            <w:gridCol w:w="5954"/>
          </w:tblGrid>
        </w:tblGridChange>
      </w:tblGrid>
      <w:tr>
        <w:trPr>
          <w:trHeight w:val="1107" w:hRule="atLeast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0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Beneficios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3" w:right="19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diluído, actúa como detergente y desinfectante en un solo paso, de superficies amplias, como puertas, vidrios, pisos, paredes y techos, de áreas del sector salud y otras similares, con niveles exigentes de bioseguridad.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diluído es:</w:t>
            </w:r>
          </w:p>
        </w:tc>
      </w:tr>
      <w:tr>
        <w:trPr>
          <w:trHeight w:val="2352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6"/>
              </w:tabs>
              <w:spacing w:after="0" w:before="72" w:line="240" w:lineRule="auto"/>
              <w:ind w:left="375" w:right="0" w:hanging="17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Libre de aldehídos.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6"/>
              </w:tabs>
              <w:spacing w:after="0" w:before="0" w:line="240" w:lineRule="auto"/>
              <w:ind w:left="375" w:right="0" w:hanging="17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Menos tóxico que hipoclorito de sodio.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6"/>
              </w:tabs>
              <w:spacing w:after="0" w:before="1" w:line="252.00000000000003" w:lineRule="auto"/>
              <w:ind w:left="375" w:right="0" w:hanging="17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 alcalino.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6"/>
              </w:tabs>
              <w:spacing w:after="0" w:before="0" w:line="252.00000000000003" w:lineRule="auto"/>
              <w:ind w:left="375" w:right="0" w:hanging="17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inflamable.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6"/>
              </w:tabs>
              <w:spacing w:after="0" w:before="0" w:line="240" w:lineRule="auto"/>
              <w:ind w:left="375" w:right="229" w:hanging="1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disminuye su concentración, como ocurre con el hipoclorito de sodio.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"/>
              </w:tabs>
              <w:spacing w:after="0" w:before="0" w:line="240" w:lineRule="auto"/>
              <w:ind w:left="326" w:right="0" w:hanging="12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Libre de alcohol.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"/>
              </w:tabs>
              <w:spacing w:after="0" w:before="5" w:line="252.00000000000003" w:lineRule="auto"/>
              <w:ind w:left="325" w:right="155" w:hanging="12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oxida metales, como ocurre con hipoclorito de sodio.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"/>
              </w:tabs>
              <w:spacing w:after="0" w:before="72" w:line="240" w:lineRule="auto"/>
              <w:ind w:left="280" w:right="0" w:hanging="12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Contiene agente antioxidante.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"/>
              </w:tabs>
              <w:spacing w:after="0" w:before="0" w:line="240" w:lineRule="auto"/>
              <w:ind w:left="280" w:right="0" w:hanging="12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por contacto y por aspersión.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"/>
              </w:tabs>
              <w:spacing w:after="0" w:before="1" w:line="252.00000000000003" w:lineRule="auto"/>
              <w:ind w:left="280" w:right="0" w:hanging="12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necesita enjuague, ni uso de otro detergente previo.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"/>
              </w:tabs>
              <w:spacing w:after="0" w:before="0" w:line="252.00000000000003" w:lineRule="auto"/>
              <w:ind w:left="280" w:right="0" w:hanging="12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Biodegradable y libre de fosfatos.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"/>
              </w:tabs>
              <w:spacing w:after="0" w:before="0" w:line="240" w:lineRule="auto"/>
              <w:ind w:left="280" w:right="0" w:hanging="12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Efectivo en presencia de materia orgánica.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0"/>
              </w:tabs>
              <w:spacing w:after="0" w:before="0" w:line="240" w:lineRule="auto"/>
              <w:ind w:left="280" w:right="792" w:hanging="12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diluído no es sensibilizante de piel, de acuerdo con las directivas UE 67/548/CEE y 1999/45/CE.</w:t>
            </w:r>
          </w:p>
        </w:tc>
      </w:tr>
      <w:tr>
        <w:trPr>
          <w:trHeight w:val="1284" w:hRule="atLeast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20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9"/>
                <w:tab w:val="left" w:pos="470"/>
              </w:tabs>
              <w:spacing w:after="0" w:before="0" w:line="253" w:lineRule="auto"/>
              <w:ind w:left="47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L concentrado equivalen a 1.333 litros diluidos para 10.664 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33333333333336"/>
                <w:szCs w:val="23.33333333333333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9"/>
                <w:tab w:val="left" w:pos="470"/>
              </w:tabs>
              <w:spacing w:after="0" w:before="0" w:line="240" w:lineRule="auto"/>
              <w:ind w:left="47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L concentrado equivalen a 266,6 litros diluidos para 2.136 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33333333333336"/>
                <w:szCs w:val="23.33333333333333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9"/>
                <w:tab w:val="left" w:pos="470"/>
              </w:tabs>
              <w:spacing w:after="0" w:before="0" w:line="240" w:lineRule="auto"/>
              <w:ind w:left="470" w:right="4530" w:hanging="27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 mL concentrado equivalen a 16 litros diluidos para 128 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33333333333336"/>
                <w:szCs w:val="23.33333333333333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(u 8 inactivaciones de derrames biológicos).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1.0" w:type="dxa"/>
        <w:jc w:val="left"/>
        <w:tblInd w:w="4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39"/>
        <w:gridCol w:w="3458"/>
        <w:gridCol w:w="4984"/>
        <w:tblGridChange w:id="0">
          <w:tblGrid>
            <w:gridCol w:w="2339"/>
            <w:gridCol w:w="3458"/>
            <w:gridCol w:w="4984"/>
          </w:tblGrid>
        </w:tblGridChange>
      </w:tblGrid>
      <w:tr>
        <w:trPr>
          <w:trHeight w:val="156" w:hRule="atLeast"/>
        </w:trPr>
        <w:tc>
          <w:tcPr>
            <w:tcBorders>
              <w:bottom w:color="00a499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7" w:lineRule="auto"/>
              <w:ind w:left="7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a499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7" w:lineRule="auto"/>
              <w:ind w:left="115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Microorganismos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a499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7" w:lineRule="auto"/>
              <w:ind w:left="129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Evidencias en concentración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" w:hRule="atLeast"/>
        </w:trPr>
        <w:tc>
          <w:tcPr>
            <w:tcBorders>
              <w:top w:color="00a499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a499" w:space="0" w:sz="4" w:val="single"/>
              <w:bottom w:color="00a499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1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Clostridium difficile</w:t>
            </w:r>
          </w:p>
        </w:tc>
        <w:tc>
          <w:tcPr>
            <w:tcBorders>
              <w:top w:color="00a499" w:space="0" w:sz="4" w:val="single"/>
              <w:bottom w:color="00a499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1" w:lineRule="auto"/>
              <w:ind w:left="1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Método ecométrico bactericida en solo 5 minutos.</w:t>
            </w:r>
          </w:p>
        </w:tc>
      </w:tr>
      <w:tr>
        <w:trPr>
          <w:trHeight w:val="489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1" w:lineRule="auto"/>
              <w:ind w:left="331" w:right="33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Bactericida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8" w:lineRule="auto"/>
              <w:ind w:left="331" w:right="3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Gram + Gram -</w:t>
            </w:r>
          </w:p>
        </w:tc>
        <w:tc>
          <w:tcPr>
            <w:tcBorders>
              <w:top w:color="00a499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Escherichia coli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ATCC 25922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Staphylococcus aureus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ATCC 29213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40"/>
              </w:tabs>
              <w:spacing w:after="0" w:before="0" w:line="148" w:lineRule="auto"/>
              <w:ind w:left="0" w:right="-499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single"/>
                <w:shd w:fill="auto" w:val="clear"/>
                <w:vertAlign w:val="baseline"/>
                <w:rtl w:val="0"/>
              </w:rPr>
              <w:t xml:space="preserve">   Pseudomonas aeruginosa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single"/>
                <w:shd w:fill="auto" w:val="clear"/>
                <w:vertAlign w:val="baseline"/>
                <w:rtl w:val="0"/>
              </w:rPr>
              <w:t xml:space="preserve">ATCC 9027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a499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128" w:right="19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Método ecométrico bactericida en solo 5 minutos, en presencia o ausencia de materia orgánica.</w:t>
            </w:r>
          </w:p>
        </w:tc>
      </w:tr>
      <w:tr>
        <w:trPr>
          <w:trHeight w:val="325" w:hRule="atLeast"/>
        </w:trPr>
        <w:tc>
          <w:tcPr>
            <w:tcBorders>
              <w:bottom w:color="00a499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a499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Klebsiella pneumoniae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(KPC)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1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Pseudomonas aeruginosa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ATCC 9027</w:t>
            </w:r>
          </w:p>
        </w:tc>
        <w:tc>
          <w:tcPr>
            <w:tcBorders>
              <w:bottom w:color="00a499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Método ecométrico bactericida en solo 1 minuto.</w:t>
            </w:r>
          </w:p>
        </w:tc>
      </w:tr>
      <w:tr>
        <w:trPr>
          <w:trHeight w:val="483" w:hRule="atLeast"/>
        </w:trPr>
        <w:tc>
          <w:tcPr>
            <w:tcBorders>
              <w:top w:color="00a499" w:space="0" w:sz="4" w:val="single"/>
              <w:bottom w:color="00a499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161" w:lineRule="auto"/>
              <w:ind w:left="331" w:right="3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Virucida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1" w:right="3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Lipofilicos (con envoltura)</w:t>
            </w:r>
          </w:p>
        </w:tc>
        <w:tc>
          <w:tcPr>
            <w:tcBorders>
              <w:top w:color="00a499" w:space="0" w:sz="4" w:val="single"/>
              <w:bottom w:color="00a499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2367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Hepatitis B y C Herpes simplex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1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HIV – Varicela – Rubeola – Influenza – Sarampión</w:t>
            </w:r>
          </w:p>
        </w:tc>
        <w:tc>
          <w:tcPr>
            <w:tcBorders>
              <w:top w:color="00a499" w:space="0" w:sz="4" w:val="single"/>
              <w:bottom w:color="00a499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32" w:lineRule="auto"/>
              <w:ind w:left="128" w:right="11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Los amonios cuaternarios afectan a los virus envueltos en capa lipídica.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perscript"/>
                <w:rtl w:val="0"/>
              </w:rPr>
              <w:t xml:space="preserve">(1,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perscript"/>
                <w:rtl w:val="0"/>
              </w:rPr>
              <w:t xml:space="preserve">2,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3)</w:t>
            </w:r>
          </w:p>
        </w:tc>
      </w:tr>
      <w:tr>
        <w:trPr>
          <w:trHeight w:val="322" w:hRule="atLeast"/>
        </w:trPr>
        <w:tc>
          <w:tcPr>
            <w:tcBorders>
              <w:top w:color="00a499" w:space="0" w:sz="4" w:val="single"/>
              <w:bottom w:color="00a499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331" w:right="33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Fungicida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41" w:lineRule="auto"/>
              <w:ind w:left="331" w:right="3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Hongos Levaduras Mohos</w:t>
            </w:r>
          </w:p>
        </w:tc>
        <w:tc>
          <w:tcPr>
            <w:tcBorders>
              <w:top w:color="00a499" w:space="0" w:sz="4" w:val="single"/>
              <w:bottom w:color="00a499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Candida albicans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ATCC 10231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41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Aspergillus flavus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ATCC 10124</w:t>
            </w:r>
          </w:p>
        </w:tc>
        <w:tc>
          <w:tcPr>
            <w:tcBorders>
              <w:top w:color="00a499" w:space="0" w:sz="4" w:val="single"/>
              <w:bottom w:color="00a499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62" w:lineRule="auto"/>
              <w:ind w:left="128" w:right="11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Método ecométrico fungicida en solo 5 minutos, en presencia o ausencia de materia orgánica.</w:t>
            </w:r>
          </w:p>
        </w:tc>
      </w:tr>
      <w:tr>
        <w:trPr>
          <w:trHeight w:val="318" w:hRule="atLeast"/>
        </w:trPr>
        <w:tc>
          <w:tcPr>
            <w:tcBorders>
              <w:top w:color="00a499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8" w:lineRule="auto"/>
              <w:ind w:left="7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Tuberculicida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1" w:lineRule="auto"/>
              <w:ind w:left="6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(Micobactericida)</w:t>
            </w:r>
          </w:p>
        </w:tc>
        <w:tc>
          <w:tcPr>
            <w:tcBorders>
              <w:top w:color="00a499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8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Mycobacterium terrae,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reemplaza 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Mycobacterium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1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tuberculosis,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según norma UNE-EN-14348</w:t>
            </w:r>
          </w:p>
        </w:tc>
        <w:tc>
          <w:tcPr>
            <w:tcBorders>
              <w:top w:color="00a499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Método ecométrico tuberculicida en solo 5 minutos.</w:t>
            </w:r>
          </w:p>
        </w:tc>
      </w:tr>
      <w:tr>
        <w:trPr>
          <w:trHeight w:val="415" w:hRule="atLeast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808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RUTALA William A, Guideline for Disinfection and Sterilization in Healthcare Facilities,2008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808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CENTER FOR FOOD SECURITY AND PUBLIC HEALTH, Disinfection 101, 2008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808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Ewa Okblak, Andrzej Gamian, The biological activity of quaternary ammonium salts (QASs), Postepy Hig Med Dosw, 2010;64: 201-211.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18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808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La concentración evaluada, es la concentración de uso y la mínima inhibitoria (CMI).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118" w:lineRule="auto"/>
        <w:ind w:firstLine="0"/>
        <w:rPr>
          <w:sz w:val="12"/>
          <w:szCs w:val="12"/>
        </w:rPr>
        <w:sectPr>
          <w:pgSz w:h="15840" w:w="12240"/>
          <w:pgMar w:bottom="280" w:top="1500" w:left="360" w:right="42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65" w:lineRule="auto"/>
        <w:ind w:left="239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14604</wp:posOffset>
            </wp:positionH>
            <wp:positionV relativeFrom="page">
              <wp:posOffset>4444</wp:posOffset>
            </wp:positionV>
            <wp:extent cx="7757795" cy="10053955"/>
            <wp:effectExtent b="0" l="0" r="0" t="0"/>
            <wp:wrapSquare wrapText="bothSides" distB="0" distT="0" distL="0" distR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7795" cy="10053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254a87"/>
          <w:sz w:val="28"/>
          <w:szCs w:val="28"/>
          <w:rtl w:val="0"/>
        </w:rPr>
        <w:t xml:space="preserve">FICHA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22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499"/>
          <w:sz w:val="20"/>
          <w:szCs w:val="20"/>
          <w:u w:val="none"/>
          <w:shd w:fill="auto" w:val="clear"/>
          <w:vertAlign w:val="baseline"/>
          <w:rtl w:val="0"/>
        </w:rPr>
        <w:t xml:space="preserve">FT-PT-ASG-044 • Rev.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2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499"/>
          <w:sz w:val="20"/>
          <w:szCs w:val="20"/>
          <w:u w:val="none"/>
          <w:shd w:fill="auto" w:val="clear"/>
          <w:vertAlign w:val="baseline"/>
          <w:rtl w:val="0"/>
        </w:rPr>
        <w:t xml:space="preserve">Vigente desde: Oct. 1/19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43.0" w:type="dxa"/>
        <w:jc w:val="left"/>
        <w:tblInd w:w="12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35"/>
        <w:gridCol w:w="5508"/>
        <w:tblGridChange w:id="0">
          <w:tblGrid>
            <w:gridCol w:w="5735"/>
            <w:gridCol w:w="5508"/>
          </w:tblGrid>
        </w:tblGridChange>
      </w:tblGrid>
      <w:tr>
        <w:trPr>
          <w:trHeight w:val="822" w:hRule="atLeast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6.99999999999994" w:lineRule="auto"/>
              <w:ind w:left="5687" w:right="627" w:firstLine="252.00000000000045"/>
              <w:jc w:val="righ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24b8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Detergente y desinfectante concentrado para superficies extensas e inactivación de derrames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628" w:firstLine="0"/>
              <w:jc w:val="righ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24b8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biológicos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30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6"/>
              </w:tabs>
              <w:spacing w:after="0" w:before="4" w:line="235" w:lineRule="auto"/>
              <w:ind w:left="375" w:right="230" w:hanging="17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es una solución concentrada, para diluir con agua potable, indicada para la limpieza y desinfección de superficies extensas, tales como puertas, vidrios, pisos, paredes y techos, por contacto o por aspersión; garantizando las actividades descritas.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6"/>
              </w:tabs>
              <w:spacing w:after="0" w:before="11" w:line="228" w:lineRule="auto"/>
              <w:ind w:left="375" w:right="231" w:hanging="17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Indicado para desinfección de áreas de alto riesgo de contaminación biológica, tales como áreas hospitalarias y del sector salud en general.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6"/>
              </w:tabs>
              <w:spacing w:after="0" w:before="3" w:line="237" w:lineRule="auto"/>
              <w:ind w:left="375" w:right="230" w:hanging="17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Contiene cloruro de amonio cuaternario de quinta generación, de desempeño superior, comparado con otros amonios cuaternarios y con hipoclorito de sodio.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diluído no mancha los textiles, ni oxida las superficies metálicas, debido a su agente antioxidante.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6"/>
              </w:tabs>
              <w:spacing w:after="0" w:before="0" w:line="212" w:lineRule="auto"/>
              <w:ind w:left="375" w:right="0" w:hanging="17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 pH alcalino, para mejorar su acción limpiadora y desinfectante.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6"/>
              </w:tabs>
              <w:spacing w:after="0" w:before="0" w:line="237" w:lineRule="auto"/>
              <w:ind w:left="375" w:right="228" w:hanging="17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diluído posee una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acción residual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efectiva de 96 horas (4 días), lográndose una reducción y permanencia del control de la contaminación, siempre y cuando se mantengan las condiciones de limpieza y desinfección; si se presentan sucesos adversos que interrumpan estas condiciones, se deben repetir los procesos de limpieza y desinfección.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0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Instrucciones de uso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76"/>
              </w:tabs>
              <w:spacing w:after="0" w:before="9" w:line="228" w:lineRule="auto"/>
              <w:ind w:left="200" w:right="261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Utilice elementos de protección personal. Utilice el producto de la siguiente forma: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172" w:lineRule="auto"/>
              <w:ind w:left="20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Para inactivación de derrames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23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Mida 7,5 mL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concentrado y mezcle con 250 mL de agua potable, así obtiene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diluído, adicione esta solución sobre el derrame y recoja con toallas o compresas descartables o materiales sólidos absorbentes y disponga en contenedores adecuados, de acuerdo con la normativa vigente.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Para limpieza y desinfección de superficies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27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Antes de usar en pisos, despeje el área y realice un barrido húmedo.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Preparación de BENZIRAL DILUÍDO: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Verifique y prepare únicamente la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cantidad que necesite diariamente.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231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Si tiene la presentación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Litro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use la copa dosificadora, mida 7,5 mL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concentrado y mezcle con 2 litros de agua potable; conserve esta misma proporción si necesita mayor cantidad.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23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Si tiene la presentación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 Litros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mezcle 2 push de la válvula (7,5 mL) con 2 litros de agua potable.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23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Método con dos baldes: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Prepare en un balde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diluído como se indicó anteriormente y en el otro balde adicione agua potable. Seleccione mopas, traperos o paños de limpieza en buen estado y secos; humedezca con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diluído y desinfecte primero techos, luego paredes de arriba hacia abajo y por último pisos, de adentro hacia afuera, desde lo más limpio hasta lo más contaminado. Deje secar y no enjuague.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23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Cada vez que cambie de superficie o área, o si observa excesiva suciedad en la mopa, trapero o paño, enjuáguelo en el balde que contiene agua potable, escurra bien y nuevamente humedézcalo con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diluído. Cambie el agua potable de enjuague cada vez que sea necesario.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2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Biodegradabilidad y disposición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9" w:line="228" w:lineRule="auto"/>
              <w:ind w:left="394" w:right="199" w:hanging="14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diluído es biodegradable, comprobado mediante prueba OECD (301D). Libre de fosfatos.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3" w:line="214" w:lineRule="auto"/>
              <w:ind w:left="394" w:right="0" w:hanging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Deseche la dilución de producto usado (no requiere tratamiento adicional).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4" w:line="228" w:lineRule="auto"/>
              <w:ind w:left="394" w:right="198" w:hanging="14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Una vez agotado el contenido, enjuague bien el envase vacío y envíelo a reciclaje.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Precauciones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4" w:line="235" w:lineRule="auto"/>
              <w:ind w:left="394" w:right="198" w:hanging="14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Elimine los residuos de jabones, detergentes y/o desinfectantes (como hipoclorito de sodio) de las superficies a desinfectar, antes de usar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diluído, con el fin de evitar alteraciones.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14" w:lineRule="auto"/>
              <w:ind w:left="394" w:right="0" w:hanging="144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 sumerja mopas, traperos o paños contaminados en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394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concentrado ni diluído.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9" w:line="228" w:lineRule="auto"/>
              <w:ind w:left="394" w:right="199" w:hanging="14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 está indicado para la desinfección de dispositivos médicos, ni instrumental, para esto use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EUCIDA Advanced*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5" w:line="235" w:lineRule="auto"/>
              <w:ind w:left="394" w:right="198" w:hanging="14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Elimine completamente residuos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diluído antes de realizar actividades de mantenimiento de pisos como: aplicación y remoción de sellantes, cristalizantes u otros.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14" w:lineRule="auto"/>
              <w:ind w:left="394" w:right="0" w:hanging="14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Ver hoja de seguridad 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2c1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2c1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www.eufar.com</w:t>
              </w:r>
            </w:hyperlink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15"/>
                  <w:szCs w:val="15"/>
                  <w:u w:val="none"/>
                  <w:shd w:fill="auto" w:val="clear"/>
                  <w:vertAlign w:val="baseline"/>
                  <w:rtl w:val="0"/>
                </w:rPr>
                <w:t xml:space="preserve">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14" w:lineRule="auto"/>
              <w:ind w:left="394" w:right="0" w:hanging="14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Para más información, consulte nuestro portafolio de bioseguridad.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3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Registros sanitarios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1" w:line="214" w:lineRule="auto"/>
              <w:ind w:left="394" w:right="0" w:hanging="14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 requiere registro sanitario INVIMA, ver Certificación No. 2019024615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10" w:lineRule="auto"/>
              <w:ind w:left="394" w:right="0" w:hanging="14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Reg. (BOL.) DI-54816/2015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10" w:lineRule="auto"/>
              <w:ind w:left="394" w:right="0" w:hanging="14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Reg. (ECU.) 1-PHE-0615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10" w:lineRule="auto"/>
              <w:ind w:left="394" w:right="0" w:hanging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Reg. (CRI.) QH -16 -00104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10" w:lineRule="auto"/>
              <w:ind w:left="394" w:right="0" w:hanging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Reg. (CUB.) F-16-003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5"/>
              </w:tabs>
              <w:spacing w:after="0" w:before="0" w:line="214" w:lineRule="auto"/>
              <w:ind w:left="394" w:right="0" w:hanging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Reg. (PAN.) 95197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0"/>
              </w:tabs>
              <w:spacing w:after="0" w:before="0" w:line="214" w:lineRule="auto"/>
              <w:ind w:left="449" w:right="0" w:hanging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 L. con copa dosificadora.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0"/>
              </w:tabs>
              <w:spacing w:after="0" w:before="0" w:line="210" w:lineRule="auto"/>
              <w:ind w:left="449" w:right="0" w:hanging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 L. con válvula dispensadora.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0"/>
              </w:tabs>
              <w:spacing w:after="0" w:before="0" w:line="214" w:lineRule="auto"/>
              <w:ind w:left="449" w:right="0" w:hanging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60 mL. (para kit de derrames biológicos).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Partida arancelaria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38.08.94.19.00</w:t>
            </w:r>
          </w:p>
        </w:tc>
      </w:tr>
      <w:tr>
        <w:trPr>
          <w:trHeight w:val="517" w:hRule="atLeast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Aspecto físico BENZIRAL concentrado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Líquido amarillo viscoso, de olor característico, libre de partículas extrañas.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2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trHeight w:val="517" w:hRule="atLeast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Composición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Cloruro de amonio cuaternario de quinta generación y excipientes.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1" w:hRule="atLeast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4"/>
              </w:tabs>
              <w:spacing w:after="0" w:before="9" w:line="228" w:lineRule="auto"/>
              <w:ind w:left="363" w:right="372" w:hanging="14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Es estable; asegúrese de no adicionar otros productos al envase original ni mezcle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 ningún otro producto de limpieza y/o desinfección.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4"/>
              </w:tabs>
              <w:spacing w:after="0" w:before="2" w:line="240" w:lineRule="auto"/>
              <w:ind w:left="363" w:right="0" w:hanging="14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Utilice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BENZIRAL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diluído en el menor tiempo posible, sin superar 48 h.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3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 útil BENZIRAL concentrado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27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40 meses, que es la fecha impresa en el producto, siempre y cuando se mantenga tapado durante el uso.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9" w:hRule="atLeast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3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4a8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Condiciones de almacenamiento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172" w:lineRule="auto"/>
              <w:ind w:left="200" w:right="27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Manténgase bien tapado, en sitio fresco, protegido de la luz y lejos del alcance de los niños.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280" w:top="920" w:left="360" w:right="42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70" w:hanging="270"/>
      </w:pPr>
      <w:rPr>
        <w:rFonts w:ascii="Arial" w:cs="Arial" w:eastAsia="Arial" w:hAnsi="Arial"/>
        <w:sz w:val="19"/>
        <w:szCs w:val="19"/>
      </w:rPr>
    </w:lvl>
    <w:lvl w:ilvl="1">
      <w:start w:val="0"/>
      <w:numFmt w:val="bullet"/>
      <w:lvlText w:val="•"/>
      <w:lvlJc w:val="left"/>
      <w:pPr>
        <w:ind w:left="1528" w:hanging="270"/>
      </w:pPr>
      <w:rPr/>
    </w:lvl>
    <w:lvl w:ilvl="2">
      <w:start w:val="0"/>
      <w:numFmt w:val="bullet"/>
      <w:lvlText w:val="•"/>
      <w:lvlJc w:val="left"/>
      <w:pPr>
        <w:ind w:left="2576" w:hanging="270"/>
      </w:pPr>
      <w:rPr/>
    </w:lvl>
    <w:lvl w:ilvl="3">
      <w:start w:val="0"/>
      <w:numFmt w:val="bullet"/>
      <w:lvlText w:val="•"/>
      <w:lvlJc w:val="left"/>
      <w:pPr>
        <w:ind w:left="3624" w:hanging="270"/>
      </w:pPr>
      <w:rPr/>
    </w:lvl>
    <w:lvl w:ilvl="4">
      <w:start w:val="0"/>
      <w:numFmt w:val="bullet"/>
      <w:lvlText w:val="•"/>
      <w:lvlJc w:val="left"/>
      <w:pPr>
        <w:ind w:left="4672" w:hanging="270"/>
      </w:pPr>
      <w:rPr/>
    </w:lvl>
    <w:lvl w:ilvl="5">
      <w:start w:val="0"/>
      <w:numFmt w:val="bullet"/>
      <w:lvlText w:val="•"/>
      <w:lvlJc w:val="left"/>
      <w:pPr>
        <w:ind w:left="5721" w:hanging="270"/>
      </w:pPr>
      <w:rPr/>
    </w:lvl>
    <w:lvl w:ilvl="6">
      <w:start w:val="0"/>
      <w:numFmt w:val="bullet"/>
      <w:lvlText w:val="•"/>
      <w:lvlJc w:val="left"/>
      <w:pPr>
        <w:ind w:left="6769" w:hanging="270"/>
      </w:pPr>
      <w:rPr/>
    </w:lvl>
    <w:lvl w:ilvl="7">
      <w:start w:val="0"/>
      <w:numFmt w:val="bullet"/>
      <w:lvlText w:val="•"/>
      <w:lvlJc w:val="left"/>
      <w:pPr>
        <w:ind w:left="7817" w:hanging="270"/>
      </w:pPr>
      <w:rPr/>
    </w:lvl>
    <w:lvl w:ilvl="8">
      <w:start w:val="0"/>
      <w:numFmt w:val="bullet"/>
      <w:lvlText w:val="•"/>
      <w:lvlJc w:val="left"/>
      <w:pPr>
        <w:ind w:left="8865" w:hanging="27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280" w:hanging="123"/>
      </w:pPr>
      <w:rPr>
        <w:rFonts w:ascii="Arial" w:cs="Arial" w:eastAsia="Arial" w:hAnsi="Arial"/>
        <w:sz w:val="19"/>
        <w:szCs w:val="19"/>
      </w:rPr>
    </w:lvl>
    <w:lvl w:ilvl="1">
      <w:start w:val="0"/>
      <w:numFmt w:val="bullet"/>
      <w:lvlText w:val="•"/>
      <w:lvlJc w:val="left"/>
      <w:pPr>
        <w:ind w:left="847" w:hanging="123"/>
      </w:pPr>
      <w:rPr/>
    </w:lvl>
    <w:lvl w:ilvl="2">
      <w:start w:val="0"/>
      <w:numFmt w:val="bullet"/>
      <w:lvlText w:val="•"/>
      <w:lvlJc w:val="left"/>
      <w:pPr>
        <w:ind w:left="1414" w:hanging="123"/>
      </w:pPr>
      <w:rPr/>
    </w:lvl>
    <w:lvl w:ilvl="3">
      <w:start w:val="0"/>
      <w:numFmt w:val="bullet"/>
      <w:lvlText w:val="•"/>
      <w:lvlJc w:val="left"/>
      <w:pPr>
        <w:ind w:left="1982" w:hanging="123.00000000000023"/>
      </w:pPr>
      <w:rPr/>
    </w:lvl>
    <w:lvl w:ilvl="4">
      <w:start w:val="0"/>
      <w:numFmt w:val="bullet"/>
      <w:lvlText w:val="•"/>
      <w:lvlJc w:val="left"/>
      <w:pPr>
        <w:ind w:left="2549" w:hanging="123"/>
      </w:pPr>
      <w:rPr/>
    </w:lvl>
    <w:lvl w:ilvl="5">
      <w:start w:val="0"/>
      <w:numFmt w:val="bullet"/>
      <w:lvlText w:val="•"/>
      <w:lvlJc w:val="left"/>
      <w:pPr>
        <w:ind w:left="3117" w:hanging="123"/>
      </w:pPr>
      <w:rPr/>
    </w:lvl>
    <w:lvl w:ilvl="6">
      <w:start w:val="0"/>
      <w:numFmt w:val="bullet"/>
      <w:lvlText w:val="•"/>
      <w:lvlJc w:val="left"/>
      <w:pPr>
        <w:ind w:left="3684" w:hanging="123.00000000000045"/>
      </w:pPr>
      <w:rPr/>
    </w:lvl>
    <w:lvl w:ilvl="7">
      <w:start w:val="0"/>
      <w:numFmt w:val="bullet"/>
      <w:lvlText w:val="•"/>
      <w:lvlJc w:val="left"/>
      <w:pPr>
        <w:ind w:left="4251" w:hanging="123"/>
      </w:pPr>
      <w:rPr/>
    </w:lvl>
    <w:lvl w:ilvl="8">
      <w:start w:val="0"/>
      <w:numFmt w:val="bullet"/>
      <w:lvlText w:val="•"/>
      <w:lvlJc w:val="left"/>
      <w:pPr>
        <w:ind w:left="4819" w:hanging="123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375" w:hanging="172"/>
      </w:pPr>
      <w:rPr>
        <w:rFonts w:ascii="Arial" w:cs="Arial" w:eastAsia="Arial" w:hAnsi="Arial"/>
        <w:sz w:val="19"/>
        <w:szCs w:val="19"/>
      </w:rPr>
    </w:lvl>
    <w:lvl w:ilvl="1">
      <w:start w:val="0"/>
      <w:numFmt w:val="bullet"/>
      <w:lvlText w:val="•"/>
      <w:lvlJc w:val="left"/>
      <w:pPr>
        <w:ind w:left="842" w:hanging="172"/>
      </w:pPr>
      <w:rPr/>
    </w:lvl>
    <w:lvl w:ilvl="2">
      <w:start w:val="0"/>
      <w:numFmt w:val="bullet"/>
      <w:lvlText w:val="•"/>
      <w:lvlJc w:val="left"/>
      <w:pPr>
        <w:ind w:left="1305" w:hanging="172"/>
      </w:pPr>
      <w:rPr/>
    </w:lvl>
    <w:lvl w:ilvl="3">
      <w:start w:val="0"/>
      <w:numFmt w:val="bullet"/>
      <w:lvlText w:val="•"/>
      <w:lvlJc w:val="left"/>
      <w:pPr>
        <w:ind w:left="1768" w:hanging="171.99999999999977"/>
      </w:pPr>
      <w:rPr/>
    </w:lvl>
    <w:lvl w:ilvl="4">
      <w:start w:val="0"/>
      <w:numFmt w:val="bullet"/>
      <w:lvlText w:val="•"/>
      <w:lvlJc w:val="left"/>
      <w:pPr>
        <w:ind w:left="2231" w:hanging="172"/>
      </w:pPr>
      <w:rPr/>
    </w:lvl>
    <w:lvl w:ilvl="5">
      <w:start w:val="0"/>
      <w:numFmt w:val="bullet"/>
      <w:lvlText w:val="•"/>
      <w:lvlJc w:val="left"/>
      <w:pPr>
        <w:ind w:left="2694" w:hanging="172"/>
      </w:pPr>
      <w:rPr/>
    </w:lvl>
    <w:lvl w:ilvl="6">
      <w:start w:val="0"/>
      <w:numFmt w:val="bullet"/>
      <w:lvlText w:val="•"/>
      <w:lvlJc w:val="left"/>
      <w:pPr>
        <w:ind w:left="3156" w:hanging="171.99999999999955"/>
      </w:pPr>
      <w:rPr/>
    </w:lvl>
    <w:lvl w:ilvl="7">
      <w:start w:val="0"/>
      <w:numFmt w:val="bullet"/>
      <w:lvlText w:val="•"/>
      <w:lvlJc w:val="left"/>
      <w:pPr>
        <w:ind w:left="3619" w:hanging="172"/>
      </w:pPr>
      <w:rPr/>
    </w:lvl>
    <w:lvl w:ilvl="8">
      <w:start w:val="0"/>
      <w:numFmt w:val="bullet"/>
      <w:lvlText w:val="•"/>
      <w:lvlJc w:val="left"/>
      <w:pPr>
        <w:ind w:left="4082" w:hanging="172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363" w:hanging="143.00000000000003"/>
      </w:pPr>
      <w:rPr>
        <w:rFonts w:ascii="Arial" w:cs="Arial" w:eastAsia="Arial" w:hAnsi="Arial"/>
        <w:sz w:val="19"/>
        <w:szCs w:val="19"/>
      </w:rPr>
    </w:lvl>
    <w:lvl w:ilvl="1">
      <w:start w:val="0"/>
      <w:numFmt w:val="bullet"/>
      <w:lvlText w:val="•"/>
      <w:lvlJc w:val="left"/>
      <w:pPr>
        <w:ind w:left="897" w:hanging="143"/>
      </w:pPr>
      <w:rPr/>
    </w:lvl>
    <w:lvl w:ilvl="2">
      <w:start w:val="0"/>
      <w:numFmt w:val="bullet"/>
      <w:lvlText w:val="•"/>
      <w:lvlJc w:val="left"/>
      <w:pPr>
        <w:ind w:left="1435" w:hanging="143"/>
      </w:pPr>
      <w:rPr/>
    </w:lvl>
    <w:lvl w:ilvl="3">
      <w:start w:val="0"/>
      <w:numFmt w:val="bullet"/>
      <w:lvlText w:val="•"/>
      <w:lvlJc w:val="left"/>
      <w:pPr>
        <w:ind w:left="1972" w:hanging="143.00000000000023"/>
      </w:pPr>
      <w:rPr/>
    </w:lvl>
    <w:lvl w:ilvl="4">
      <w:start w:val="0"/>
      <w:numFmt w:val="bullet"/>
      <w:lvlText w:val="•"/>
      <w:lvlJc w:val="left"/>
      <w:pPr>
        <w:ind w:left="2510" w:hanging="143"/>
      </w:pPr>
      <w:rPr/>
    </w:lvl>
    <w:lvl w:ilvl="5">
      <w:start w:val="0"/>
      <w:numFmt w:val="bullet"/>
      <w:lvlText w:val="•"/>
      <w:lvlJc w:val="left"/>
      <w:pPr>
        <w:ind w:left="3047" w:hanging="143"/>
      </w:pPr>
      <w:rPr/>
    </w:lvl>
    <w:lvl w:ilvl="6">
      <w:start w:val="0"/>
      <w:numFmt w:val="bullet"/>
      <w:lvlText w:val="•"/>
      <w:lvlJc w:val="left"/>
      <w:pPr>
        <w:ind w:left="3585" w:hanging="143"/>
      </w:pPr>
      <w:rPr/>
    </w:lvl>
    <w:lvl w:ilvl="7">
      <w:start w:val="0"/>
      <w:numFmt w:val="bullet"/>
      <w:lvlText w:val="•"/>
      <w:lvlJc w:val="left"/>
      <w:pPr>
        <w:ind w:left="4122" w:hanging="143"/>
      </w:pPr>
      <w:rPr/>
    </w:lvl>
    <w:lvl w:ilvl="8">
      <w:start w:val="0"/>
      <w:numFmt w:val="bullet"/>
      <w:lvlText w:val="•"/>
      <w:lvlJc w:val="left"/>
      <w:pPr>
        <w:ind w:left="4660" w:hanging="143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394" w:hanging="143.00000000000003"/>
      </w:pPr>
      <w:rPr>
        <w:rFonts w:ascii="Arial" w:cs="Arial" w:eastAsia="Arial" w:hAnsi="Arial"/>
        <w:sz w:val="19"/>
        <w:szCs w:val="19"/>
      </w:rPr>
    </w:lvl>
    <w:lvl w:ilvl="1">
      <w:start w:val="0"/>
      <w:numFmt w:val="bullet"/>
      <w:lvlText w:val="•"/>
      <w:lvlJc w:val="left"/>
      <w:pPr>
        <w:ind w:left="910" w:hanging="143"/>
      </w:pPr>
      <w:rPr/>
    </w:lvl>
    <w:lvl w:ilvl="2">
      <w:start w:val="0"/>
      <w:numFmt w:val="bullet"/>
      <w:lvlText w:val="•"/>
      <w:lvlJc w:val="left"/>
      <w:pPr>
        <w:ind w:left="1421" w:hanging="143"/>
      </w:pPr>
      <w:rPr/>
    </w:lvl>
    <w:lvl w:ilvl="3">
      <w:start w:val="0"/>
      <w:numFmt w:val="bullet"/>
      <w:lvlText w:val="•"/>
      <w:lvlJc w:val="left"/>
      <w:pPr>
        <w:ind w:left="1932" w:hanging="143.00000000000023"/>
      </w:pPr>
      <w:rPr/>
    </w:lvl>
    <w:lvl w:ilvl="4">
      <w:start w:val="0"/>
      <w:numFmt w:val="bullet"/>
      <w:lvlText w:val="•"/>
      <w:lvlJc w:val="left"/>
      <w:pPr>
        <w:ind w:left="2443" w:hanging="143"/>
      </w:pPr>
      <w:rPr/>
    </w:lvl>
    <w:lvl w:ilvl="5">
      <w:start w:val="0"/>
      <w:numFmt w:val="bullet"/>
      <w:lvlText w:val="•"/>
      <w:lvlJc w:val="left"/>
      <w:pPr>
        <w:ind w:left="2954" w:hanging="143.00000000000045"/>
      </w:pPr>
      <w:rPr/>
    </w:lvl>
    <w:lvl w:ilvl="6">
      <w:start w:val="0"/>
      <w:numFmt w:val="bullet"/>
      <w:lvlText w:val="•"/>
      <w:lvlJc w:val="left"/>
      <w:pPr>
        <w:ind w:left="3464" w:hanging="143.00000000000045"/>
      </w:pPr>
      <w:rPr/>
    </w:lvl>
    <w:lvl w:ilvl="7">
      <w:start w:val="0"/>
      <w:numFmt w:val="bullet"/>
      <w:lvlText w:val="•"/>
      <w:lvlJc w:val="left"/>
      <w:pPr>
        <w:ind w:left="3975" w:hanging="143"/>
      </w:pPr>
      <w:rPr/>
    </w:lvl>
    <w:lvl w:ilvl="8">
      <w:start w:val="0"/>
      <w:numFmt w:val="bullet"/>
      <w:lvlText w:val="•"/>
      <w:lvlJc w:val="left"/>
      <w:pPr>
        <w:ind w:left="4486" w:hanging="143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375" w:hanging="176"/>
      </w:pPr>
      <w:rPr>
        <w:rFonts w:ascii="Arial" w:cs="Arial" w:eastAsia="Arial" w:hAnsi="Arial"/>
        <w:sz w:val="19"/>
        <w:szCs w:val="19"/>
      </w:rPr>
    </w:lvl>
    <w:lvl w:ilvl="1">
      <w:start w:val="0"/>
      <w:numFmt w:val="bullet"/>
      <w:lvlText w:val="•"/>
      <w:lvlJc w:val="left"/>
      <w:pPr>
        <w:ind w:left="915" w:hanging="176"/>
      </w:pPr>
      <w:rPr/>
    </w:lvl>
    <w:lvl w:ilvl="2">
      <w:start w:val="0"/>
      <w:numFmt w:val="bullet"/>
      <w:lvlText w:val="•"/>
      <w:lvlJc w:val="left"/>
      <w:pPr>
        <w:ind w:left="1451" w:hanging="176"/>
      </w:pPr>
      <w:rPr/>
    </w:lvl>
    <w:lvl w:ilvl="3">
      <w:start w:val="0"/>
      <w:numFmt w:val="bullet"/>
      <w:lvlText w:val="•"/>
      <w:lvlJc w:val="left"/>
      <w:pPr>
        <w:ind w:left="1986" w:hanging="176"/>
      </w:pPr>
      <w:rPr/>
    </w:lvl>
    <w:lvl w:ilvl="4">
      <w:start w:val="0"/>
      <w:numFmt w:val="bullet"/>
      <w:lvlText w:val="•"/>
      <w:lvlJc w:val="left"/>
      <w:pPr>
        <w:ind w:left="2522" w:hanging="176"/>
      </w:pPr>
      <w:rPr/>
    </w:lvl>
    <w:lvl w:ilvl="5">
      <w:start w:val="0"/>
      <w:numFmt w:val="bullet"/>
      <w:lvlText w:val="•"/>
      <w:lvlJc w:val="left"/>
      <w:pPr>
        <w:ind w:left="3057" w:hanging="176.00000000000045"/>
      </w:pPr>
      <w:rPr/>
    </w:lvl>
    <w:lvl w:ilvl="6">
      <w:start w:val="0"/>
      <w:numFmt w:val="bullet"/>
      <w:lvlText w:val="•"/>
      <w:lvlJc w:val="left"/>
      <w:pPr>
        <w:ind w:left="3593" w:hanging="176"/>
      </w:pPr>
      <w:rPr/>
    </w:lvl>
    <w:lvl w:ilvl="7">
      <w:start w:val="0"/>
      <w:numFmt w:val="bullet"/>
      <w:lvlText w:val="•"/>
      <w:lvlJc w:val="left"/>
      <w:pPr>
        <w:ind w:left="4128" w:hanging="176"/>
      </w:pPr>
      <w:rPr/>
    </w:lvl>
    <w:lvl w:ilvl="8">
      <w:start w:val="0"/>
      <w:numFmt w:val="bullet"/>
      <w:lvlText w:val="•"/>
      <w:lvlJc w:val="left"/>
      <w:pPr>
        <w:ind w:left="4664" w:hanging="17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0"/>
      <w:szCs w:val="2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200"/>
    </w:pPr>
    <w:rPr>
      <w:rFonts w:ascii="Arial" w:cs="Arial" w:eastAsia="Arial" w:hAnsi="Arial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yperlink" Target="http://www.eufar.com/" TargetMode="External"/><Relationship Id="rId10" Type="http://schemas.openxmlformats.org/officeDocument/2006/relationships/hyperlink" Target="http://www.eufar.com/" TargetMode="External"/><Relationship Id="rId9" Type="http://schemas.openxmlformats.org/officeDocument/2006/relationships/image" Target="media/image3.jp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zIXPkx8UbScBoJSuh2wy4YR+g==">AMUW2mVcIWdOcFQC4+YTv4FwGqHROZsQnztqI7503NkFi1bj7jgSIwhQS0E6zaF2BaJ0SJYJhGbE6ZSlyFjcNdWiMw813qUjHWwhZf53vss6maMMGnWXWM8=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2020-06-14T00:06:29Z</dcterms:created>
  <dc:creator>Willmar Ricardo Rugeles Joya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2020-06-14T00:00:00Z</vt:filetime>
  </property>
</Properties>
</file>