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948555" cy="759460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55" cy="7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b/>
          <w:bCs/>
          <w:i w:val="false"/>
          <w:iCs w:val="false"/>
          <w:color w:val="000000" w:themeColor="text1" w:themeShade="ff" w:themeTint="ff"/>
          <w:sz w:val="40"/>
          <w:szCs w:val="40"/>
          <w:u w:val="single"/>
          <w:lang w:val="es"/>
        </w:rPr>
        <w:t>F</w:t>
      </w:r>
      <w:r>
        <w:rPr>
          <w:rFonts w:eastAsia="Calibri" w:cs="Calibri" w:ascii="Calibri" w:hAnsi="Calibri"/>
          <w:b/>
          <w:bCs/>
          <w:i w:val="false"/>
          <w:iCs w:val="false"/>
          <w:color w:val="000000" w:themeColor="text1" w:themeShade="ff" w:themeTint="ff"/>
          <w:sz w:val="40"/>
          <w:szCs w:val="40"/>
          <w:u w:val="single"/>
          <w:lang w:val="es"/>
        </w:rPr>
        <w:t>ICHA TECNICA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bCs/>
          <w:i w:val="false"/>
          <w:iCs w:val="false"/>
          <w:color w:val="000000" w:themeColor="text1" w:themeShade="ff" w:themeTint="ff"/>
          <w:sz w:val="40"/>
          <w:szCs w:val="40"/>
          <w:u w:val="single"/>
          <w:lang w:val="es"/>
        </w:rPr>
        <w:t>DESINFECTANTE BIOCIDA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s"/>
        </w:rPr>
        <w:t>DESCRIPCION GENERAL: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s"/>
        </w:rPr>
        <w:t xml:space="preserve"> Los usos y aplicaciones del cloruro de amonio cuaternario de 5ª generación son: desinfectante de amplio espectro, virucida, fungicida, bactericida, tuberculicida, antiséptico, no es tóxico, no destiñe la ropa, no daña la piel, no irrita las mucosas. Para saneamiento de utensilios y equipos de desinfección de hospitales, inodoros, instrumentos médicos, desinfección de plantas procesadoras de carne y alimentos, lechería, avícolas e industrias conexas. 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s"/>
        </w:rPr>
        <w:t>INSTRUCCIONES DE USO: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s"/>
        </w:rPr>
        <w:t xml:space="preserve"> Agite ante de usar, utilice elementos de protección personal, utilice el producto de la siguiente forma: para limpieza  de superficies y desinfección personal,  verifique y prepare únicamente la cantidad que necesite diariamente.</w:t>
      </w:r>
    </w:p>
    <w:p>
      <w:pPr>
        <w:pStyle w:val="Normal"/>
        <w:jc w:val="both"/>
        <w:rPr/>
      </w:pPr>
      <w:r>
        <w:rPr/>
        <w:br/>
      </w:r>
    </w:p>
    <w:tbl>
      <w:tblPr>
        <w:tblStyle w:val="TableGrid"/>
        <w:tblW w:w="10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592"/>
        <w:gridCol w:w="3592"/>
        <w:gridCol w:w="3592"/>
      </w:tblGrid>
      <w:tr>
        <w:trPr/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/>
                <w:bCs/>
                <w:i w:val="false"/>
                <w:iCs w:val="false"/>
                <w:color w:val="254A87"/>
                <w:sz w:val="14"/>
                <w:szCs w:val="14"/>
              </w:rPr>
              <w:t>Actividades</w:t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/>
                <w:bCs/>
                <w:i w:val="false"/>
                <w:iCs w:val="false"/>
                <w:color w:val="254A87"/>
                <w:sz w:val="14"/>
                <w:szCs w:val="14"/>
              </w:rPr>
              <w:t>Microorganismos</w:t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/>
                <w:bCs/>
                <w:i w:val="false"/>
                <w:iCs w:val="false"/>
                <w:color w:val="254A87"/>
                <w:sz w:val="14"/>
                <w:szCs w:val="14"/>
              </w:rPr>
              <w:t>Evidencias en concentración de uso</w:t>
            </w:r>
          </w:p>
        </w:tc>
      </w:tr>
      <w:tr>
        <w:trPr/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br/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/>
                <w:iCs/>
                <w:color w:val="000000" w:themeColor="text1" w:themeShade="ff" w:themeTint="ff"/>
                <w:sz w:val="14"/>
                <w:szCs w:val="14"/>
              </w:rPr>
              <w:t>Clostridium difficile</w:t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Método ecométrico bactericida en solo 5 minutos.</w:t>
            </w:r>
          </w:p>
        </w:tc>
      </w:tr>
      <w:tr>
        <w:trPr/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b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/>
                <w:bCs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Bactericida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Gram + Gram -</w:t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/>
                <w:iCs/>
                <w:color w:val="000000" w:themeColor="text1" w:themeShade="ff" w:themeTint="ff"/>
                <w:sz w:val="14"/>
                <w:szCs w:val="14"/>
              </w:rPr>
              <w:t xml:space="preserve">Escherichia coli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ATCC 25922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/>
                <w:iCs/>
                <w:color w:val="000000" w:themeColor="text1" w:themeShade="ff" w:themeTint="ff"/>
                <w:sz w:val="14"/>
                <w:szCs w:val="14"/>
              </w:rPr>
              <w:t xml:space="preserve">Staphylococcus aureus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ATCC 29213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/>
                <w:iCs/>
                <w:color w:val="000000" w:themeColor="text1" w:themeShade="ff" w:themeTint="ff"/>
                <w:sz w:val="14"/>
                <w:szCs w:val="14"/>
                <w:u w:val="single"/>
              </w:rPr>
              <w:t xml:space="preserve">   </w:t>
            </w:r>
            <w:r>
              <w:rPr>
                <w:rFonts w:eastAsia="Arial" w:cs="Arial"/>
                <w:b w:val="false"/>
                <w:bCs w:val="false"/>
                <w:i/>
                <w:iCs/>
                <w:color w:val="000000" w:themeColor="text1" w:themeShade="ff" w:themeTint="ff"/>
                <w:sz w:val="14"/>
                <w:szCs w:val="14"/>
                <w:u w:val="single"/>
              </w:rPr>
              <w:t xml:space="preserve">Pseudomonas aeruginosa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  <w:u w:val="single"/>
              </w:rPr>
              <w:t xml:space="preserve">ATCC 9027 </w:t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Método ecométrico bactericida en solo 5 minutos, en presencia o ausencia de materia orgánica.</w:t>
            </w:r>
          </w:p>
        </w:tc>
      </w:tr>
      <w:tr>
        <w:trPr/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br/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/>
                <w:iCs/>
                <w:color w:val="000000" w:themeColor="text1" w:themeShade="ff" w:themeTint="ff"/>
                <w:sz w:val="14"/>
                <w:szCs w:val="14"/>
              </w:rPr>
              <w:t xml:space="preserve">Klebsiella pneumoniae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(KPC)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/>
                <w:iCs/>
                <w:color w:val="000000" w:themeColor="text1" w:themeShade="ff" w:themeTint="ff"/>
                <w:sz w:val="14"/>
                <w:szCs w:val="14"/>
              </w:rPr>
              <w:t xml:space="preserve">Pseudomonas aeruginosa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ATCC 9027</w:t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Método ecométrico bactericida en solo 1 minuto.</w:t>
            </w:r>
          </w:p>
        </w:tc>
      </w:tr>
      <w:tr>
        <w:trPr/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/>
                <w:bCs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Virucida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Lipofilicos (con envoltura)</w:t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/>
                <w:iCs/>
                <w:color w:val="000000" w:themeColor="text1" w:themeShade="ff" w:themeTint="ff"/>
                <w:sz w:val="14"/>
                <w:szCs w:val="14"/>
              </w:rPr>
              <w:t>Hepatitis B y C Herpes simplex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/>
                <w:iCs/>
                <w:color w:val="000000" w:themeColor="text1" w:themeShade="ff" w:themeTint="ff"/>
                <w:sz w:val="14"/>
                <w:szCs w:val="14"/>
              </w:rPr>
              <w:t>HIV – Varicela – Rubeola – Influenza – Sarampión</w:t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 xml:space="preserve">Los amonios cuaternarios afectan a los virus envueltos en capa lipídica.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  <w:vertAlign w:val="superscript"/>
              </w:rPr>
              <w:t>(1,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 xml:space="preserve">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  <w:vertAlign w:val="superscript"/>
              </w:rPr>
              <w:t>2,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 xml:space="preserve">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2"/>
                <w:szCs w:val="12"/>
              </w:rPr>
              <w:t>3)</w:t>
            </w:r>
          </w:p>
        </w:tc>
      </w:tr>
      <w:tr>
        <w:trPr/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/>
                <w:bCs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Fungicida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Hongos Levaduras Mohos</w:t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/>
                <w:iCs/>
                <w:color w:val="000000" w:themeColor="text1" w:themeShade="ff" w:themeTint="ff"/>
                <w:sz w:val="14"/>
                <w:szCs w:val="14"/>
              </w:rPr>
              <w:t xml:space="preserve">Candida albicans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ATCC 10231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/>
                <w:iCs/>
                <w:color w:val="000000" w:themeColor="text1" w:themeShade="ff" w:themeTint="ff"/>
                <w:sz w:val="14"/>
                <w:szCs w:val="14"/>
              </w:rPr>
              <w:t xml:space="preserve">Aspergillus flavus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ATCC 10124</w:t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Método ecométrico fungicida en solo 5 minutos, en presencia o ausencia de materia orgánica.</w:t>
            </w:r>
          </w:p>
        </w:tc>
      </w:tr>
      <w:tr>
        <w:trPr/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/>
                <w:bCs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Tuberculicida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(Micobactericida)</w:t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/>
                <w:iCs/>
                <w:color w:val="000000" w:themeColor="text1" w:themeShade="ff" w:themeTint="ff"/>
                <w:sz w:val="14"/>
                <w:szCs w:val="14"/>
              </w:rPr>
              <w:t xml:space="preserve">Mycobacterium terrae,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 xml:space="preserve">reemplaza el </w:t>
            </w:r>
            <w:r>
              <w:rPr>
                <w:rFonts w:eastAsia="Arial" w:cs="Arial"/>
                <w:b w:val="false"/>
                <w:bCs w:val="false"/>
                <w:i/>
                <w:iCs/>
                <w:color w:val="000000" w:themeColor="text1" w:themeShade="ff" w:themeTint="ff"/>
                <w:sz w:val="14"/>
                <w:szCs w:val="14"/>
              </w:rPr>
              <w:t>Mycobacterium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/>
                <w:iCs/>
                <w:color w:val="000000" w:themeColor="text1" w:themeShade="ff" w:themeTint="ff"/>
                <w:sz w:val="14"/>
                <w:szCs w:val="14"/>
              </w:rPr>
              <w:t xml:space="preserve">tuberculosis,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según norma UNE-EN-14348</w:t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Método ecométrico tuberculicida en solo 5 minutos.</w:t>
            </w:r>
          </w:p>
        </w:tc>
      </w:tr>
      <w:tr>
        <w:trPr/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/>
                <w:bCs/>
                <w:i w:val="false"/>
                <w:iCs w:val="false"/>
                <w:color w:val="808080" w:themeColor="background1" w:themeShade="80" w:themeTint="ff"/>
                <w:sz w:val="12"/>
                <w:szCs w:val="12"/>
              </w:rPr>
              <w:t xml:space="preserve">1.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808080" w:themeColor="background1" w:themeShade="80" w:themeTint="ff"/>
                <w:sz w:val="12"/>
                <w:szCs w:val="12"/>
              </w:rPr>
              <w:t xml:space="preserve">RUTALA William A, Guideline for Disinfection and Sterilization in Healthcare Facilities,2008 </w:t>
            </w:r>
            <w:r>
              <w:rPr>
                <w:rFonts w:eastAsia="Arial" w:cs="Arial"/>
                <w:b/>
                <w:bCs/>
                <w:i w:val="false"/>
                <w:iCs w:val="false"/>
                <w:color w:val="808080" w:themeColor="background1" w:themeShade="80" w:themeTint="ff"/>
                <w:sz w:val="12"/>
                <w:szCs w:val="12"/>
              </w:rPr>
              <w:t xml:space="preserve">2.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808080" w:themeColor="background1" w:themeShade="80" w:themeTint="ff"/>
                <w:sz w:val="12"/>
                <w:szCs w:val="12"/>
              </w:rPr>
              <w:t xml:space="preserve">CENTER FOR FOOD SECURITY AND PUBLIC HEALTH, Disinfection 101, 2008 </w:t>
            </w:r>
            <w:r>
              <w:rPr>
                <w:rFonts w:eastAsia="Arial" w:cs="Arial"/>
                <w:b/>
                <w:bCs/>
                <w:i w:val="false"/>
                <w:iCs w:val="false"/>
                <w:color w:val="808080" w:themeColor="background1" w:themeShade="80" w:themeTint="ff"/>
                <w:sz w:val="12"/>
                <w:szCs w:val="12"/>
              </w:rPr>
              <w:t xml:space="preserve">3.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808080" w:themeColor="background1" w:themeShade="80" w:themeTint="ff"/>
                <w:sz w:val="12"/>
                <w:szCs w:val="12"/>
              </w:rPr>
              <w:t>Ewa Okblak, Andrzej Gamian, The biological activity of quaternary ammonium salts (QASs), Postepy Hig Med Dosw, 2010;64: 201-211.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/>
                <w:bCs/>
                <w:i w:val="false"/>
                <w:iCs w:val="false"/>
                <w:color w:val="808080" w:themeColor="background1" w:themeShade="80" w:themeTint="ff"/>
                <w:sz w:val="12"/>
                <w:szCs w:val="12"/>
              </w:rPr>
              <w:t>La concentración evaluada, es la concentración de uso y la mínima inhibitoria (CMI).</w:t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s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s"/>
        </w:rPr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s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s"/>
        </w:rPr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s"/>
        </w:rPr>
        <w:t>ESPECIFICACIONES TÉCNICAS:</w:t>
      </w:r>
    </w:p>
    <w:p>
      <w:pPr>
        <w:pStyle w:val="Normal"/>
        <w:ind w:firstLine="708"/>
        <w:jc w:val="both"/>
        <w:rPr/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s"/>
        </w:rPr>
        <w:t xml:space="preserve">Aspecto Físico: Líquido, lechoso, viscoso de olor característico. </w:t>
      </w:r>
    </w:p>
    <w:p>
      <w:pPr>
        <w:pStyle w:val="Normal"/>
        <w:ind w:left="2124" w:hanging="2124"/>
        <w:jc w:val="both"/>
        <w:rPr/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s"/>
        </w:rPr>
        <w:t>Composición:       Cloruro de amonio de cuaternario de 5ª generación,       Triclosan, Etanol, Nonil fenol, etc.</w:t>
      </w:r>
    </w:p>
    <w:p>
      <w:pPr>
        <w:pStyle w:val="Normal"/>
        <w:ind w:left="2124" w:hanging="2124"/>
        <w:jc w:val="both"/>
        <w:rPr/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s"/>
        </w:rPr>
        <w:t>Estabilidad: El producto concentrado una vez disuelto puede precipitar por lo tanto necesita agitar antes de usar.</w:t>
      </w:r>
    </w:p>
    <w:p>
      <w:pPr>
        <w:pStyle w:val="Normal"/>
        <w:ind w:left="2124" w:hanging="2124"/>
        <w:jc w:val="both"/>
        <w:rPr/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s"/>
        </w:rPr>
        <w:t>Vida útil: 40 meses, siempre y cuando se mantenga tapado durante el uso.</w:t>
      </w:r>
    </w:p>
    <w:p>
      <w:pPr>
        <w:pStyle w:val="Normal"/>
        <w:ind w:firstLine="708"/>
        <w:jc w:val="both"/>
        <w:rPr/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s"/>
        </w:rPr>
        <w:t xml:space="preserve">Condiciones de </w:t>
      </w:r>
    </w:p>
    <w:p>
      <w:pPr>
        <w:pStyle w:val="Normal"/>
        <w:ind w:left="2124" w:hanging="2124"/>
        <w:jc w:val="both"/>
        <w:rPr/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s"/>
        </w:rPr>
        <w:t>Almacenamiento: Manténgase bien tapado, en sitio fresco, protegido de la luz y lejos del alcance de los niños.</w:t>
      </w:r>
    </w:p>
    <w:p>
      <w:pPr>
        <w:pStyle w:val="Normal"/>
        <w:ind w:firstLine="708"/>
        <w:jc w:val="both"/>
        <w:rPr/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s"/>
        </w:rPr>
        <w:t xml:space="preserve">Presentaciones: 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s"/>
        </w:rPr>
        <w:t>1 Litro = diluye uno a uno.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s"/>
        </w:rPr>
        <w:t>1 Lt. Concentrado = diluye en 200 Lts.</w:t>
      </w:r>
    </w:p>
    <w:p>
      <w:pPr>
        <w:pStyle w:val="Normal"/>
        <w:rPr/>
      </w:pPr>
      <w:r>
        <w:rPr/>
        <w:br/>
      </w:r>
    </w:p>
    <w:sectPr>
      <w:headerReference w:type="default" r:id="rId3"/>
      <w:footerReference w:type="default" r:id="rId4"/>
      <w:type w:val="nextPage"/>
      <w:pgSz w:w="11906" w:h="16838"/>
      <w:pgMar w:left="567" w:right="567" w:header="285" w:top="567" w:footer="345" w:bottom="56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color w:val="B45F06"/>
      </w:rPr>
    </w:pPr>
    <w:r>
      <w:rPr>
        <w:color w:val="B45F06"/>
      </w:rPr>
      <w:t xml:space="preserve">Dirección: Av. Ecológica Inicio s/n </w:t>
      <w:br/>
      <w:t>Teléfonos: 70766827-72742497</w:t>
      <w:br/>
      <w:t xml:space="preserve">Cochabamba - Bolivia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hanging="850"/>
      <w:rPr/>
    </w:pPr>
    <w:r>
      <w:rPr/>
      <w:t xml:space="preserve">               </w:t>
    </w:r>
    <w:r>
      <w:rPr/>
      <w:drawing>
        <wp:inline distT="0" distB="0" distL="0" distR="0">
          <wp:extent cx="1243330" cy="768350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3330" cy="768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Titular">
    <w:name w:val="Title"/>
    <w:basedOn w:val="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Normal Table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LibreOffice/6.3.6.2$Linux_X86_64 LibreOffice_project/30$Build-2</Application>
  <Pages>2</Pages>
  <Words>395</Words>
  <Characters>2437</Characters>
  <CharactersWithSpaces>2832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2020-06-14T00:00:16Z</dcterms:created>
  <dc:creator>Cesar Gaspar Ecos</dc:creator>
  <dc:description/>
  <dc:language>es-BO</dc:language>
  <cp:lastModifiedBy/>
  <dcterms:modified xsi:type="dcterms:W3CDTF">2020-06-16T13:04:32Z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