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3457ae1661e142ae" /><Relationship Type="http://schemas.openxmlformats.org/package/2006/relationships/metadata/core-properties" Target="/package/services/metadata/core-properties/afee72dad8184a838c38582a59dc2296.psmdcp" Id="R0471f3a6899d4bb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315626A6" w:rsidRDefault="00000000" w14:paraId="6B35FECA" wp14:textId="2E9EE955">
      <w:pPr>
        <w:pStyle w:val="Normal"/>
        <w:jc w:val="center"/>
      </w:pPr>
      <w:r w:rsidRPr="00000000" w:rsidDel="00000000" w:rsidR="00000000">
        <w:rPr/>
        <w:drawing>
          <wp:anchor xmlns:wp14="http://schemas.microsoft.com/office/word/2010/wordprocessingDrawing" distT="0" distB="0" distL="114300" distR="114300" simplePos="0" relativeHeight="0" behindDoc="1" locked="0" layoutInCell="1" hidden="0" allowOverlap="1" wp14:anchorId="590B6BBA" wp14:editId="77777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48554" cy="7594600"/>
            <wp:wrapNone/>
            <wp:effectExtent l="0" t="0" r="0" b="0"/>
            <wp:docPr id="2" name="image2.png" title="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44000"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8554" cy="759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  <w:r w:rsidRPr="315626A6" w:rsidR="315626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single"/>
          <w:lang w:val="es"/>
        </w:rPr>
        <w:t>FICHA TECNICA</w:t>
      </w:r>
    </w:p>
    <w:p xmlns:wp14="http://schemas.microsoft.com/office/word/2010/wordml" w:rsidRPr="00000000" w:rsidR="00000000" w:rsidDel="00000000" w:rsidP="315626A6" w:rsidRDefault="00000000" w14:paraId="50581F91" wp14:textId="3C68CDF9">
      <w:pPr>
        <w:jc w:val="center"/>
      </w:pPr>
      <w:r w:rsidRPr="315626A6" w:rsidR="315626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single"/>
          <w:lang w:val="es"/>
        </w:rPr>
        <w:t>DESINFECTANTE BIOCIDA</w:t>
      </w:r>
    </w:p>
    <w:p xmlns:wp14="http://schemas.microsoft.com/office/word/2010/wordml" w:rsidRPr="00000000" w:rsidR="00000000" w:rsidDel="00000000" w:rsidP="315626A6" w:rsidRDefault="00000000" w14:paraId="51B7B4D1" wp14:textId="768DBBC5">
      <w:pPr>
        <w:jc w:val="both"/>
      </w:pPr>
      <w:r w:rsidRPr="315626A6" w:rsidR="315626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>DESCRIPCION GENERAL:</w:t>
      </w: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 Los usos y aplicaciones del cloruro de amonio cuaternario de 5ª generación son: desinfectante de amplio espectro, virucida, fungicida, bactericida, tuberculicida, antiséptico, no es tóxico, no destiñe la ropa, no daña la piel, no irrita las mucosas. Para saneamiento de utensilios y equipos de desinfección de hospitales, inodoros, instrumentos médicos, desinfección de plantas procesadoras de carne y alimentos, lechería, avícolas e industrias conexas. </w:t>
      </w:r>
    </w:p>
    <w:p xmlns:wp14="http://schemas.microsoft.com/office/word/2010/wordml" w:rsidRPr="00000000" w:rsidR="00000000" w:rsidDel="00000000" w:rsidP="315626A6" w:rsidRDefault="00000000" w14:paraId="54E50ED7" wp14:textId="4A5C9536">
      <w:pPr>
        <w:jc w:val="both"/>
      </w:pPr>
      <w:r w:rsidRPr="315626A6" w:rsidR="315626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>INSTRUCCIONES DE USO:</w:t>
      </w: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 Agite ante de usar, utilice elementos de protección personal, utilice el producto de la siguiente forma: para limpieza  de superficies y desinfección personal,  verifique y prepare únicamente la cantidad que necesite diariamente.</w:t>
      </w:r>
    </w:p>
    <w:p xmlns:wp14="http://schemas.microsoft.com/office/word/2010/wordml" w:rsidRPr="00000000" w:rsidR="00000000" w:rsidDel="00000000" w:rsidP="315626A6" w:rsidRDefault="00000000" w14:paraId="5D8D5E0D" wp14:textId="65157400">
      <w:pPr>
        <w:jc w:val="both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92"/>
        <w:gridCol w:w="3592"/>
        <w:gridCol w:w="3592"/>
      </w:tblGrid>
      <w:tr w:rsidR="315626A6" w:rsidTr="315626A6" w14:paraId="667EA940">
        <w:tc>
          <w:tcPr>
            <w:tcW w:w="3592" w:type="dxa"/>
            <w:tcMar/>
          </w:tcPr>
          <w:p w:rsidR="315626A6" w:rsidRDefault="315626A6" w14:paraId="5B0707D9" w14:textId="41D92135"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54A87"/>
                <w:sz w:val="14"/>
                <w:szCs w:val="14"/>
              </w:rPr>
              <w:t>Actividades</w:t>
            </w:r>
          </w:p>
        </w:tc>
        <w:tc>
          <w:tcPr>
            <w:tcW w:w="3592" w:type="dxa"/>
            <w:tcMar/>
          </w:tcPr>
          <w:p w:rsidR="315626A6" w:rsidRDefault="315626A6" w14:paraId="6DB3AB90" w14:textId="2316EB5C"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54A87"/>
                <w:sz w:val="14"/>
                <w:szCs w:val="14"/>
              </w:rPr>
              <w:t>Microorganismos</w:t>
            </w:r>
          </w:p>
        </w:tc>
        <w:tc>
          <w:tcPr>
            <w:tcW w:w="3592" w:type="dxa"/>
            <w:tcMar/>
          </w:tcPr>
          <w:p w:rsidR="315626A6" w:rsidRDefault="315626A6" w14:paraId="1D65CB29" w14:textId="2A290FD5"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54A87"/>
                <w:sz w:val="14"/>
                <w:szCs w:val="14"/>
              </w:rPr>
              <w:t>Evidencias en concentración de uso</w:t>
            </w:r>
          </w:p>
        </w:tc>
      </w:tr>
      <w:tr w:rsidR="315626A6" w:rsidTr="315626A6" w14:paraId="473D4E89">
        <w:tc>
          <w:tcPr>
            <w:tcW w:w="3592" w:type="dxa"/>
            <w:tcMar/>
          </w:tcPr>
          <w:p w:rsidR="315626A6" w:rsidRDefault="315626A6" w14:paraId="7ECFC1CE" w14:textId="701F3B1A">
            <w:r>
              <w:br/>
            </w:r>
          </w:p>
        </w:tc>
        <w:tc>
          <w:tcPr>
            <w:tcW w:w="3592" w:type="dxa"/>
            <w:tcMar/>
          </w:tcPr>
          <w:p w:rsidR="315626A6" w:rsidRDefault="315626A6" w14:paraId="159DD3C8" w14:textId="3BC2E139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>Clostridium difficile</w:t>
            </w:r>
          </w:p>
        </w:tc>
        <w:tc>
          <w:tcPr>
            <w:tcW w:w="3592" w:type="dxa"/>
            <w:tcMar/>
          </w:tcPr>
          <w:p w:rsidR="315626A6" w:rsidRDefault="315626A6" w14:paraId="5A7B8660" w14:textId="6AA4A213"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Método ecométrico bactericida en solo 5 minutos.</w:t>
            </w:r>
          </w:p>
        </w:tc>
      </w:tr>
      <w:tr w:rsidR="315626A6" w:rsidTr="315626A6" w14:paraId="5F2856FD">
        <w:tc>
          <w:tcPr>
            <w:tcW w:w="3592" w:type="dxa"/>
            <w:tcMar/>
          </w:tcPr>
          <w:p w:rsidR="315626A6" w:rsidRDefault="315626A6" w14:paraId="10B50AA3" w14:textId="04AE3BD8">
            <w:r>
              <w:br/>
            </w:r>
          </w:p>
          <w:p w:rsidR="315626A6" w:rsidP="315626A6" w:rsidRDefault="315626A6" w14:paraId="1EE6CAB4" w14:textId="4B6B3E24">
            <w:pPr>
              <w:jc w:val="center"/>
            </w:pPr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Bactericida</w:t>
            </w:r>
          </w:p>
          <w:p w:rsidR="315626A6" w:rsidP="315626A6" w:rsidRDefault="315626A6" w14:paraId="47AE259E" w14:textId="77712669">
            <w:pPr>
              <w:jc w:val="center"/>
            </w:pP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Gram + Gram -</w:t>
            </w:r>
          </w:p>
        </w:tc>
        <w:tc>
          <w:tcPr>
            <w:tcW w:w="3592" w:type="dxa"/>
            <w:tcMar/>
          </w:tcPr>
          <w:p w:rsidR="315626A6" w:rsidRDefault="315626A6" w14:paraId="3F50C352" w14:textId="0AFEB318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 xml:space="preserve">Escherichia coli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ATCC 25922</w:t>
            </w:r>
          </w:p>
          <w:p w:rsidR="315626A6" w:rsidRDefault="315626A6" w14:paraId="02AAAE1B" w14:textId="42BF27C3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 xml:space="preserve">Staphylococcus aureus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ATCC 29213</w:t>
            </w:r>
          </w:p>
          <w:p w:rsidR="315626A6" w:rsidRDefault="315626A6" w14:paraId="2F7E17EB" w14:textId="14FDE6CF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  <w:u w:val="single"/>
              </w:rPr>
              <w:t xml:space="preserve">   Pseudomonas aeruginosa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  <w:u w:val="single"/>
              </w:rPr>
              <w:t xml:space="preserve">ATCC 9027 </w:t>
            </w:r>
          </w:p>
        </w:tc>
        <w:tc>
          <w:tcPr>
            <w:tcW w:w="3592" w:type="dxa"/>
            <w:tcMar/>
          </w:tcPr>
          <w:p w:rsidR="315626A6" w:rsidRDefault="315626A6" w14:paraId="7D735271" w14:textId="4E3BA12D"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Método ecométrico bactericida en solo 5 minutos, en presencia o ausencia de materia orgánica.</w:t>
            </w:r>
          </w:p>
        </w:tc>
      </w:tr>
      <w:tr w:rsidR="315626A6" w:rsidTr="315626A6" w14:paraId="147F1719">
        <w:tc>
          <w:tcPr>
            <w:tcW w:w="3592" w:type="dxa"/>
            <w:tcMar/>
          </w:tcPr>
          <w:p w:rsidR="315626A6" w:rsidRDefault="315626A6" w14:paraId="40C4C27C" w14:textId="37AB78A1">
            <w:r>
              <w:br/>
            </w:r>
          </w:p>
        </w:tc>
        <w:tc>
          <w:tcPr>
            <w:tcW w:w="3592" w:type="dxa"/>
            <w:tcMar/>
          </w:tcPr>
          <w:p w:rsidR="315626A6" w:rsidRDefault="315626A6" w14:paraId="56949E9E" w14:textId="106E31ED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 xml:space="preserve">Klebsiella pneumoniae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(KPC)</w:t>
            </w:r>
          </w:p>
          <w:p w:rsidR="315626A6" w:rsidRDefault="315626A6" w14:paraId="3FC8C9EE" w14:textId="62C60083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 xml:space="preserve">Pseudomonas aeruginosa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ATCC 9027</w:t>
            </w:r>
          </w:p>
        </w:tc>
        <w:tc>
          <w:tcPr>
            <w:tcW w:w="3592" w:type="dxa"/>
            <w:tcMar/>
          </w:tcPr>
          <w:p w:rsidR="315626A6" w:rsidRDefault="315626A6" w14:paraId="451E022A" w14:textId="0D35D453"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Método ecométrico bactericida en solo 1 minuto.</w:t>
            </w:r>
          </w:p>
        </w:tc>
      </w:tr>
      <w:tr w:rsidR="315626A6" w:rsidTr="315626A6" w14:paraId="30D876F7">
        <w:tc>
          <w:tcPr>
            <w:tcW w:w="3592" w:type="dxa"/>
            <w:tcMar/>
          </w:tcPr>
          <w:p w:rsidR="315626A6" w:rsidP="315626A6" w:rsidRDefault="315626A6" w14:paraId="3DEC1778" w14:textId="0BE3EB8A">
            <w:pPr>
              <w:jc w:val="center"/>
            </w:pPr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Virucida</w:t>
            </w:r>
          </w:p>
          <w:p w:rsidR="315626A6" w:rsidP="315626A6" w:rsidRDefault="315626A6" w14:paraId="0219F0AB" w14:textId="461043FE">
            <w:pPr>
              <w:jc w:val="center"/>
            </w:pP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Lipofilicos (con envoltura)</w:t>
            </w:r>
          </w:p>
        </w:tc>
        <w:tc>
          <w:tcPr>
            <w:tcW w:w="3592" w:type="dxa"/>
            <w:tcMar/>
          </w:tcPr>
          <w:p w:rsidR="315626A6" w:rsidRDefault="315626A6" w14:paraId="401356C3" w14:textId="4BDA7CBE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>Hepatitis B y C Herpes simplex</w:t>
            </w:r>
          </w:p>
          <w:p w:rsidR="315626A6" w:rsidRDefault="315626A6" w14:paraId="768600AF" w14:textId="59BB9A19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>HIV – Varicela – Rubeola – Influenza – Sarampión</w:t>
            </w:r>
          </w:p>
        </w:tc>
        <w:tc>
          <w:tcPr>
            <w:tcW w:w="3592" w:type="dxa"/>
            <w:tcMar/>
          </w:tcPr>
          <w:p w:rsidR="315626A6" w:rsidRDefault="315626A6" w14:paraId="7EBD70D8" w14:textId="1CCE5363"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 xml:space="preserve">Los amonios cuaternarios afectan a los virus envueltos en capa lipídica.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  <w:vertAlign w:val="superscript"/>
              </w:rPr>
              <w:t>(1,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 xml:space="preserve">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  <w:vertAlign w:val="superscript"/>
              </w:rPr>
              <w:t>2,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 xml:space="preserve">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  <w:t>3)</w:t>
            </w:r>
          </w:p>
        </w:tc>
      </w:tr>
      <w:tr w:rsidR="315626A6" w:rsidTr="315626A6" w14:paraId="7D67C0B3">
        <w:tc>
          <w:tcPr>
            <w:tcW w:w="3592" w:type="dxa"/>
            <w:tcMar/>
          </w:tcPr>
          <w:p w:rsidR="315626A6" w:rsidP="315626A6" w:rsidRDefault="315626A6" w14:paraId="2E6BEED7" w14:textId="6D744CDD">
            <w:pPr>
              <w:jc w:val="center"/>
            </w:pPr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Fungicida</w:t>
            </w:r>
          </w:p>
          <w:p w:rsidR="315626A6" w:rsidP="315626A6" w:rsidRDefault="315626A6" w14:paraId="4E180E7B" w14:textId="31E72380">
            <w:pPr>
              <w:jc w:val="center"/>
            </w:pP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Hongos Levaduras Mohos</w:t>
            </w:r>
          </w:p>
        </w:tc>
        <w:tc>
          <w:tcPr>
            <w:tcW w:w="3592" w:type="dxa"/>
            <w:tcMar/>
          </w:tcPr>
          <w:p w:rsidR="315626A6" w:rsidRDefault="315626A6" w14:paraId="1F3EBE2F" w14:textId="16842185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 xml:space="preserve">Candida albicans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ATCC 10231</w:t>
            </w:r>
          </w:p>
          <w:p w:rsidR="315626A6" w:rsidRDefault="315626A6" w14:paraId="208D68A3" w14:textId="5CA7DD07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 xml:space="preserve">Aspergillus flavus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ATCC 10124</w:t>
            </w:r>
          </w:p>
        </w:tc>
        <w:tc>
          <w:tcPr>
            <w:tcW w:w="3592" w:type="dxa"/>
            <w:tcMar/>
          </w:tcPr>
          <w:p w:rsidR="315626A6" w:rsidRDefault="315626A6" w14:paraId="1CF2F174" w14:textId="683B56E5"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Método ecométrico fungicida en solo 5 minutos, en presencia o ausencia de materia orgánica.</w:t>
            </w:r>
          </w:p>
        </w:tc>
      </w:tr>
      <w:tr w:rsidR="315626A6" w:rsidTr="315626A6" w14:paraId="5A64C830">
        <w:tc>
          <w:tcPr>
            <w:tcW w:w="3592" w:type="dxa"/>
            <w:tcMar/>
          </w:tcPr>
          <w:p w:rsidR="315626A6" w:rsidRDefault="315626A6" w14:paraId="3D95E3C7" w14:textId="6C06C053"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Tuberculicida</w:t>
            </w:r>
          </w:p>
          <w:p w:rsidR="315626A6" w:rsidRDefault="315626A6" w14:paraId="6F4A6270" w14:textId="61305D99"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(Micobactericida)</w:t>
            </w:r>
          </w:p>
        </w:tc>
        <w:tc>
          <w:tcPr>
            <w:tcW w:w="3592" w:type="dxa"/>
            <w:tcMar/>
          </w:tcPr>
          <w:p w:rsidR="315626A6" w:rsidRDefault="315626A6" w14:paraId="446AF532" w14:textId="6AB7523C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 xml:space="preserve">Mycobacterium terrae,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 xml:space="preserve">reemplaza el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>Mycobacterium</w:t>
            </w:r>
          </w:p>
          <w:p w:rsidR="315626A6" w:rsidRDefault="315626A6" w14:paraId="4E071CB8" w14:textId="4A0947BE">
            <w:r w:rsidRPr="315626A6" w:rsidR="315626A6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4"/>
                <w:szCs w:val="14"/>
              </w:rPr>
              <w:t xml:space="preserve">tuberculosis,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según norma UNE-EN-14348</w:t>
            </w:r>
          </w:p>
        </w:tc>
        <w:tc>
          <w:tcPr>
            <w:tcW w:w="3592" w:type="dxa"/>
            <w:tcMar/>
          </w:tcPr>
          <w:p w:rsidR="315626A6" w:rsidRDefault="315626A6" w14:paraId="5EC8A325" w14:textId="2C291EAE"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4"/>
                <w:szCs w:val="14"/>
              </w:rPr>
              <w:t>Método ecométrico tuberculicida en solo 5 minutos.</w:t>
            </w:r>
          </w:p>
        </w:tc>
      </w:tr>
      <w:tr w:rsidR="315626A6" w:rsidTr="315626A6" w14:paraId="103BAB6F">
        <w:tc>
          <w:tcPr>
            <w:tcW w:w="3592" w:type="dxa"/>
            <w:tcMar/>
          </w:tcPr>
          <w:p w:rsidR="315626A6" w:rsidRDefault="315626A6" w14:paraId="2DA06D8F" w14:textId="743B1097"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808080" w:themeColor="background1" w:themeTint="FF" w:themeShade="80"/>
                <w:sz w:val="12"/>
                <w:szCs w:val="12"/>
              </w:rPr>
              <w:t xml:space="preserve">1.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808080" w:themeColor="background1" w:themeTint="FF" w:themeShade="80"/>
                <w:sz w:val="12"/>
                <w:szCs w:val="12"/>
              </w:rPr>
              <w:t xml:space="preserve">RUTALA William A, Guideline for Disinfection and Sterilization in Healthcare Facilities,2008 </w:t>
            </w:r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808080" w:themeColor="background1" w:themeTint="FF" w:themeShade="80"/>
                <w:sz w:val="12"/>
                <w:szCs w:val="12"/>
              </w:rPr>
              <w:t xml:space="preserve">2.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808080" w:themeColor="background1" w:themeTint="FF" w:themeShade="80"/>
                <w:sz w:val="12"/>
                <w:szCs w:val="12"/>
              </w:rPr>
              <w:t xml:space="preserve">CENTER FOR FOOD SECURITY AND PUBLIC HEALTH, Disinfection 101, 2008 </w:t>
            </w:r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808080" w:themeColor="background1" w:themeTint="FF" w:themeShade="80"/>
                <w:sz w:val="12"/>
                <w:szCs w:val="12"/>
              </w:rPr>
              <w:t xml:space="preserve">3. </w:t>
            </w:r>
            <w:r w:rsidRPr="315626A6" w:rsidR="315626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808080" w:themeColor="background1" w:themeTint="FF" w:themeShade="80"/>
                <w:sz w:val="12"/>
                <w:szCs w:val="12"/>
              </w:rPr>
              <w:t>Ewa Okblak, Andrzej Gamian, The biological activity of quaternary ammonium salts (QASs), Postepy Hig Med Dosw, 2010;64: 201-211.</w:t>
            </w:r>
          </w:p>
          <w:p w:rsidR="315626A6" w:rsidRDefault="315626A6" w14:paraId="2CA2B465" w14:textId="5E23EA7B">
            <w:r w:rsidRPr="315626A6" w:rsidR="315626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808080" w:themeColor="background1" w:themeTint="FF" w:themeShade="80"/>
                <w:sz w:val="12"/>
                <w:szCs w:val="12"/>
              </w:rPr>
              <w:t>La concentración evaluada, es la concentración de uso y la mínima inhibitoria (CMI).</w:t>
            </w:r>
          </w:p>
        </w:tc>
        <w:tc>
          <w:tcPr>
            <w:tcW w:w="3592" w:type="dxa"/>
            <w:tcMar/>
          </w:tcPr>
          <w:p w:rsidR="315626A6" w:rsidRDefault="315626A6" w14:paraId="6A2B66DD" w14:textId="4BD7E0C9"/>
        </w:tc>
        <w:tc>
          <w:tcPr>
            <w:tcW w:w="3592" w:type="dxa"/>
            <w:tcMar/>
          </w:tcPr>
          <w:p w:rsidR="315626A6" w:rsidRDefault="315626A6" w14:paraId="6F9B71AA" w14:textId="352F4054"/>
        </w:tc>
      </w:tr>
    </w:tbl>
    <w:p xmlns:wp14="http://schemas.microsoft.com/office/word/2010/wordml" w:rsidRPr="00000000" w:rsidR="00000000" w:rsidDel="00000000" w:rsidP="315626A6" w:rsidRDefault="00000000" w14:paraId="2A0A9658" wp14:textId="547E12F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</w:p>
    <w:p xmlns:wp14="http://schemas.microsoft.com/office/word/2010/wordml" w:rsidRPr="00000000" w:rsidR="00000000" w:rsidDel="00000000" w:rsidP="315626A6" w:rsidRDefault="00000000" w14:paraId="0C1EA0FD" wp14:textId="754A671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</w:pPr>
    </w:p>
    <w:p xmlns:wp14="http://schemas.microsoft.com/office/word/2010/wordml" w:rsidRPr="00000000" w:rsidR="00000000" w:rsidDel="00000000" w:rsidP="315626A6" w:rsidRDefault="00000000" w14:paraId="5DAA15FC" wp14:textId="13292004">
      <w:pPr>
        <w:jc w:val="both"/>
      </w:pPr>
      <w:r w:rsidRPr="315626A6" w:rsidR="315626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>ESPECIFICACIONES TÉCNICAS:</w:t>
      </w:r>
    </w:p>
    <w:p xmlns:wp14="http://schemas.microsoft.com/office/word/2010/wordml" w:rsidRPr="00000000" w:rsidR="00000000" w:rsidDel="00000000" w:rsidP="315626A6" w:rsidRDefault="00000000" w14:paraId="1705FE92" wp14:textId="6C7E0424">
      <w:pPr>
        <w:ind w:firstLine="708"/>
        <w:jc w:val="both"/>
      </w:pP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Aspecto Físico: Líquido, lechoso, viscoso de olor característico. </w:t>
      </w:r>
    </w:p>
    <w:p xmlns:wp14="http://schemas.microsoft.com/office/word/2010/wordml" w:rsidRPr="00000000" w:rsidR="00000000" w:rsidDel="00000000" w:rsidP="315626A6" w:rsidRDefault="00000000" w14:paraId="668A5AC0" wp14:textId="60ED27A8">
      <w:pPr>
        <w:ind w:left="2124" w:hanging="2124"/>
        <w:jc w:val="both"/>
      </w:pP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>Composición:       Cloruro de amonio de cuaternario de 5ª generación,       Triclosan, Etanol, Nonil fenol, etc.</w:t>
      </w:r>
    </w:p>
    <w:p xmlns:wp14="http://schemas.microsoft.com/office/word/2010/wordml" w:rsidRPr="00000000" w:rsidR="00000000" w:rsidDel="00000000" w:rsidP="315626A6" w:rsidRDefault="00000000" w14:paraId="7E1077A3" wp14:textId="72E2FFAD">
      <w:pPr>
        <w:ind w:left="2124" w:hanging="2124"/>
        <w:jc w:val="both"/>
      </w:pP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>Estabilidad: El producto concentrado una vez disuelto puede precipitar por lo tanto necesita agitar antes de usar.</w:t>
      </w:r>
    </w:p>
    <w:p xmlns:wp14="http://schemas.microsoft.com/office/word/2010/wordml" w:rsidRPr="00000000" w:rsidR="00000000" w:rsidDel="00000000" w:rsidP="315626A6" w:rsidRDefault="00000000" w14:paraId="71A959E5" wp14:textId="18F29BBE">
      <w:pPr>
        <w:ind w:left="2124" w:hanging="2124"/>
        <w:jc w:val="both"/>
      </w:pP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>Vida útil: 40 meses, siempre y cuando se mantenga tapado durante el uso.</w:t>
      </w:r>
    </w:p>
    <w:p xmlns:wp14="http://schemas.microsoft.com/office/word/2010/wordml" w:rsidRPr="00000000" w:rsidR="00000000" w:rsidDel="00000000" w:rsidP="315626A6" w:rsidRDefault="00000000" w14:paraId="6394AC1F" wp14:textId="559738F7">
      <w:pPr>
        <w:ind w:firstLine="708"/>
        <w:jc w:val="both"/>
      </w:pP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Condiciones de </w:t>
      </w:r>
    </w:p>
    <w:p xmlns:wp14="http://schemas.microsoft.com/office/word/2010/wordml" w:rsidRPr="00000000" w:rsidR="00000000" w:rsidDel="00000000" w:rsidP="315626A6" w:rsidRDefault="00000000" w14:paraId="143F890E" wp14:textId="39EA2A95">
      <w:pPr>
        <w:ind w:left="2124" w:hanging="2124"/>
        <w:jc w:val="both"/>
      </w:pP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>Almacenamiento: Manténgase bien tapado, en sitio fresco, protegido de la luz y lejos del alcance de los niños.</w:t>
      </w:r>
    </w:p>
    <w:p xmlns:wp14="http://schemas.microsoft.com/office/word/2010/wordml" w:rsidRPr="00000000" w:rsidR="00000000" w:rsidDel="00000000" w:rsidP="315626A6" w:rsidRDefault="00000000" w14:paraId="0495D6AE" wp14:textId="0B7B94CA">
      <w:pPr>
        <w:ind w:firstLine="708"/>
        <w:jc w:val="both"/>
      </w:pP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Presentaciones: </w:t>
      </w:r>
    </w:p>
    <w:p xmlns:wp14="http://schemas.microsoft.com/office/word/2010/wordml" w:rsidRPr="00000000" w:rsidR="00000000" w:rsidDel="00000000" w:rsidP="315626A6" w:rsidRDefault="00000000" w14:paraId="1BA9CA49" wp14:textId="68E8B52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>1 Litro = diluye uno a uno.</w:t>
      </w:r>
    </w:p>
    <w:p xmlns:wp14="http://schemas.microsoft.com/office/word/2010/wordml" w:rsidRPr="00000000" w:rsidR="00000000" w:rsidDel="00000000" w:rsidP="315626A6" w:rsidRDefault="00000000" w14:paraId="270E8F60" wp14:textId="0B23F45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15626A6" w:rsidR="315626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"/>
        </w:rPr>
        <w:t>1 Lt. Concentrado = diluye en 200 Lts.</w:t>
      </w:r>
    </w:p>
    <w:p xmlns:wp14="http://schemas.microsoft.com/office/word/2010/wordml" w:rsidRPr="00000000" w:rsidR="00000000" w:rsidDel="00000000" w:rsidP="315626A6" w:rsidRDefault="00000000" w14:paraId="21B93952" wp14:textId="46A94540">
      <w:pPr>
        <w:pStyle w:val="Normal"/>
      </w:pPr>
      <w:r>
        <w:br/>
      </w:r>
    </w:p>
    <w:sectPr>
      <w:headerReference w:type="default" r:id="rId7"/>
      <w:footerReference w:type="default" r:id="rId8"/>
      <w:pgSz w:w="11909" w:h="16834" w:orient="portrait"/>
      <w:pgMar w:top="567" w:right="567" w:bottom="567" w:left="567" w:header="285" w:footer="3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03" wp14:textId="77777777">
    <w:pPr>
      <w:jc w:val="center"/>
      <w:rPr>
        <w:color w:val="b45f06"/>
      </w:rPr>
    </w:pPr>
    <w:r w:rsidRPr="00000000" w:rsidDel="00000000" w:rsidR="00000000">
      <w:rPr>
        <w:color w:val="b45f06"/>
        <w:rtl w:val="0"/>
      </w:rPr>
      <w:t xml:space="preserve">Dirección: Av. Ecológica Inicio s/n </w:t>
    </w:r>
    <w:r w:rsidRPr="00000000" w:rsidDel="00000000" w:rsidR="00000000">
      <w:rPr>
        <w:color w:val="b45f06"/>
        <w:rtl w:val="0"/>
      </w:rPr>
      <w:br w:type="textWrapping"/>
    </w:r>
    <w:r w:rsidRPr="00000000" w:rsidDel="00000000" w:rsidR="00000000">
      <w:rPr>
        <w:color w:val="b45f06"/>
        <w:rtl w:val="0"/>
      </w:rPr>
      <w:t xml:space="preserve">Teléfonos: 70766827-72742497</w:t>
    </w:r>
    <w:r w:rsidRPr="00000000" w:rsidDel="00000000" w:rsidR="00000000">
      <w:rPr>
        <w:color w:val="b45f06"/>
        <w:rtl w:val="0"/>
      </w:rPr>
      <w:br w:type="textWrapping"/>
    </w:r>
    <w:r w:rsidRPr="00000000" w:rsidDel="00000000" w:rsidR="00000000">
      <w:rPr>
        <w:color w:val="b45f06"/>
        <w:rtl w:val="0"/>
      </w:rPr>
      <w:t xml:space="preserve">Cochabamba - Bolivia 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02" wp14:textId="77777777">
    <w:pPr>
      <w:ind w:hanging="850.3937007874016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6635C2A5" wp14:editId="7777777">
          <wp:extent cx="1243013" cy="768580"/>
          <wp:effectExtent l="0" t="0" r="0" b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243013" cy="76858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9F8522A"/>
  <w15:docId w15:val="{f7403167-7607-46be-a93d-3d8e43605953}"/>
  <w:rsids>
    <w:rsidRoot w:val="349BF291"/>
    <w:rsid w:val="315626A6"/>
    <w:rsid w:val="349BF291"/>
    <w:rsid w:val="79F8522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header" Target="header1.xml" Id="rId7" /><Relationship Type="http://schemas.openxmlformats.org/officeDocument/2006/relationships/footer" Target="footer1.xml" Id="rId8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