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一、基金概況</w:t>
      </w:r>
    </w:p>
    <w:p>
      <w:r>
        <w:t>本基金於民國80年成立。</w:t>
      </w:r>
    </w:p>
    <w:p>
      <w:r>
        <w:t>（一）營運計畫主要內容</w:t>
      </w:r>
    </w:p>
    <w:p>
      <w:r>
        <w:t>計畫內容如下。</w:t>
      </w:r>
    </w:p>
  </w:body>
</w:document>
</file>