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sz w:val="32"/>
        </w:rPr>
        <w:t>測試政事基金</w:t>
      </w:r>
    </w:p>
    <w:p>
      <w:pPr>
        <w:jc w:val="left"/>
      </w:pPr>
      <w:r>
        <w:rPr>
          <w:rFonts w:ascii="Microsoft JhengHei" w:hAnsi="Microsoft JhengHei"/>
          <w:b w:val="0"/>
          <w:sz w:val="24"/>
        </w:rPr>
        <w:t>本年度基金來源5億元</w:t>
      </w:r>
    </w:p>
    <w:p>
      <w:pPr>
        <w:jc w:val="left"/>
      </w:pPr>
      <w:r>
        <w:rPr>
          <w:rFonts w:ascii="Microsoft JhengHei" w:hAnsi="Microsoft JhengHei"/>
          <w:b w:val="0"/>
          <w:sz w:val="24"/>
        </w:rPr>
        <w:t>本年度基金用途4億2,000萬元</w:t>
      </w:r>
    </w:p>
    <w:p>
      <w:pPr>
        <w:jc w:val="left"/>
      </w:pPr>
      <w:r>
        <w:rPr>
          <w:rFonts w:ascii="Microsoft JhengHei" w:hAnsi="Microsoft JhengHei"/>
          <w:b w:val="0"/>
          <w:sz w:val="24"/>
        </w:rPr>
        <w:t>相抵後，賸餘8,000萬元</w:t>
      </w:r>
    </w:p>
    <w:p>
      <w:pPr>
        <w:jc w:val="left"/>
      </w:pPr>
      <w:r>
        <w:rPr>
          <w:rFonts w:ascii="Microsoft JhengHei" w:hAnsi="Microsoft JhengHei"/>
          <w:b w:val="0"/>
          <w:sz w:val="24"/>
        </w:rPr>
        <w:t>解繳公庫1,000萬元</w:t>
      </w:r>
    </w:p>
    <w:p>
      <w:pPr>
        <w:jc w:val="left"/>
      </w:pPr>
      <w:r>
        <w:rPr>
          <w:rFonts w:ascii="Microsoft JhengHei" w:hAnsi="Microsoft JhengHei"/>
          <w:b w:val="0"/>
          <w:sz w:val="24"/>
        </w:rPr>
        <w:t>以前年度基金餘額2億元</w:t>
      </w:r>
    </w:p>
    <w:p>
      <w:pPr>
        <w:jc w:val="left"/>
      </w:pPr>
      <w:r>
        <w:rPr>
          <w:rFonts w:ascii="Microsoft JhengHei" w:hAnsi="Microsoft JhengHei"/>
          <w:b w:val="0"/>
          <w:sz w:val="24"/>
        </w:rPr>
        <w:t>共有基金餘額2億7,000萬元。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