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4548E3" w14:textId="2779F919" w:rsidR="004564E8" w:rsidRDefault="00287752">
      <w:pPr>
        <w:pStyle w:val="Title"/>
      </w:pPr>
      <w:r>
        <w:t>T</w:t>
      </w:r>
      <w:r w:rsidR="00435F38">
        <w:t>oward a better</w:t>
      </w:r>
      <w:r>
        <w:t xml:space="preserve"> understanding </w:t>
      </w:r>
      <w:r w:rsidR="00435F38">
        <w:t xml:space="preserve">of </w:t>
      </w:r>
      <w:r>
        <w:t>variation in the amount of leaf area in vegetation</w:t>
      </w:r>
    </w:p>
    <w:p w14:paraId="520A0388" w14:textId="77777777" w:rsidR="004564E8" w:rsidRDefault="00287752">
      <w:pPr>
        <w:pStyle w:val="Author"/>
      </w:pPr>
      <w:r>
        <w:t>William K. Cornwell</w:t>
      </w:r>
      <w:r w:rsidR="000E096D">
        <w:t>, UNSW</w:t>
      </w:r>
    </w:p>
    <w:p w14:paraId="7E426F96" w14:textId="3BBE6657" w:rsidR="003D5239" w:rsidRDefault="003D5239" w:rsidP="003D5239">
      <w:pPr>
        <w:widowControl w:val="0"/>
        <w:autoSpaceDE w:val="0"/>
        <w:autoSpaceDN w:val="0"/>
        <w:adjustRightInd w:val="0"/>
        <w:spacing w:before="0" w:after="240"/>
        <w:jc w:val="center"/>
        <w:rPr>
          <w:rFonts w:ascii="Times" w:hAnsi="Times" w:cs="Times"/>
        </w:rPr>
      </w:pPr>
      <w:r>
        <w:rPr>
          <w:rFonts w:ascii="Times" w:hAnsi="Times" w:cs="Times"/>
          <w:i/>
          <w:iCs/>
          <w:sz w:val="22"/>
          <w:szCs w:val="22"/>
        </w:rPr>
        <w:t>Ecology and Evolution Research Centre, School of Biological, Earth and Environmental Sciences, University of</w:t>
      </w:r>
      <w:r>
        <w:rPr>
          <w:rFonts w:ascii="Times" w:hAnsi="Times" w:cs="Times"/>
        </w:rPr>
        <w:t xml:space="preserve"> </w:t>
      </w:r>
      <w:r>
        <w:rPr>
          <w:rFonts w:ascii="Times" w:hAnsi="Times" w:cs="Times"/>
          <w:i/>
          <w:iCs/>
          <w:sz w:val="22"/>
          <w:szCs w:val="22"/>
        </w:rPr>
        <w:t>New South Wales, Sydney, NSW 2052, Australia. Email for correspondence: wcornwell@gmail.com,</w:t>
      </w:r>
    </w:p>
    <w:p w14:paraId="633404F1" w14:textId="77777777" w:rsidR="003D5239" w:rsidRPr="003D5239" w:rsidRDefault="003D5239" w:rsidP="003D5239">
      <w:pPr>
        <w:jc w:val="center"/>
      </w:pPr>
    </w:p>
    <w:p w14:paraId="653654CA" w14:textId="77777777" w:rsidR="000E096D" w:rsidRPr="003D5239" w:rsidRDefault="000E096D" w:rsidP="000E096D">
      <w:pPr>
        <w:rPr>
          <w:b/>
        </w:rPr>
      </w:pPr>
      <w:r w:rsidRPr="003D5239">
        <w:rPr>
          <w:b/>
        </w:rPr>
        <w:t>Summary:</w:t>
      </w:r>
    </w:p>
    <w:p w14:paraId="258EB3A0" w14:textId="59FDB87C" w:rsidR="000E096D" w:rsidRDefault="00023F75" w:rsidP="000E096D">
      <w:r>
        <w:t>An</w:t>
      </w:r>
      <w:r w:rsidR="003D5239">
        <w:t xml:space="preserve"> unsolved problem in vegetation ecology is to characterize the variation in leaf area index (LAI).  A key limitation is the lack of high-quality, geographically diverse, multi-biome training datasets. </w:t>
      </w:r>
      <w:proofErr w:type="spellStart"/>
      <w:r>
        <w:t>Döbert</w:t>
      </w:r>
      <w:proofErr w:type="spellEnd"/>
      <w:r>
        <w:t xml:space="preserve"> et al., this issue of the Journal of Vegetation Science, </w:t>
      </w:r>
      <w:r w:rsidR="00435F38">
        <w:t>link</w:t>
      </w:r>
      <w:r w:rsidRPr="00023F75">
        <w:t xml:space="preserve"> a classic </w:t>
      </w:r>
      <w:r>
        <w:t xml:space="preserve">vegetation description </w:t>
      </w:r>
      <w:r w:rsidR="00E614DC">
        <w:t>method</w:t>
      </w:r>
      <w:r w:rsidRPr="00023F75">
        <w:t xml:space="preserve"> to </w:t>
      </w:r>
      <w:r>
        <w:t>LAI</w:t>
      </w:r>
      <w:r w:rsidR="00E614DC">
        <w:t>. This potentially</w:t>
      </w:r>
      <w:r>
        <w:t xml:space="preserve"> add</w:t>
      </w:r>
      <w:r w:rsidR="00E614DC">
        <w:t>s</w:t>
      </w:r>
      <w:r>
        <w:t xml:space="preserve"> a new </w:t>
      </w:r>
      <w:r w:rsidR="00E614DC">
        <w:t>tool</w:t>
      </w:r>
      <w:r>
        <w:t xml:space="preserve"> to the ground and remote approaches</w:t>
      </w:r>
      <w:r w:rsidR="003D5239">
        <w:t>.</w:t>
      </w:r>
    </w:p>
    <w:p w14:paraId="44E8A762" w14:textId="77777777" w:rsidR="003D5239" w:rsidRDefault="003D5239" w:rsidP="000E096D"/>
    <w:p w14:paraId="6E8DB5CC" w14:textId="6EFCC034" w:rsidR="000E096D" w:rsidRPr="003D5239" w:rsidRDefault="003D5239" w:rsidP="000E096D">
      <w:pPr>
        <w:rPr>
          <w:b/>
        </w:rPr>
      </w:pPr>
      <w:r w:rsidRPr="003D5239">
        <w:rPr>
          <w:b/>
        </w:rPr>
        <w:t>Main text:</w:t>
      </w:r>
    </w:p>
    <w:p w14:paraId="4D84478C" w14:textId="030AA262" w:rsidR="004564E8" w:rsidRDefault="00287752">
      <w:r>
        <w:t xml:space="preserve">The amount of leaf area per ground area (leaf area index, LAI) in different vegetation types has long been </w:t>
      </w:r>
      <w:proofErr w:type="spellStart"/>
      <w:r>
        <w:t>recognised</w:t>
      </w:r>
      <w:proofErr w:type="spellEnd"/>
      <w:r>
        <w:t xml:space="preserve"> as a key variable in vegetation ecology. Very early in the development of plant ecology it became clear that the amount and distribution of leaf area influences both the production at the stand level and regeneration. However, despite its clear ecological importance and decades of research, LAI is still not easy or simple to quantify. Braun-</w:t>
      </w:r>
      <w:proofErr w:type="spellStart"/>
      <w:r>
        <w:t>Blanquet</w:t>
      </w:r>
      <w:proofErr w:type="spellEnd"/>
      <w:r>
        <w:t xml:space="preserve"> (1932) proposed a semi-quantitative method for estimating cover. In this issue, </w:t>
      </w:r>
      <w:proofErr w:type="spellStart"/>
      <w:r>
        <w:t>Döbert</w:t>
      </w:r>
      <w:proofErr w:type="spellEnd"/>
      <w:r>
        <w:t xml:space="preserve"> et al. (2015) build on the Braun-</w:t>
      </w:r>
      <w:proofErr w:type="spellStart"/>
      <w:r>
        <w:t>Blanquet</w:t>
      </w:r>
      <w:proofErr w:type="spellEnd"/>
      <w:r>
        <w:t xml:space="preserve"> (1932) method, developing a relationship between it and a destructive measure of LAI in the understory of a tropical forest, connecting a classic approach to a modern problem. To understand where this fits in the literature it is worth considering exactly why LAI is crucial for vegetation ecology.</w:t>
      </w:r>
    </w:p>
    <w:p w14:paraId="66B9AA30" w14:textId="1CDC3A25" w:rsidR="004564E8" w:rsidRDefault="00287752">
      <w:r>
        <w:t xml:space="preserve">In an extremely prescient paper, </w:t>
      </w:r>
      <w:proofErr w:type="spellStart"/>
      <w:r>
        <w:t>Monsi</w:t>
      </w:r>
      <w:proofErr w:type="spellEnd"/>
      <w:r>
        <w:t xml:space="preserve"> and Saeki (1953) laid out a number of ideas that have since become key parts of modern vegetation ecology, including a quantitative understanding of leaf area index and its effect on light penetration through the canopy. (Note: this paper was originally published in German in the Japanese Journal of Botany and translated into English by Marcus </w:t>
      </w:r>
      <w:proofErr w:type="spellStart"/>
      <w:r>
        <w:t>Schortemeyer</w:t>
      </w:r>
      <w:proofErr w:type="spellEnd"/>
      <w:r>
        <w:t xml:space="preserve"> with the translation published in Annals of Botany in 2005.) Considering the energetics of the system as a whole, one of the key observations of </w:t>
      </w:r>
      <w:proofErr w:type="spellStart"/>
      <w:r>
        <w:t>Monsi</w:t>
      </w:r>
      <w:proofErr w:type="spellEnd"/>
      <w:r>
        <w:t xml:space="preserve"> and Saeki (1953) was that the dynamics at the bottom of the understory are inextricably linked to those at the top—in the darkest of the </w:t>
      </w:r>
      <w:proofErr w:type="spellStart"/>
      <w:r>
        <w:t>Japenese</w:t>
      </w:r>
      <w:proofErr w:type="spellEnd"/>
      <w:r>
        <w:t xml:space="preserve"> systems they studied, the bamboo forests, the understory species were becoming light–starved and etiolated. This is in some ways a special case of the regeneration niche </w:t>
      </w:r>
      <w:proofErr w:type="spellStart"/>
      <w:r>
        <w:rPr>
          <w:i/>
        </w:rPr>
        <w:t>sensu</w:t>
      </w:r>
      <w:proofErr w:type="spellEnd"/>
      <w:r>
        <w:t xml:space="preserve"> Grubb (1977), </w:t>
      </w:r>
      <w:r>
        <w:lastRenderedPageBreak/>
        <w:t xml:space="preserve">with leaf area and light penetration playing a key role (see also </w:t>
      </w:r>
      <w:proofErr w:type="spellStart"/>
      <w:r>
        <w:t>Valladares</w:t>
      </w:r>
      <w:proofErr w:type="spellEnd"/>
      <w:r>
        <w:t xml:space="preserve"> and </w:t>
      </w:r>
      <w:proofErr w:type="spellStart"/>
      <w:r>
        <w:t>Niinemets</w:t>
      </w:r>
      <w:proofErr w:type="spellEnd"/>
      <w:r>
        <w:t xml:space="preserve"> 2008). Thus, a full understanding of both community composition, stand dynamics, and evolution of photosynthetic traits rests on an understanding of the dynamics of </w:t>
      </w:r>
      <w:r w:rsidR="00E614DC">
        <w:t>LAI</w:t>
      </w:r>
      <w:r>
        <w:t>.</w:t>
      </w:r>
    </w:p>
    <w:p w14:paraId="7BC2D597" w14:textId="2DAE82CD" w:rsidR="004564E8" w:rsidRDefault="00287752">
      <w:r>
        <w:t>LAI at the stand level is, with few exceptions, an emergent feature of multiple species and multiple functional groups. Some species make much higher LAI canopy compared to co-occurring species (</w:t>
      </w:r>
      <w:proofErr w:type="spellStart"/>
      <w:r>
        <w:t>Kassnacht</w:t>
      </w:r>
      <w:proofErr w:type="spellEnd"/>
      <w:r>
        <w:t xml:space="preserve"> and Gower 1997). If the tendency to make a dense, high LAI canopy is also associated with the ability to regenerate at very low light conditions, this can, in certain conditions, represent a mechanism of positive density dependence, which may also be called “niche construction” (</w:t>
      </w:r>
      <w:proofErr w:type="spellStart"/>
      <w:r>
        <w:rPr>
          <w:i/>
        </w:rPr>
        <w:t>sensu</w:t>
      </w:r>
      <w:proofErr w:type="spellEnd"/>
      <w:r>
        <w:t xml:space="preserve"> </w:t>
      </w:r>
      <w:proofErr w:type="spellStart"/>
      <w:r>
        <w:t>Odling-Smee</w:t>
      </w:r>
      <w:proofErr w:type="spellEnd"/>
      <w:r w:rsidR="00E614DC">
        <w:t xml:space="preserve"> et al.</w:t>
      </w:r>
      <w:r>
        <w:t xml:space="preserve"> 2003). However, especially in diverse systems it is rarely that simple: there is often a large suite of shade–tolerant species all seeking to regenerate in the limited opportunities (</w:t>
      </w:r>
      <w:proofErr w:type="spellStart"/>
      <w:r>
        <w:t>Valladares</w:t>
      </w:r>
      <w:proofErr w:type="spellEnd"/>
      <w:r>
        <w:t xml:space="preserve"> and </w:t>
      </w:r>
      <w:proofErr w:type="spellStart"/>
      <w:r>
        <w:t>Niinemets</w:t>
      </w:r>
      <w:proofErr w:type="spellEnd"/>
      <w:r>
        <w:t xml:space="preserve"> 2008).</w:t>
      </w:r>
    </w:p>
    <w:p w14:paraId="2ED60E8F" w14:textId="6A9673FA" w:rsidR="004564E8" w:rsidRDefault="00287752">
      <w:r>
        <w:t>Because the area of leaves affect</w:t>
      </w:r>
      <w:r w:rsidR="00030010">
        <w:t>s</w:t>
      </w:r>
      <w:r>
        <w:t xml:space="preserve"> fluxes of both water and carbon, there is also a key role for LAI in certain implementations of dynamic global vegetation models (</w:t>
      </w:r>
      <w:bookmarkStart w:id="0" w:name="_GoBack"/>
      <w:bookmarkEnd w:id="0"/>
      <w:r>
        <w:t>Murray-</w:t>
      </w:r>
      <w:proofErr w:type="spellStart"/>
      <w:r>
        <w:t>Tortarolo</w:t>
      </w:r>
      <w:proofErr w:type="spellEnd"/>
      <w:r>
        <w:t xml:space="preserve"> et al. 2013). Given the utility of LAI for community, ecosystem, and global processes, there has been a great deal of interest in generating better spatial and temporal datasets. However, there is not one agreed upon method: there are a variety of approaches from both the ground and remote sensing (</w:t>
      </w:r>
      <w:proofErr w:type="spellStart"/>
      <w:r w:rsidR="00E614DC">
        <w:t>Bréda</w:t>
      </w:r>
      <w:proofErr w:type="spellEnd"/>
      <w:r w:rsidR="00E614DC">
        <w:t xml:space="preserve"> 2003; </w:t>
      </w:r>
      <w:proofErr w:type="spellStart"/>
      <w:r>
        <w:t>Jonckheere</w:t>
      </w:r>
      <w:proofErr w:type="spellEnd"/>
      <w:r>
        <w:t xml:space="preserve"> et al. 2004) and a significant hurdle in temporal variability, both seasonal and successional. Remote sensing products now exist for LAI at the global scale, but the training datasets are largely in North America and so its application to other regions introduces a large amount of error (e.g. for Australia see Hill et al. 2006). Moreover, the accuracy in other regions has also not been well tested, especially in areas were leaf area responds strongly to recent precipitation (or lack thereof). Clearly the next generation of remotely sensed LAI products could use more geographically extensive and diverse training data.</w:t>
      </w:r>
    </w:p>
    <w:p w14:paraId="2D7D0D25" w14:textId="7AF5FF5C" w:rsidR="003D5239" w:rsidRDefault="00287752">
      <w:r>
        <w:t xml:space="preserve">If the techniques presented by </w:t>
      </w:r>
      <w:proofErr w:type="spellStart"/>
      <w:r>
        <w:t>Döbert</w:t>
      </w:r>
      <w:proofErr w:type="spellEnd"/>
      <w:r>
        <w:t xml:space="preserve"> et al. (2015) are further developed, expanded to include the canopy, there may be a way forward to more extensive—in both space and time—datasets of LAI. Importantly, different approaches work better in different ecosystems—savannahs and woodlands, for example, require a different toolkits than forests (Fuentes et al. 2008). Fully understanding empirical variation in LAI will require a diverse array of ground and remote approaches.</w:t>
      </w:r>
    </w:p>
    <w:p w14:paraId="316E1D02" w14:textId="12088C32" w:rsidR="003D5239" w:rsidRDefault="003D5239">
      <w:r>
        <w:t>Fig</w:t>
      </w:r>
      <w:r w:rsidR="008F4360">
        <w:t>. 1.</w:t>
      </w:r>
      <w:r>
        <w:t xml:space="preserve"> </w:t>
      </w:r>
    </w:p>
    <w:p w14:paraId="685BA406" w14:textId="60C410DB" w:rsidR="003D5239" w:rsidRPr="003D5239" w:rsidRDefault="003D5239">
      <w:pPr>
        <w:rPr>
          <w:b/>
          <w:bCs/>
        </w:rPr>
      </w:pPr>
      <w:r>
        <w:t xml:space="preserve">Hemispherical photos are one of ecologists’ toolkit for studying leaf area index (LAI).  Photo from </w:t>
      </w:r>
      <w:r w:rsidRPr="003D5239">
        <w:rPr>
          <w:bCs/>
        </w:rPr>
        <w:t>Bavarian Forest National Park</w:t>
      </w:r>
      <w:r>
        <w:rPr>
          <w:bCs/>
        </w:rPr>
        <w:t>, Germany</w:t>
      </w:r>
      <w:r>
        <w:t xml:space="preserve">.  (Photo credit: </w:t>
      </w:r>
      <w:r w:rsidR="00435F38">
        <w:t xml:space="preserve">M. </w:t>
      </w:r>
      <w:proofErr w:type="spellStart"/>
      <w:r>
        <w:t>Wegmann</w:t>
      </w:r>
      <w:proofErr w:type="spellEnd"/>
      <w:r w:rsidR="00435F38">
        <w:t xml:space="preserve"> via </w:t>
      </w:r>
      <w:proofErr w:type="spellStart"/>
      <w:r w:rsidR="00435F38">
        <w:t>WikiMedia</w:t>
      </w:r>
      <w:proofErr w:type="spellEnd"/>
      <w:r w:rsidR="00435F38">
        <w:t xml:space="preserve"> Commons</w:t>
      </w:r>
      <w:r>
        <w:t>)</w:t>
      </w:r>
    </w:p>
    <w:p w14:paraId="4D5C2262" w14:textId="77777777" w:rsidR="000E096D" w:rsidRDefault="000E096D">
      <w:pPr>
        <w:pStyle w:val="Bibliography"/>
        <w:rPr>
          <w:b/>
        </w:rPr>
      </w:pPr>
    </w:p>
    <w:p w14:paraId="629FE071" w14:textId="77777777" w:rsidR="000E096D" w:rsidRPr="000E096D" w:rsidRDefault="000E096D" w:rsidP="000E096D">
      <w:pPr>
        <w:pStyle w:val="Bibliography"/>
        <w:jc w:val="center"/>
        <w:rPr>
          <w:b/>
        </w:rPr>
      </w:pPr>
      <w:r w:rsidRPr="000E096D">
        <w:rPr>
          <w:b/>
        </w:rPr>
        <w:t>REFERENCES:</w:t>
      </w:r>
    </w:p>
    <w:p w14:paraId="2A723CE6" w14:textId="6B1B830B" w:rsidR="004564E8" w:rsidRDefault="00287752">
      <w:pPr>
        <w:pStyle w:val="Bibliography"/>
      </w:pPr>
      <w:proofErr w:type="gramStart"/>
      <w:r>
        <w:lastRenderedPageBreak/>
        <w:t>Braun-</w:t>
      </w:r>
      <w:proofErr w:type="spellStart"/>
      <w:r>
        <w:t>Blanquet</w:t>
      </w:r>
      <w:proofErr w:type="spellEnd"/>
      <w:r>
        <w:t>, J</w:t>
      </w:r>
      <w:r w:rsidR="00CA2103">
        <w:t>.</w:t>
      </w:r>
      <w:r>
        <w:t xml:space="preserve"> 1932.</w:t>
      </w:r>
      <w:proofErr w:type="gramEnd"/>
      <w:r>
        <w:t xml:space="preserve"> </w:t>
      </w:r>
      <w:r>
        <w:rPr>
          <w:i/>
        </w:rPr>
        <w:t xml:space="preserve">Plant </w:t>
      </w:r>
      <w:r w:rsidR="00450F74">
        <w:rPr>
          <w:i/>
        </w:rPr>
        <w:t>s</w:t>
      </w:r>
      <w:r>
        <w:rPr>
          <w:i/>
        </w:rPr>
        <w:t xml:space="preserve">ociology. </w:t>
      </w:r>
      <w:proofErr w:type="gramStart"/>
      <w:r>
        <w:rPr>
          <w:i/>
        </w:rPr>
        <w:t xml:space="preserve">The </w:t>
      </w:r>
      <w:r w:rsidR="00450F74">
        <w:rPr>
          <w:i/>
        </w:rPr>
        <w:t>s</w:t>
      </w:r>
      <w:r>
        <w:rPr>
          <w:i/>
        </w:rPr>
        <w:t xml:space="preserve">tudy of </w:t>
      </w:r>
      <w:r w:rsidR="00450F74">
        <w:rPr>
          <w:i/>
        </w:rPr>
        <w:t>p</w:t>
      </w:r>
      <w:r>
        <w:rPr>
          <w:i/>
        </w:rPr>
        <w:t xml:space="preserve">lant </w:t>
      </w:r>
      <w:r w:rsidR="00450F74">
        <w:rPr>
          <w:i/>
        </w:rPr>
        <w:t>c</w:t>
      </w:r>
      <w:r>
        <w:rPr>
          <w:i/>
        </w:rPr>
        <w:t>ommunities.</w:t>
      </w:r>
      <w:proofErr w:type="gramEnd"/>
      <w:r>
        <w:rPr>
          <w:i/>
        </w:rPr>
        <w:t xml:space="preserve"> </w:t>
      </w:r>
      <w:r>
        <w:t>McGraw-Hill Book Co</w:t>
      </w:r>
      <w:r w:rsidR="00CA2103">
        <w:t>mpany</w:t>
      </w:r>
      <w:r>
        <w:t>, New York</w:t>
      </w:r>
      <w:r w:rsidR="00CA2103">
        <w:t>, NY, US</w:t>
      </w:r>
      <w:r>
        <w:t>.</w:t>
      </w:r>
    </w:p>
    <w:p w14:paraId="7B9701F7" w14:textId="1E725D24" w:rsidR="004564E8" w:rsidRDefault="00287752">
      <w:pPr>
        <w:pStyle w:val="Bibliography"/>
      </w:pPr>
      <w:proofErr w:type="spellStart"/>
      <w:r>
        <w:t>Bréda</w:t>
      </w:r>
      <w:proofErr w:type="spellEnd"/>
      <w:r>
        <w:t>, N</w:t>
      </w:r>
      <w:r w:rsidR="00450F74">
        <w:t>.</w:t>
      </w:r>
      <w:r>
        <w:t>J</w:t>
      </w:r>
      <w:r w:rsidR="00450F74">
        <w:t>.</w:t>
      </w:r>
      <w:r>
        <w:t>J. 2003. Ground-</w:t>
      </w:r>
      <w:r w:rsidR="00450F74">
        <w:t>b</w:t>
      </w:r>
      <w:r>
        <w:t xml:space="preserve">ased </w:t>
      </w:r>
      <w:r w:rsidR="00450F74">
        <w:t>m</w:t>
      </w:r>
      <w:r>
        <w:t xml:space="preserve">easurements of Leaf Area Index: A </w:t>
      </w:r>
      <w:r w:rsidR="00450F74">
        <w:t>r</w:t>
      </w:r>
      <w:r>
        <w:t xml:space="preserve">eview of </w:t>
      </w:r>
      <w:r w:rsidR="00450F74">
        <w:t>m</w:t>
      </w:r>
      <w:r>
        <w:t xml:space="preserve">ethods, </w:t>
      </w:r>
      <w:r w:rsidR="00450F74">
        <w:t>i</w:t>
      </w:r>
      <w:r>
        <w:t xml:space="preserve">nstruments and </w:t>
      </w:r>
      <w:r w:rsidR="00450F74">
        <w:t>c</w:t>
      </w:r>
      <w:r>
        <w:t xml:space="preserve">urrent </w:t>
      </w:r>
      <w:r w:rsidR="00450F74">
        <w:t>c</w:t>
      </w:r>
      <w:r>
        <w:t xml:space="preserve">ontroversies. </w:t>
      </w:r>
      <w:proofErr w:type="gramStart"/>
      <w:r>
        <w:rPr>
          <w:i/>
        </w:rPr>
        <w:t>Journal of Experimental Botany</w:t>
      </w:r>
      <w:r>
        <w:t xml:space="preserve"> 54</w:t>
      </w:r>
      <w:r>
        <w:t>: 2403–</w:t>
      </w:r>
      <w:r w:rsidR="00450F74">
        <w:t>24</w:t>
      </w:r>
      <w:r>
        <w:t>17.</w:t>
      </w:r>
      <w:proofErr w:type="gramEnd"/>
    </w:p>
    <w:p w14:paraId="6B336CB2" w14:textId="26B867A7" w:rsidR="004564E8" w:rsidRDefault="00287752">
      <w:pPr>
        <w:pStyle w:val="Bibliography"/>
      </w:pPr>
      <w:proofErr w:type="spellStart"/>
      <w:r>
        <w:t>Döbert</w:t>
      </w:r>
      <w:proofErr w:type="spellEnd"/>
      <w:r>
        <w:t>, T</w:t>
      </w:r>
      <w:r w:rsidR="00450F74">
        <w:t>.</w:t>
      </w:r>
      <w:r>
        <w:t>F</w:t>
      </w:r>
      <w:r w:rsidR="00450F74">
        <w:t>.</w:t>
      </w:r>
      <w:r>
        <w:t>, Webber</w:t>
      </w:r>
      <w:r w:rsidR="00450F74">
        <w:t>, B.L.</w:t>
      </w:r>
      <w:r>
        <w:t xml:space="preserve">, </w:t>
      </w:r>
      <w:proofErr w:type="spellStart"/>
      <w:r>
        <w:t>Sugau</w:t>
      </w:r>
      <w:proofErr w:type="spellEnd"/>
      <w:r w:rsidR="00450F74">
        <w:t>, J.B.</w:t>
      </w:r>
      <w:r>
        <w:t>, Dickinson</w:t>
      </w:r>
      <w:r w:rsidR="00450F74">
        <w:t>,</w:t>
      </w:r>
      <w:r w:rsidR="00450F74" w:rsidRPr="00450F74">
        <w:t xml:space="preserve"> </w:t>
      </w:r>
      <w:r w:rsidR="00450F74">
        <w:t>K.J.M. &amp;</w:t>
      </w:r>
      <w:r>
        <w:t xml:space="preserve"> </w:t>
      </w:r>
      <w:proofErr w:type="spellStart"/>
      <w:r>
        <w:t>Didham</w:t>
      </w:r>
      <w:proofErr w:type="spellEnd"/>
      <w:r w:rsidR="00450F74">
        <w:t>, R.K</w:t>
      </w:r>
      <w:r>
        <w:t xml:space="preserve">. 2015. Can Leaf Area Index and </w:t>
      </w:r>
      <w:r w:rsidR="00450F74">
        <w:t>b</w:t>
      </w:r>
      <w:r>
        <w:t xml:space="preserve">iomass </w:t>
      </w:r>
      <w:r w:rsidR="00450F74">
        <w:t>b</w:t>
      </w:r>
      <w:r>
        <w:t xml:space="preserve">e </w:t>
      </w:r>
      <w:r w:rsidR="00450F74">
        <w:t>e</w:t>
      </w:r>
      <w:r>
        <w:t>stimated from Braun-</w:t>
      </w:r>
      <w:proofErr w:type="spellStart"/>
      <w:r>
        <w:t>Blanquet</w:t>
      </w:r>
      <w:proofErr w:type="spellEnd"/>
      <w:r>
        <w:t xml:space="preserve"> </w:t>
      </w:r>
      <w:r w:rsidR="00450F74">
        <w:t>c</w:t>
      </w:r>
      <w:r>
        <w:t xml:space="preserve">over </w:t>
      </w:r>
      <w:r w:rsidR="00450F74">
        <w:t>s</w:t>
      </w:r>
      <w:r>
        <w:t xml:space="preserve">cores in </w:t>
      </w:r>
      <w:r w:rsidR="00450F74">
        <w:t>t</w:t>
      </w:r>
      <w:r>
        <w:t xml:space="preserve">ropical </w:t>
      </w:r>
      <w:r w:rsidR="00450F74">
        <w:t>f</w:t>
      </w:r>
      <w:r>
        <w:t xml:space="preserve">orests? </w:t>
      </w:r>
      <w:r>
        <w:rPr>
          <w:i/>
        </w:rPr>
        <w:t>Journal of Vegetation Science</w:t>
      </w:r>
      <w:r w:rsidR="00450F74">
        <w:rPr>
          <w:i/>
        </w:rPr>
        <w:t xml:space="preserve"> </w:t>
      </w:r>
      <w:r w:rsidR="00450F74">
        <w:t>26 [PAGE NUMBERS UPDATED WHEN ISSUE IS COMPILED]</w:t>
      </w:r>
    </w:p>
    <w:p w14:paraId="2EDDCE31" w14:textId="0BD6DA9A" w:rsidR="004564E8" w:rsidRDefault="00287752">
      <w:pPr>
        <w:pStyle w:val="Bibliography"/>
      </w:pPr>
      <w:proofErr w:type="gramStart"/>
      <w:r>
        <w:t>Fuentes, S</w:t>
      </w:r>
      <w:r w:rsidR="002C28B3">
        <w:t>.</w:t>
      </w:r>
      <w:r>
        <w:t>, Palmer</w:t>
      </w:r>
      <w:r w:rsidR="002C28B3">
        <w:t>, A.R.</w:t>
      </w:r>
      <w:r>
        <w:t>, Taylor</w:t>
      </w:r>
      <w:r w:rsidR="002C28B3">
        <w:t>, D.</w:t>
      </w:r>
      <w:r>
        <w:t xml:space="preserve">, </w:t>
      </w:r>
      <w:proofErr w:type="spellStart"/>
      <w:r>
        <w:t>Zeppel</w:t>
      </w:r>
      <w:proofErr w:type="spellEnd"/>
      <w:r w:rsidR="002C28B3">
        <w:t>, M.</w:t>
      </w:r>
      <w:r>
        <w:t>, Whitley</w:t>
      </w:r>
      <w:r w:rsidR="002C28B3">
        <w:t>, R. &amp;</w:t>
      </w:r>
      <w:r>
        <w:t xml:space="preserve"> </w:t>
      </w:r>
      <w:proofErr w:type="spellStart"/>
      <w:r>
        <w:t>Eamus</w:t>
      </w:r>
      <w:proofErr w:type="spellEnd"/>
      <w:r w:rsidR="002C28B3">
        <w:t>, D</w:t>
      </w:r>
      <w:r>
        <w:t>. 2008.</w:t>
      </w:r>
      <w:proofErr w:type="gramEnd"/>
      <w:r>
        <w:t xml:space="preserve"> </w:t>
      </w:r>
      <w:proofErr w:type="gramStart"/>
      <w:r>
        <w:t xml:space="preserve">An </w:t>
      </w:r>
      <w:r w:rsidR="002C28B3">
        <w:t>a</w:t>
      </w:r>
      <w:r>
        <w:t xml:space="preserve">utomated </w:t>
      </w:r>
      <w:r w:rsidR="002C28B3">
        <w:t>p</w:t>
      </w:r>
      <w:r>
        <w:t xml:space="preserve">rocedure for </w:t>
      </w:r>
      <w:r w:rsidR="002C28B3">
        <w:t>e</w:t>
      </w:r>
      <w:r>
        <w:t xml:space="preserve">stimating the Leaf Area Index (LAI) of </w:t>
      </w:r>
      <w:r w:rsidR="002C28B3">
        <w:t>w</w:t>
      </w:r>
      <w:r>
        <w:t xml:space="preserve">oodland </w:t>
      </w:r>
      <w:r w:rsidR="002C28B3">
        <w:t>e</w:t>
      </w:r>
      <w:r>
        <w:t xml:space="preserve">cosystems </w:t>
      </w:r>
      <w:r w:rsidR="002C28B3">
        <w:t>u</w:t>
      </w:r>
      <w:r>
        <w:t xml:space="preserve">sing </w:t>
      </w:r>
      <w:r w:rsidR="002C28B3">
        <w:t>d</w:t>
      </w:r>
      <w:r>
        <w:t xml:space="preserve">igital </w:t>
      </w:r>
      <w:r w:rsidR="002C28B3">
        <w:t>i</w:t>
      </w:r>
      <w:r>
        <w:t xml:space="preserve">magery, MATLAB </w:t>
      </w:r>
      <w:r w:rsidR="002C28B3">
        <w:t>p</w:t>
      </w:r>
      <w:r>
        <w:t xml:space="preserve">rogramming and </w:t>
      </w:r>
      <w:r w:rsidR="002C28B3">
        <w:t>i</w:t>
      </w:r>
      <w:r>
        <w:t xml:space="preserve">ts </w:t>
      </w:r>
      <w:r w:rsidR="002C28B3">
        <w:t>a</w:t>
      </w:r>
      <w:r>
        <w:t xml:space="preserve">pplication to an </w:t>
      </w:r>
      <w:r w:rsidR="002C28B3">
        <w:t>e</w:t>
      </w:r>
      <w:r>
        <w:t xml:space="preserve">xamination of the </w:t>
      </w:r>
      <w:r w:rsidR="002C28B3">
        <w:t>r</w:t>
      </w:r>
      <w:r>
        <w:t xml:space="preserve">elationship </w:t>
      </w:r>
      <w:r w:rsidR="002C28B3">
        <w:t>b</w:t>
      </w:r>
      <w:r>
        <w:t xml:space="preserve">etween </w:t>
      </w:r>
      <w:r w:rsidR="002C28B3">
        <w:t>r</w:t>
      </w:r>
      <w:r>
        <w:t xml:space="preserve">emotely </w:t>
      </w:r>
      <w:r w:rsidR="002C28B3">
        <w:t>s</w:t>
      </w:r>
      <w:r>
        <w:t xml:space="preserve">ensed and </w:t>
      </w:r>
      <w:r w:rsidR="002C28B3">
        <w:t>f</w:t>
      </w:r>
      <w:r>
        <w:t xml:space="preserve">ield </w:t>
      </w:r>
      <w:r w:rsidR="002C28B3">
        <w:t>m</w:t>
      </w:r>
      <w:r>
        <w:t>easurements of LAI.</w:t>
      </w:r>
      <w:proofErr w:type="gramEnd"/>
      <w:r>
        <w:t xml:space="preserve"> </w:t>
      </w:r>
      <w:proofErr w:type="gramStart"/>
      <w:r>
        <w:rPr>
          <w:i/>
        </w:rPr>
        <w:t>Functional Plant Biology</w:t>
      </w:r>
      <w:r>
        <w:t xml:space="preserve"> 35</w:t>
      </w:r>
      <w:r>
        <w:t>: 1070–</w:t>
      </w:r>
      <w:r w:rsidR="00E742DD">
        <w:t>10</w:t>
      </w:r>
      <w:r>
        <w:t>79.</w:t>
      </w:r>
      <w:proofErr w:type="gramEnd"/>
    </w:p>
    <w:p w14:paraId="30B5E7F9" w14:textId="79CAC750" w:rsidR="004564E8" w:rsidRDefault="00287752">
      <w:pPr>
        <w:pStyle w:val="Bibliography"/>
      </w:pPr>
      <w:r>
        <w:t>Grubb, P</w:t>
      </w:r>
      <w:r w:rsidR="002C28B3">
        <w:t>.</w:t>
      </w:r>
      <w:r>
        <w:t xml:space="preserve">J. 1977. The </w:t>
      </w:r>
      <w:r w:rsidR="002C28B3">
        <w:t>m</w:t>
      </w:r>
      <w:r>
        <w:t xml:space="preserve">aintenance of </w:t>
      </w:r>
      <w:r w:rsidR="002C28B3">
        <w:t>s</w:t>
      </w:r>
      <w:r>
        <w:t>pecies-</w:t>
      </w:r>
      <w:r w:rsidR="002C28B3">
        <w:t>r</w:t>
      </w:r>
      <w:r>
        <w:t xml:space="preserve">ichness in </w:t>
      </w:r>
      <w:r w:rsidR="002C28B3">
        <w:t>p</w:t>
      </w:r>
      <w:r>
        <w:t xml:space="preserve">lant </w:t>
      </w:r>
      <w:r w:rsidR="002C28B3">
        <w:t>c</w:t>
      </w:r>
      <w:r>
        <w:t xml:space="preserve">ommunities: </w:t>
      </w:r>
      <w:r w:rsidR="002C28B3">
        <w:t>t</w:t>
      </w:r>
      <w:r>
        <w:t xml:space="preserve">he </w:t>
      </w:r>
      <w:r w:rsidR="002C28B3">
        <w:t>i</w:t>
      </w:r>
      <w:r>
        <w:t xml:space="preserve">mportance of the </w:t>
      </w:r>
      <w:r w:rsidR="002C28B3">
        <w:t>r</w:t>
      </w:r>
      <w:r>
        <w:t xml:space="preserve">egeneration </w:t>
      </w:r>
      <w:r w:rsidR="002C28B3">
        <w:t>n</w:t>
      </w:r>
      <w:r>
        <w:t xml:space="preserve">iche. </w:t>
      </w:r>
      <w:proofErr w:type="gramStart"/>
      <w:r>
        <w:rPr>
          <w:i/>
        </w:rPr>
        <w:t>Biol</w:t>
      </w:r>
      <w:r w:rsidR="002C28B3">
        <w:rPr>
          <w:i/>
        </w:rPr>
        <w:t>ogical</w:t>
      </w:r>
      <w:r>
        <w:rPr>
          <w:i/>
        </w:rPr>
        <w:t xml:space="preserve"> Rev</w:t>
      </w:r>
      <w:r w:rsidR="002C28B3">
        <w:rPr>
          <w:i/>
        </w:rPr>
        <w:t>iews</w:t>
      </w:r>
      <w:r>
        <w:t xml:space="preserve"> 52</w:t>
      </w:r>
      <w:r>
        <w:t>: 107–45.</w:t>
      </w:r>
      <w:proofErr w:type="gramEnd"/>
    </w:p>
    <w:p w14:paraId="4D9119A4" w14:textId="41774790" w:rsidR="004564E8" w:rsidRDefault="00287752">
      <w:pPr>
        <w:pStyle w:val="Bibliography"/>
      </w:pPr>
      <w:proofErr w:type="gramStart"/>
      <w:r>
        <w:t>Hill, M</w:t>
      </w:r>
      <w:r w:rsidR="002C28B3">
        <w:t>.</w:t>
      </w:r>
      <w:r>
        <w:t>J</w:t>
      </w:r>
      <w:r w:rsidR="002C28B3">
        <w:t>.</w:t>
      </w:r>
      <w:r>
        <w:t xml:space="preserve">, </w:t>
      </w:r>
      <w:proofErr w:type="spellStart"/>
      <w:r>
        <w:t>Senarath</w:t>
      </w:r>
      <w:proofErr w:type="spellEnd"/>
      <w:r w:rsidR="002C28B3">
        <w:t>, U.</w:t>
      </w:r>
      <w:r>
        <w:t>, Lee</w:t>
      </w:r>
      <w:r w:rsidR="002C28B3">
        <w:t>, A.</w:t>
      </w:r>
      <w:r>
        <w:t xml:space="preserve">, </w:t>
      </w:r>
      <w:proofErr w:type="spellStart"/>
      <w:r>
        <w:t>Zeppel</w:t>
      </w:r>
      <w:proofErr w:type="spellEnd"/>
      <w:r w:rsidR="002C28B3">
        <w:t>, M.</w:t>
      </w:r>
      <w:r>
        <w:t>, Nightingale</w:t>
      </w:r>
      <w:r w:rsidR="002C28B3">
        <w:t>, J.M.</w:t>
      </w:r>
      <w:r>
        <w:t>, Williams</w:t>
      </w:r>
      <w:r w:rsidR="002C28B3">
        <w:t>, R.D.J. &amp;</w:t>
      </w:r>
      <w:r>
        <w:t xml:space="preserve"> </w:t>
      </w:r>
      <w:proofErr w:type="spellStart"/>
      <w:r>
        <w:t>McVicar</w:t>
      </w:r>
      <w:proofErr w:type="spellEnd"/>
      <w:r w:rsidR="002C28B3">
        <w:t>, T.R</w:t>
      </w:r>
      <w:r>
        <w:t>. 2006.</w:t>
      </w:r>
      <w:proofErr w:type="gramEnd"/>
      <w:r>
        <w:t xml:space="preserve"> </w:t>
      </w:r>
      <w:proofErr w:type="gramStart"/>
      <w:r>
        <w:t xml:space="preserve">Assessment of the MODIS LAI </w:t>
      </w:r>
      <w:r w:rsidR="002C28B3">
        <w:t>p</w:t>
      </w:r>
      <w:r>
        <w:t xml:space="preserve">roduct for Australian </w:t>
      </w:r>
      <w:r w:rsidR="002C28B3">
        <w:t>e</w:t>
      </w:r>
      <w:r>
        <w:t>cosystems.</w:t>
      </w:r>
      <w:proofErr w:type="gramEnd"/>
      <w:r>
        <w:t xml:space="preserve"> </w:t>
      </w:r>
      <w:proofErr w:type="gramStart"/>
      <w:r>
        <w:rPr>
          <w:i/>
        </w:rPr>
        <w:t>Remote Sensing of Environment</w:t>
      </w:r>
      <w:r>
        <w:t xml:space="preserve"> 101</w:t>
      </w:r>
      <w:r>
        <w:t>: 495–518.</w:t>
      </w:r>
      <w:proofErr w:type="gramEnd"/>
    </w:p>
    <w:p w14:paraId="52918EC8" w14:textId="3FD09B51" w:rsidR="004564E8" w:rsidRDefault="00287752">
      <w:pPr>
        <w:pStyle w:val="Bibliography"/>
      </w:pPr>
      <w:proofErr w:type="spellStart"/>
      <w:r>
        <w:t>Jonckheere</w:t>
      </w:r>
      <w:proofErr w:type="spellEnd"/>
      <w:r>
        <w:t>, I</w:t>
      </w:r>
      <w:r w:rsidR="002C28B3">
        <w:t>.</w:t>
      </w:r>
      <w:r>
        <w:t>, Fleck</w:t>
      </w:r>
      <w:r w:rsidR="002C28B3">
        <w:t>, S.</w:t>
      </w:r>
      <w:r>
        <w:t xml:space="preserve">, </w:t>
      </w:r>
      <w:proofErr w:type="spellStart"/>
      <w:r>
        <w:t>Nackaerts</w:t>
      </w:r>
      <w:proofErr w:type="spellEnd"/>
      <w:r w:rsidR="002C28B3">
        <w:t>, K.</w:t>
      </w:r>
      <w:r>
        <w:t xml:space="preserve">, </w:t>
      </w:r>
      <w:proofErr w:type="spellStart"/>
      <w:r>
        <w:t>Muys</w:t>
      </w:r>
      <w:proofErr w:type="spellEnd"/>
      <w:r w:rsidR="002C28B3">
        <w:t>, B.</w:t>
      </w:r>
      <w:r>
        <w:t>, Coppin</w:t>
      </w:r>
      <w:r w:rsidR="002C28B3">
        <w:t>, P.</w:t>
      </w:r>
      <w:r>
        <w:t>, Weiss</w:t>
      </w:r>
      <w:r w:rsidR="002C28B3">
        <w:t>, M. &amp;</w:t>
      </w:r>
      <w:r>
        <w:t xml:space="preserve"> </w:t>
      </w:r>
      <w:proofErr w:type="spellStart"/>
      <w:r>
        <w:t>Baret</w:t>
      </w:r>
      <w:proofErr w:type="spellEnd"/>
      <w:r w:rsidR="002C28B3">
        <w:t>, F</w:t>
      </w:r>
      <w:r>
        <w:t xml:space="preserve">. 2004. Review of </w:t>
      </w:r>
      <w:r w:rsidR="002C28B3">
        <w:t>m</w:t>
      </w:r>
      <w:r>
        <w:t xml:space="preserve">ethods for in </w:t>
      </w:r>
      <w:r w:rsidR="002C28B3">
        <w:t>s</w:t>
      </w:r>
      <w:r>
        <w:t xml:space="preserve">itu Leaf Area Index </w:t>
      </w:r>
      <w:r w:rsidR="002C28B3">
        <w:t>d</w:t>
      </w:r>
      <w:r>
        <w:t xml:space="preserve">etermination: Part I. Theories, </w:t>
      </w:r>
      <w:r w:rsidR="002C28B3">
        <w:t>s</w:t>
      </w:r>
      <w:r>
        <w:t xml:space="preserve">ensors and </w:t>
      </w:r>
      <w:r w:rsidR="002C28B3">
        <w:t>h</w:t>
      </w:r>
      <w:r>
        <w:t xml:space="preserve">emispherical </w:t>
      </w:r>
      <w:r w:rsidR="002C28B3">
        <w:t>p</w:t>
      </w:r>
      <w:r>
        <w:t xml:space="preserve">hotography.” </w:t>
      </w:r>
      <w:proofErr w:type="gramStart"/>
      <w:r>
        <w:rPr>
          <w:i/>
        </w:rPr>
        <w:t>Agricultural and Forest Meteorology</w:t>
      </w:r>
      <w:r>
        <w:t xml:space="preserve"> 121</w:t>
      </w:r>
      <w:r>
        <w:t>: 19–35.</w:t>
      </w:r>
      <w:proofErr w:type="gramEnd"/>
    </w:p>
    <w:p w14:paraId="351F5F35" w14:textId="31FE0029" w:rsidR="004564E8" w:rsidRDefault="00287752">
      <w:pPr>
        <w:pStyle w:val="Bibliography"/>
      </w:pPr>
      <w:proofErr w:type="spellStart"/>
      <w:r>
        <w:t>Kassnacht</w:t>
      </w:r>
      <w:proofErr w:type="spellEnd"/>
      <w:r>
        <w:t>, K</w:t>
      </w:r>
      <w:r w:rsidR="002C28B3">
        <w:t>.</w:t>
      </w:r>
      <w:r>
        <w:t>S</w:t>
      </w:r>
      <w:r w:rsidR="002C28B3">
        <w:t>. &amp;</w:t>
      </w:r>
      <w:r>
        <w:t xml:space="preserve"> Gower</w:t>
      </w:r>
      <w:r w:rsidR="002C28B3">
        <w:t>, S.T</w:t>
      </w:r>
      <w:r>
        <w:t xml:space="preserve">. 1997. </w:t>
      </w:r>
      <w:proofErr w:type="gramStart"/>
      <w:r>
        <w:t xml:space="preserve">Interrelationships </w:t>
      </w:r>
      <w:r w:rsidR="002C28B3">
        <w:t>a</w:t>
      </w:r>
      <w:r>
        <w:t xml:space="preserve">mong the </w:t>
      </w:r>
      <w:r w:rsidR="002C28B3">
        <w:t>e</w:t>
      </w:r>
      <w:r>
        <w:t xml:space="preserve">daphic and </w:t>
      </w:r>
      <w:r w:rsidR="002C28B3">
        <w:t>s</w:t>
      </w:r>
      <w:r>
        <w:t xml:space="preserve">tand </w:t>
      </w:r>
      <w:r w:rsidR="002C28B3">
        <w:t>c</w:t>
      </w:r>
      <w:r>
        <w:t xml:space="preserve">haracteristics, Leaf Area Index, and </w:t>
      </w:r>
      <w:r w:rsidR="002C28B3">
        <w:t>a</w:t>
      </w:r>
      <w:r>
        <w:t xml:space="preserve">boveground </w:t>
      </w:r>
      <w:r w:rsidR="002C28B3">
        <w:t>n</w:t>
      </w:r>
      <w:r>
        <w:t xml:space="preserve">et </w:t>
      </w:r>
      <w:r w:rsidR="002C28B3">
        <w:t>p</w:t>
      </w:r>
      <w:r>
        <w:t xml:space="preserve">rimary </w:t>
      </w:r>
      <w:r w:rsidR="002C28B3">
        <w:t>p</w:t>
      </w:r>
      <w:r>
        <w:t xml:space="preserve">roduction of </w:t>
      </w:r>
      <w:r w:rsidR="002C28B3">
        <w:t>u</w:t>
      </w:r>
      <w:r>
        <w:t xml:space="preserve">pland </w:t>
      </w:r>
      <w:r w:rsidR="002C28B3">
        <w:t>f</w:t>
      </w:r>
      <w:r>
        <w:t xml:space="preserve">orest </w:t>
      </w:r>
      <w:r w:rsidR="002C28B3">
        <w:t>e</w:t>
      </w:r>
      <w:r>
        <w:t>cosystems in North Central Wisconsin.</w:t>
      </w:r>
      <w:proofErr w:type="gramEnd"/>
      <w:r>
        <w:t xml:space="preserve"> </w:t>
      </w:r>
      <w:proofErr w:type="gramStart"/>
      <w:r>
        <w:rPr>
          <w:i/>
        </w:rPr>
        <w:t>Canadian Journal of Forest Research</w:t>
      </w:r>
      <w:r>
        <w:t xml:space="preserve"> 27</w:t>
      </w:r>
      <w:r>
        <w:t>: 1058–</w:t>
      </w:r>
      <w:r w:rsidR="00E742DD">
        <w:t>10</w:t>
      </w:r>
      <w:r>
        <w:t>67.</w:t>
      </w:r>
      <w:proofErr w:type="gramEnd"/>
    </w:p>
    <w:p w14:paraId="0F9431D9" w14:textId="586A849E" w:rsidR="004564E8" w:rsidRDefault="00287752">
      <w:pPr>
        <w:pStyle w:val="Bibliography"/>
      </w:pPr>
      <w:proofErr w:type="spellStart"/>
      <w:proofErr w:type="gramStart"/>
      <w:r>
        <w:t>Monsi</w:t>
      </w:r>
      <w:proofErr w:type="spellEnd"/>
      <w:r>
        <w:t>, M</w:t>
      </w:r>
      <w:r w:rsidR="00E742DD">
        <w:t>. &amp;</w:t>
      </w:r>
      <w:r>
        <w:t xml:space="preserve"> Saeki</w:t>
      </w:r>
      <w:r w:rsidR="00E742DD">
        <w:t>, T</w:t>
      </w:r>
      <w:r>
        <w:t>. 1953.</w:t>
      </w:r>
      <w:proofErr w:type="gramEnd"/>
      <w:r>
        <w:t xml:space="preserve"> </w:t>
      </w:r>
      <w:proofErr w:type="spellStart"/>
      <w:proofErr w:type="gramStart"/>
      <w:r>
        <w:t>Über</w:t>
      </w:r>
      <w:proofErr w:type="spellEnd"/>
      <w:r>
        <w:t xml:space="preserve"> Den </w:t>
      </w:r>
      <w:proofErr w:type="spellStart"/>
      <w:r>
        <w:t>Lichtfaktor</w:t>
      </w:r>
      <w:proofErr w:type="spellEnd"/>
      <w:r>
        <w:t xml:space="preserve"> in Den </w:t>
      </w:r>
      <w:proofErr w:type="spellStart"/>
      <w:r>
        <w:t>Pflanzengesellschaften</w:t>
      </w:r>
      <w:proofErr w:type="spellEnd"/>
      <w:r>
        <w:t xml:space="preserve"> Und Seine </w:t>
      </w:r>
      <w:proofErr w:type="spellStart"/>
      <w:r>
        <w:t>Bedeutung</w:t>
      </w:r>
      <w:proofErr w:type="spellEnd"/>
      <w:r>
        <w:t xml:space="preserve"> </w:t>
      </w:r>
      <w:proofErr w:type="spellStart"/>
      <w:r>
        <w:t>Für</w:t>
      </w:r>
      <w:proofErr w:type="spellEnd"/>
      <w:r>
        <w:t xml:space="preserve"> Die </w:t>
      </w:r>
      <w:proofErr w:type="spellStart"/>
      <w:r>
        <w:t>Stoffproduktion</w:t>
      </w:r>
      <w:proofErr w:type="spellEnd"/>
      <w:r>
        <w:t>.</w:t>
      </w:r>
      <w:proofErr w:type="gramEnd"/>
      <w:r>
        <w:t xml:space="preserve"> </w:t>
      </w:r>
      <w:r>
        <w:rPr>
          <w:i/>
        </w:rPr>
        <w:t>Japanese Journal of Botany</w:t>
      </w:r>
      <w:r>
        <w:t xml:space="preserve"> 14: 22–52.</w:t>
      </w:r>
    </w:p>
    <w:p w14:paraId="43491126" w14:textId="41410E15" w:rsidR="004564E8" w:rsidRDefault="00287752">
      <w:pPr>
        <w:pStyle w:val="Bibliography"/>
      </w:pPr>
      <w:r>
        <w:t>Murray-</w:t>
      </w:r>
      <w:proofErr w:type="spellStart"/>
      <w:r>
        <w:t>Tortarolo</w:t>
      </w:r>
      <w:proofErr w:type="spellEnd"/>
      <w:r>
        <w:t>, G</w:t>
      </w:r>
      <w:r w:rsidR="00E742DD">
        <w:t>.</w:t>
      </w:r>
      <w:r>
        <w:t xml:space="preserve">, </w:t>
      </w:r>
      <w:proofErr w:type="spellStart"/>
      <w:r>
        <w:t>Anav</w:t>
      </w:r>
      <w:proofErr w:type="spellEnd"/>
      <w:r w:rsidR="00E742DD">
        <w:t>, A.</w:t>
      </w:r>
      <w:r>
        <w:t xml:space="preserve">, </w:t>
      </w:r>
      <w:proofErr w:type="spellStart"/>
      <w:r>
        <w:t>Friedlingstein</w:t>
      </w:r>
      <w:proofErr w:type="spellEnd"/>
      <w:r w:rsidR="00E742DD">
        <w:t>, P.</w:t>
      </w:r>
      <w:r>
        <w:t xml:space="preserve">, </w:t>
      </w:r>
      <w:proofErr w:type="spellStart"/>
      <w:r>
        <w:t>Sitch</w:t>
      </w:r>
      <w:proofErr w:type="spellEnd"/>
      <w:r w:rsidR="00E742DD">
        <w:t>, S.</w:t>
      </w:r>
      <w:r>
        <w:t xml:space="preserve">, </w:t>
      </w:r>
      <w:proofErr w:type="spellStart"/>
      <w:r>
        <w:t>Piao</w:t>
      </w:r>
      <w:proofErr w:type="spellEnd"/>
      <w:r w:rsidR="00E742DD">
        <w:t>, S.</w:t>
      </w:r>
      <w:r>
        <w:t>, Zhu</w:t>
      </w:r>
      <w:r w:rsidR="00E742DD">
        <w:t>, Z.</w:t>
      </w:r>
      <w:r>
        <w:t xml:space="preserve">, </w:t>
      </w:r>
      <w:proofErr w:type="spellStart"/>
      <w:r>
        <w:t>Poulter</w:t>
      </w:r>
      <w:proofErr w:type="spellEnd"/>
      <w:r w:rsidR="00E742DD">
        <w:t>, B.</w:t>
      </w:r>
      <w:r>
        <w:t xml:space="preserve">, </w:t>
      </w:r>
      <w:proofErr w:type="spellStart"/>
      <w:r w:rsidR="00E742DD" w:rsidRPr="00E742DD">
        <w:t>Zaehle</w:t>
      </w:r>
      <w:proofErr w:type="spellEnd"/>
      <w:r w:rsidR="00E742DD">
        <w:t xml:space="preserve">, S., </w:t>
      </w:r>
      <w:proofErr w:type="spellStart"/>
      <w:r w:rsidR="00E742DD" w:rsidRPr="00E742DD">
        <w:t>Ahlström</w:t>
      </w:r>
      <w:proofErr w:type="spellEnd"/>
      <w:r w:rsidR="00E742DD">
        <w:t xml:space="preserve">, A. (…) &amp; </w:t>
      </w:r>
      <w:r w:rsidR="00E742DD" w:rsidRPr="00E742DD">
        <w:t>Zeng</w:t>
      </w:r>
      <w:r w:rsidR="00E742DD">
        <w:t>, N.</w:t>
      </w:r>
      <w:r>
        <w:t xml:space="preserve"> 2013. </w:t>
      </w:r>
      <w:proofErr w:type="gramStart"/>
      <w:r>
        <w:t xml:space="preserve">Evaluation of </w:t>
      </w:r>
      <w:r w:rsidR="00E742DD">
        <w:t>l</w:t>
      </w:r>
      <w:r>
        <w:t xml:space="preserve">and </w:t>
      </w:r>
      <w:r w:rsidR="00E742DD">
        <w:t>s</w:t>
      </w:r>
      <w:r>
        <w:t xml:space="preserve">urface </w:t>
      </w:r>
      <w:r w:rsidR="00E742DD">
        <w:t>m</w:t>
      </w:r>
      <w:r>
        <w:t xml:space="preserve">odels in </w:t>
      </w:r>
      <w:r w:rsidR="00E742DD">
        <w:t>r</w:t>
      </w:r>
      <w:r>
        <w:t xml:space="preserve">eproducing </w:t>
      </w:r>
      <w:r w:rsidR="00E742DD">
        <w:t>s</w:t>
      </w:r>
      <w:r>
        <w:t>atellite-</w:t>
      </w:r>
      <w:r w:rsidR="00E742DD">
        <w:t>d</w:t>
      </w:r>
      <w:r>
        <w:t xml:space="preserve">erived LAI over the </w:t>
      </w:r>
      <w:r w:rsidR="00E742DD">
        <w:t>h</w:t>
      </w:r>
      <w:r>
        <w:t>igh-</w:t>
      </w:r>
      <w:r w:rsidR="00E742DD">
        <w:t>l</w:t>
      </w:r>
      <w:r>
        <w:t>atitude Northern Hemisphere.</w:t>
      </w:r>
      <w:proofErr w:type="gramEnd"/>
      <w:r>
        <w:t xml:space="preserve"> Part I: Uncoupled DGVMs. </w:t>
      </w:r>
      <w:r>
        <w:rPr>
          <w:i/>
        </w:rPr>
        <w:t>Remote Sensing</w:t>
      </w:r>
      <w:r>
        <w:t xml:space="preserve"> 5</w:t>
      </w:r>
      <w:r>
        <w:t>: 4819–</w:t>
      </w:r>
      <w:r w:rsidR="008F4360">
        <w:t>48</w:t>
      </w:r>
      <w:r>
        <w:t>38.</w:t>
      </w:r>
    </w:p>
    <w:p w14:paraId="6523A4F0" w14:textId="05A605F6" w:rsidR="004564E8" w:rsidRDefault="00287752">
      <w:pPr>
        <w:pStyle w:val="Bibliography"/>
      </w:pPr>
      <w:proofErr w:type="spellStart"/>
      <w:proofErr w:type="gramStart"/>
      <w:r>
        <w:t>Odling-Smee</w:t>
      </w:r>
      <w:proofErr w:type="spellEnd"/>
      <w:r>
        <w:t>, F</w:t>
      </w:r>
      <w:r w:rsidR="00E742DD">
        <w:t>.</w:t>
      </w:r>
      <w:r>
        <w:t>J</w:t>
      </w:r>
      <w:r w:rsidR="00E742DD">
        <w:t>.</w:t>
      </w:r>
      <w:r>
        <w:t xml:space="preserve">, </w:t>
      </w:r>
      <w:proofErr w:type="spellStart"/>
      <w:r>
        <w:t>Laland</w:t>
      </w:r>
      <w:proofErr w:type="spellEnd"/>
      <w:r w:rsidR="00E742DD">
        <w:t>, K.N. &amp;</w:t>
      </w:r>
      <w:r>
        <w:t xml:space="preserve"> Feldman</w:t>
      </w:r>
      <w:r w:rsidR="00E742DD">
        <w:t>, M.W</w:t>
      </w:r>
      <w:r>
        <w:t>. 2003.</w:t>
      </w:r>
      <w:proofErr w:type="gramEnd"/>
      <w:r>
        <w:t xml:space="preserve"> </w:t>
      </w:r>
      <w:r>
        <w:rPr>
          <w:i/>
        </w:rPr>
        <w:t xml:space="preserve">Niche </w:t>
      </w:r>
      <w:r w:rsidR="00E742DD">
        <w:rPr>
          <w:i/>
        </w:rPr>
        <w:t>c</w:t>
      </w:r>
      <w:r>
        <w:rPr>
          <w:i/>
        </w:rPr>
        <w:t xml:space="preserve">onstruction: </w:t>
      </w:r>
      <w:r w:rsidR="00E742DD">
        <w:rPr>
          <w:i/>
        </w:rPr>
        <w:t>t</w:t>
      </w:r>
      <w:r>
        <w:rPr>
          <w:i/>
        </w:rPr>
        <w:t xml:space="preserve">he </w:t>
      </w:r>
      <w:r w:rsidR="00E742DD">
        <w:rPr>
          <w:i/>
        </w:rPr>
        <w:t>n</w:t>
      </w:r>
      <w:r>
        <w:rPr>
          <w:i/>
        </w:rPr>
        <w:t xml:space="preserve">eglected </w:t>
      </w:r>
      <w:r w:rsidR="00E742DD">
        <w:rPr>
          <w:i/>
        </w:rPr>
        <w:t>p</w:t>
      </w:r>
      <w:r>
        <w:rPr>
          <w:i/>
        </w:rPr>
        <w:t xml:space="preserve">rocess in </w:t>
      </w:r>
      <w:r w:rsidR="00E742DD">
        <w:rPr>
          <w:i/>
        </w:rPr>
        <w:t>e</w:t>
      </w:r>
      <w:r>
        <w:rPr>
          <w:i/>
        </w:rPr>
        <w:t>volution</w:t>
      </w:r>
      <w:r>
        <w:t xml:space="preserve">. </w:t>
      </w:r>
      <w:r>
        <w:t>Princeton University Press</w:t>
      </w:r>
      <w:r w:rsidR="008F4360">
        <w:t>, Princeton, NJ, US</w:t>
      </w:r>
      <w:r>
        <w:t>.</w:t>
      </w:r>
    </w:p>
    <w:p w14:paraId="4FF68E2E" w14:textId="712D8937" w:rsidR="004564E8" w:rsidRDefault="00287752">
      <w:pPr>
        <w:pStyle w:val="Bibliography"/>
      </w:pPr>
      <w:proofErr w:type="spellStart"/>
      <w:r>
        <w:t>Valladares</w:t>
      </w:r>
      <w:proofErr w:type="spellEnd"/>
      <w:r>
        <w:t>, F</w:t>
      </w:r>
      <w:r w:rsidR="008F4360">
        <w:t>. &amp;</w:t>
      </w:r>
      <w:r>
        <w:t xml:space="preserve"> </w:t>
      </w:r>
      <w:proofErr w:type="spellStart"/>
      <w:r>
        <w:t>Niinemets</w:t>
      </w:r>
      <w:proofErr w:type="spellEnd"/>
      <w:r w:rsidR="008F4360">
        <w:t>, Ü</w:t>
      </w:r>
      <w:r>
        <w:t xml:space="preserve">. 2008. Shade </w:t>
      </w:r>
      <w:r w:rsidR="008F4360">
        <w:t>t</w:t>
      </w:r>
      <w:r>
        <w:t xml:space="preserve">olerance, a </w:t>
      </w:r>
      <w:r w:rsidR="008F4360">
        <w:t>k</w:t>
      </w:r>
      <w:r>
        <w:t xml:space="preserve">ey </w:t>
      </w:r>
      <w:r w:rsidR="008F4360">
        <w:t>p</w:t>
      </w:r>
      <w:r>
        <w:t xml:space="preserve">lant </w:t>
      </w:r>
      <w:r w:rsidR="008F4360">
        <w:t>f</w:t>
      </w:r>
      <w:r>
        <w:t xml:space="preserve">eature of </w:t>
      </w:r>
      <w:r w:rsidR="008F4360">
        <w:t>c</w:t>
      </w:r>
      <w:r>
        <w:t xml:space="preserve">omplex </w:t>
      </w:r>
      <w:r w:rsidR="008F4360">
        <w:t>n</w:t>
      </w:r>
      <w:r>
        <w:t xml:space="preserve">ature and </w:t>
      </w:r>
      <w:r w:rsidR="008F4360">
        <w:t>c</w:t>
      </w:r>
      <w:r>
        <w:t xml:space="preserve">onsequences. </w:t>
      </w:r>
      <w:proofErr w:type="gramStart"/>
      <w:r>
        <w:rPr>
          <w:i/>
        </w:rPr>
        <w:t>Annual Review of Ecology, Evolution, and Systematics</w:t>
      </w:r>
      <w:r w:rsidR="008F4360">
        <w:t xml:space="preserve"> 39: </w:t>
      </w:r>
      <w:r>
        <w:t>237–</w:t>
      </w:r>
      <w:r w:rsidR="008F4360">
        <w:t>2</w:t>
      </w:r>
      <w:r>
        <w:t>57.</w:t>
      </w:r>
      <w:proofErr w:type="gramEnd"/>
    </w:p>
    <w:sectPr w:rsidR="004564E8">
      <w:pgSz w:w="12240" w:h="15840"/>
      <w:pgMar w:top="1440" w:right="1800" w:bottom="1440" w:left="1800" w:header="720" w:footer="720"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2C44F1" w15:done="0"/>
  <w15:commentEx w15:paraId="3B1F994F" w15:done="0"/>
  <w15:commentEx w15:paraId="4F5C65A2" w15:done="0"/>
  <w15:commentEx w15:paraId="1EA2CC48" w15:done="0"/>
  <w15:commentEx w15:paraId="7BB4BC28" w15:done="0"/>
  <w15:commentEx w15:paraId="1F1080C2" w15:done="0"/>
  <w15:commentEx w15:paraId="7261C001" w15:done="0"/>
  <w15:commentEx w15:paraId="368868FA" w15:done="0"/>
  <w15:commentEx w15:paraId="7C85EAEC" w15:done="0"/>
  <w15:commentEx w15:paraId="0753881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Segoe UI">
    <w:altName w:val="Calibri"/>
    <w:charset w:val="00"/>
    <w:family w:val="swiss"/>
    <w:pitch w:val="variable"/>
    <w:sig w:usb0="E10022FF" w:usb1="C000E47F" w:usb2="00000029" w:usb3="00000000" w:csb0="000001D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10F005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B332645"/>
    <w:multiLevelType w:val="multilevel"/>
    <w:tmpl w:val="1F22B0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elis Pärtel">
    <w15:presenceInfo w15:providerId="None" w15:userId="Meelis Pärt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23F75"/>
    <w:rsid w:val="00030010"/>
    <w:rsid w:val="000E096D"/>
    <w:rsid w:val="0018625B"/>
    <w:rsid w:val="00287752"/>
    <w:rsid w:val="002C28B3"/>
    <w:rsid w:val="003D5239"/>
    <w:rsid w:val="00435F38"/>
    <w:rsid w:val="00450F74"/>
    <w:rsid w:val="004564E8"/>
    <w:rsid w:val="004E29B3"/>
    <w:rsid w:val="00590D07"/>
    <w:rsid w:val="00676F4C"/>
    <w:rsid w:val="00714C06"/>
    <w:rsid w:val="00784D58"/>
    <w:rsid w:val="008D6863"/>
    <w:rsid w:val="008F4360"/>
    <w:rsid w:val="00B86B75"/>
    <w:rsid w:val="00BC48D5"/>
    <w:rsid w:val="00C36279"/>
    <w:rsid w:val="00CA2103"/>
    <w:rsid w:val="00E203CC"/>
    <w:rsid w:val="00E315A3"/>
    <w:rsid w:val="00E614DC"/>
    <w:rsid w:val="00E742DD"/>
    <w:rsid w:val="00E761E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AB2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character" w:styleId="CommentReference">
    <w:name w:val="annotation reference"/>
    <w:basedOn w:val="DefaultParagraphFont"/>
    <w:semiHidden/>
    <w:unhideWhenUsed/>
    <w:rsid w:val="00023F75"/>
    <w:rPr>
      <w:sz w:val="16"/>
      <w:szCs w:val="16"/>
    </w:rPr>
  </w:style>
  <w:style w:type="paragraph" w:styleId="CommentText">
    <w:name w:val="annotation text"/>
    <w:basedOn w:val="Normal"/>
    <w:link w:val="CommentTextChar"/>
    <w:semiHidden/>
    <w:unhideWhenUsed/>
    <w:rsid w:val="00023F75"/>
    <w:rPr>
      <w:sz w:val="20"/>
      <w:szCs w:val="20"/>
    </w:rPr>
  </w:style>
  <w:style w:type="character" w:customStyle="1" w:styleId="CommentTextChar">
    <w:name w:val="Comment Text Char"/>
    <w:basedOn w:val="DefaultParagraphFont"/>
    <w:link w:val="CommentText"/>
    <w:semiHidden/>
    <w:rsid w:val="00023F75"/>
    <w:rPr>
      <w:sz w:val="20"/>
      <w:szCs w:val="20"/>
    </w:rPr>
  </w:style>
  <w:style w:type="paragraph" w:styleId="CommentSubject">
    <w:name w:val="annotation subject"/>
    <w:basedOn w:val="CommentText"/>
    <w:next w:val="CommentText"/>
    <w:link w:val="CommentSubjectChar"/>
    <w:semiHidden/>
    <w:unhideWhenUsed/>
    <w:rsid w:val="00023F75"/>
    <w:rPr>
      <w:b/>
      <w:bCs/>
    </w:rPr>
  </w:style>
  <w:style w:type="character" w:customStyle="1" w:styleId="CommentSubjectChar">
    <w:name w:val="Comment Subject Char"/>
    <w:basedOn w:val="CommentTextChar"/>
    <w:link w:val="CommentSubject"/>
    <w:semiHidden/>
    <w:rsid w:val="00023F75"/>
    <w:rPr>
      <w:b/>
      <w:bCs/>
      <w:sz w:val="20"/>
      <w:szCs w:val="20"/>
    </w:rPr>
  </w:style>
  <w:style w:type="paragraph" w:styleId="BalloonText">
    <w:name w:val="Balloon Text"/>
    <w:basedOn w:val="Normal"/>
    <w:link w:val="BalloonTextChar"/>
    <w:semiHidden/>
    <w:unhideWhenUsed/>
    <w:rsid w:val="00023F75"/>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023F75"/>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character" w:styleId="CommentReference">
    <w:name w:val="annotation reference"/>
    <w:basedOn w:val="DefaultParagraphFont"/>
    <w:semiHidden/>
    <w:unhideWhenUsed/>
    <w:rsid w:val="00023F75"/>
    <w:rPr>
      <w:sz w:val="16"/>
      <w:szCs w:val="16"/>
    </w:rPr>
  </w:style>
  <w:style w:type="paragraph" w:styleId="CommentText">
    <w:name w:val="annotation text"/>
    <w:basedOn w:val="Normal"/>
    <w:link w:val="CommentTextChar"/>
    <w:semiHidden/>
    <w:unhideWhenUsed/>
    <w:rsid w:val="00023F75"/>
    <w:rPr>
      <w:sz w:val="20"/>
      <w:szCs w:val="20"/>
    </w:rPr>
  </w:style>
  <w:style w:type="character" w:customStyle="1" w:styleId="CommentTextChar">
    <w:name w:val="Comment Text Char"/>
    <w:basedOn w:val="DefaultParagraphFont"/>
    <w:link w:val="CommentText"/>
    <w:semiHidden/>
    <w:rsid w:val="00023F75"/>
    <w:rPr>
      <w:sz w:val="20"/>
      <w:szCs w:val="20"/>
    </w:rPr>
  </w:style>
  <w:style w:type="paragraph" w:styleId="CommentSubject">
    <w:name w:val="annotation subject"/>
    <w:basedOn w:val="CommentText"/>
    <w:next w:val="CommentText"/>
    <w:link w:val="CommentSubjectChar"/>
    <w:semiHidden/>
    <w:unhideWhenUsed/>
    <w:rsid w:val="00023F75"/>
    <w:rPr>
      <w:b/>
      <w:bCs/>
    </w:rPr>
  </w:style>
  <w:style w:type="character" w:customStyle="1" w:styleId="CommentSubjectChar">
    <w:name w:val="Comment Subject Char"/>
    <w:basedOn w:val="CommentTextChar"/>
    <w:link w:val="CommentSubject"/>
    <w:semiHidden/>
    <w:rsid w:val="00023F75"/>
    <w:rPr>
      <w:b/>
      <w:bCs/>
      <w:sz w:val="20"/>
      <w:szCs w:val="20"/>
    </w:rPr>
  </w:style>
  <w:style w:type="paragraph" w:styleId="BalloonText">
    <w:name w:val="Balloon Text"/>
    <w:basedOn w:val="Normal"/>
    <w:link w:val="BalloonTextChar"/>
    <w:semiHidden/>
    <w:unhideWhenUsed/>
    <w:rsid w:val="00023F75"/>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023F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13312">
      <w:bodyDiv w:val="1"/>
      <w:marLeft w:val="0"/>
      <w:marRight w:val="0"/>
      <w:marTop w:val="0"/>
      <w:marBottom w:val="0"/>
      <w:divBdr>
        <w:top w:val="none" w:sz="0" w:space="0" w:color="auto"/>
        <w:left w:val="none" w:sz="0" w:space="0" w:color="auto"/>
        <w:bottom w:val="none" w:sz="0" w:space="0" w:color="auto"/>
        <w:right w:val="none" w:sz="0" w:space="0" w:color="auto"/>
      </w:divBdr>
    </w:div>
    <w:div w:id="1113670786">
      <w:bodyDiv w:val="1"/>
      <w:marLeft w:val="0"/>
      <w:marRight w:val="0"/>
      <w:marTop w:val="0"/>
      <w:marBottom w:val="0"/>
      <w:divBdr>
        <w:top w:val="none" w:sz="0" w:space="0" w:color="auto"/>
        <w:left w:val="none" w:sz="0" w:space="0" w:color="auto"/>
        <w:bottom w:val="none" w:sz="0" w:space="0" w:color="auto"/>
        <w:right w:val="none" w:sz="0" w:space="0" w:color="auto"/>
      </w:divBdr>
    </w:div>
    <w:div w:id="17719671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commentsExtended" Target="commentsExtended.xml"/><Relationship Id="rId9"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1180</Words>
  <Characters>6728</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The difficult but important paths toward understanding variation in the amount of leaf area in vegetation</vt:lpstr>
    </vt:vector>
  </TitlesOfParts>
  <Company>unsw</Company>
  <LinksUpToDate>false</LinksUpToDate>
  <CharactersWithSpaces>7893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difficult but important paths toward understanding variation in the amount of leaf area in vegetation</dc:title>
  <dc:creator>William K. Cornwell</dc:creator>
  <cp:lastModifiedBy>will cornwell</cp:lastModifiedBy>
  <cp:revision>5</cp:revision>
  <dcterms:created xsi:type="dcterms:W3CDTF">2015-08-11T02:51:00Z</dcterms:created>
  <dcterms:modified xsi:type="dcterms:W3CDTF">2015-08-11T03:05:00Z</dcterms:modified>
</cp:coreProperties>
</file>