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3"/>
          </w:tcPr>
          <w:p w:rsidR="00E1373F" w:rsidRPr="0031044D" w:rsidRDefault="00E1373F" w:rsidP="000C3B75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3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E1373F" w:rsidRPr="0031044D" w:rsidRDefault="00F83FA3" w:rsidP="00E1373F">
            <w:pPr>
              <w:rPr>
                <w:rFonts w:asciiTheme="minorHAnsi" w:hAnsiTheme="minorHAnsi" w:cstheme="minorHAnsi"/>
                <w:sz w:val="2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8"/>
              </w:rPr>
              <w:t>3.b, 3.g i 4.f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64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 w:rsidR="004F065D"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 w:rsidR="0079734F">
              <w:rPr>
                <w:rFonts w:asciiTheme="minorHAnsi" w:hAnsiTheme="minorHAnsi" w:cstheme="minorHAnsi"/>
                <w:sz w:val="28"/>
              </w:rPr>
              <w:t>2</w:t>
            </w:r>
            <w:r w:rsidR="004F065D">
              <w:rPr>
                <w:rFonts w:asciiTheme="minorHAnsi" w:hAnsiTheme="minorHAnsi" w:cstheme="minorHAnsi"/>
                <w:sz w:val="28"/>
              </w:rPr>
              <w:t>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DF3BF4" w:rsidRPr="0031044D" w:rsidRDefault="00DF3BF4"/>
    <w:p w:rsidR="00E1373F" w:rsidRPr="0031044D" w:rsidRDefault="00E1373F">
      <w:r w:rsidRPr="0031044D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C2794B">
              <w:rPr>
                <w:rFonts w:asciiTheme="minorHAnsi" w:eastAsia="Calibri" w:hAnsiTheme="minorHAnsi" w:cstheme="minorHAnsi"/>
                <w:sz w:val="22"/>
                <w:szCs w:val="22"/>
              </w:rPr>
              <w:t>, zadaća i referati (po potrebi)</w:t>
            </w:r>
          </w:p>
        </w:tc>
      </w:tr>
      <w:tr w:rsidR="009D1483" w:rsidRPr="0031044D" w:rsidTr="00D7337E">
        <w:tc>
          <w:tcPr>
            <w:tcW w:w="1702" w:type="dxa"/>
            <w:shd w:val="clear" w:color="auto" w:fill="auto"/>
            <w:vAlign w:val="center"/>
          </w:tcPr>
          <w:p w:rsidR="009D1483" w:rsidRPr="0031044D" w:rsidRDefault="009D148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D1483" w:rsidRPr="0031044D" w:rsidRDefault="009D1483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819"/>
        <w:gridCol w:w="2127"/>
        <w:gridCol w:w="1417"/>
        <w:gridCol w:w="2552"/>
      </w:tblGrid>
      <w:tr w:rsidR="008D24B2" w:rsidRPr="0031044D" w:rsidTr="0077142A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0D2A05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8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Uvod u politiku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kao obnašanje vlasti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Političko djelovanje kao javno djelovanje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Politički govor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narod, nacija, manjina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suverenitet, državljanin, građanin</w:t>
            </w:r>
          </w:p>
        </w:tc>
        <w:tc>
          <w:tcPr>
            <w:tcW w:w="4819" w:type="dxa"/>
            <w:vAlign w:val="center"/>
          </w:tcPr>
          <w:p w:rsidR="009F2766" w:rsidRPr="009F2766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političkih poredaka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Monarhija, aristokracija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Tiranija, diktatura, totalitarizam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Demokracija, republika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196840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196840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i vrste političkih stranaka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Pojmovi ljevica, desnica i centar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Političke stranke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ojam i funkcija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izbora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Izborni sustav Republike Hrvatske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Ustroj hrvatske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Zakonodavna vlast - 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Zakonodavna vlast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Izvršna vlast - Predsjednik i Vlada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Sudbena vlast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Učenici će moći razlikovati ključne pojmove nastavne cjeline; </w:t>
            </w:r>
            <w:proofErr w:type="spellStart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usustavljanje</w:t>
            </w:r>
            <w:proofErr w:type="spellEnd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9F27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Vjeronauk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8D49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uzroci globalizacije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Ekonomija i gospodarstvo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9F4138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819" w:type="dxa"/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Tržište i tržišni mehanizam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Potražnja i ponuda na tržištu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Tržišna cijena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Novac i razvoj novca kroz povijest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Fiskalna i monetarna politika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Pravni oblici poslovne organizacije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Poduzetnik i poduzetnička karijera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Malo poduzetništvo – kako ući u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703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1273"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marketinga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Siromaštvo nasuprot bogatstvu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Europska unija, Hrvatska u Europskoj uniji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Resursi hrvatskog gospodarstva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Specifičnosti hrvatskog gospodarstva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C2794B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30283" w:rsidRDefault="00B30283"/>
    <w:p w:rsidR="00B30283" w:rsidRDefault="00B30283" w:rsidP="00B30283">
      <w:r>
        <w:br w:type="page"/>
      </w:r>
    </w:p>
    <w:p w:rsidR="00B30283" w:rsidRDefault="00B30283" w:rsidP="00B30283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B30283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B30283" w:rsidRPr="00633BC4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01520" w:rsidRPr="00C01520" w:rsidRDefault="00B30283" w:rsidP="00C01520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B30283" w:rsidRPr="006906D4" w:rsidRDefault="00B30283" w:rsidP="00B30283">
      <w:pPr>
        <w:rPr>
          <w:rFonts w:asciiTheme="minorHAnsi" w:hAnsiTheme="minorHAnsi" w:cstheme="minorHAnsi"/>
          <w:sz w:val="22"/>
          <w:szCs w:val="22"/>
        </w:rPr>
      </w:pPr>
    </w:p>
    <w:p w:rsidR="00DF3BF4" w:rsidRPr="0031044D" w:rsidRDefault="00DF3BF4"/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0C3B75"/>
    <w:rsid w:val="000D2A05"/>
    <w:rsid w:val="00185E09"/>
    <w:rsid w:val="00196840"/>
    <w:rsid w:val="001D48A6"/>
    <w:rsid w:val="00214219"/>
    <w:rsid w:val="00217160"/>
    <w:rsid w:val="002A0D78"/>
    <w:rsid w:val="0031044D"/>
    <w:rsid w:val="00314E09"/>
    <w:rsid w:val="00350E05"/>
    <w:rsid w:val="004104C2"/>
    <w:rsid w:val="00425019"/>
    <w:rsid w:val="004F065D"/>
    <w:rsid w:val="00502A58"/>
    <w:rsid w:val="00512B3A"/>
    <w:rsid w:val="006170EB"/>
    <w:rsid w:val="00625CFB"/>
    <w:rsid w:val="00631933"/>
    <w:rsid w:val="006E6438"/>
    <w:rsid w:val="007006DC"/>
    <w:rsid w:val="0077142A"/>
    <w:rsid w:val="0079734F"/>
    <w:rsid w:val="007D6D8E"/>
    <w:rsid w:val="00897682"/>
    <w:rsid w:val="008D24B2"/>
    <w:rsid w:val="008D4453"/>
    <w:rsid w:val="0094308D"/>
    <w:rsid w:val="009557CD"/>
    <w:rsid w:val="009D1483"/>
    <w:rsid w:val="009E1C94"/>
    <w:rsid w:val="009F2766"/>
    <w:rsid w:val="009F4138"/>
    <w:rsid w:val="009F6ECE"/>
    <w:rsid w:val="00B23AAF"/>
    <w:rsid w:val="00B30283"/>
    <w:rsid w:val="00C01520"/>
    <w:rsid w:val="00C22F53"/>
    <w:rsid w:val="00C2794B"/>
    <w:rsid w:val="00D232D9"/>
    <w:rsid w:val="00D7337E"/>
    <w:rsid w:val="00D77328"/>
    <w:rsid w:val="00D930A4"/>
    <w:rsid w:val="00DF3BF4"/>
    <w:rsid w:val="00E1373F"/>
    <w:rsid w:val="00E246A5"/>
    <w:rsid w:val="00F83FA3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6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Heading2Char">
    <w:name w:val="Heading 2 Char"/>
    <w:basedOn w:val="DefaultParagraphFont"/>
    <w:link w:val="Heading2"/>
    <w:semiHidden/>
    <w:rsid w:val="00196840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9F4138"/>
    <w:rPr>
      <w:sz w:val="24"/>
      <w:szCs w:val="24"/>
    </w:rPr>
  </w:style>
  <w:style w:type="paragraph" w:customStyle="1" w:styleId="Style1">
    <w:name w:val="Style1"/>
    <w:basedOn w:val="Normal"/>
    <w:uiPriority w:val="99"/>
    <w:rsid w:val="00B30283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B30283"/>
    <w:rPr>
      <w:rFonts w:ascii="Times New Roman" w:hAnsi="Times New Roman" w:cs="Times New Roman"/>
      <w:b/>
      <w:bCs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5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520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F4CD6-AE48-4DC2-9853-23CE6BD0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21</cp:revision>
  <cp:lastPrinted>2017-09-12T08:41:00Z</cp:lastPrinted>
  <dcterms:created xsi:type="dcterms:W3CDTF">2020-08-25T09:31:00Z</dcterms:created>
  <dcterms:modified xsi:type="dcterms:W3CDTF">2020-08-26T09:00:00Z</dcterms:modified>
</cp:coreProperties>
</file>