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E1373F" w:rsidRPr="0031044D" w:rsidTr="00037EFB">
        <w:trPr>
          <w:trHeight w:val="851"/>
        </w:trPr>
        <w:tc>
          <w:tcPr>
            <w:tcW w:w="14000" w:type="dxa"/>
            <w:gridSpan w:val="3"/>
          </w:tcPr>
          <w:p w:rsidR="00E1373F" w:rsidRPr="0031044D" w:rsidRDefault="00E1373F" w:rsidP="000C3B75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1373F" w:rsidRPr="0031044D" w:rsidTr="00037EFB">
        <w:trPr>
          <w:trHeight w:val="737"/>
        </w:trPr>
        <w:tc>
          <w:tcPr>
            <w:tcW w:w="14000" w:type="dxa"/>
            <w:gridSpan w:val="3"/>
          </w:tcPr>
          <w:p w:rsidR="00E1373F" w:rsidRPr="0031044D" w:rsidRDefault="00E1373F" w:rsidP="00037EFB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E1373F" w:rsidRPr="0031044D" w:rsidTr="00037EFB">
        <w:trPr>
          <w:trHeight w:val="702"/>
        </w:trPr>
        <w:tc>
          <w:tcPr>
            <w:tcW w:w="426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D77328" w:rsidRPr="0031044D" w:rsidRDefault="00AD4C56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SREDNJA ŠKOLA BARTULA KAŠIĆA – PAG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E1373F" w:rsidRPr="0031044D" w:rsidRDefault="00AD4C56" w:rsidP="00E1373F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3.u</w:t>
            </w:r>
            <w:bookmarkStart w:id="0" w:name="_GoBack"/>
            <w:bookmarkEnd w:id="0"/>
          </w:p>
        </w:tc>
      </w:tr>
      <w:tr w:rsidR="00D77328" w:rsidRPr="0031044D" w:rsidTr="00D77328">
        <w:tc>
          <w:tcPr>
            <w:tcW w:w="4219" w:type="dxa"/>
          </w:tcPr>
          <w:p w:rsidR="00D77328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64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 w:rsidR="004F065D"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 w:rsidR="0079734F">
              <w:rPr>
                <w:rFonts w:asciiTheme="minorHAnsi" w:hAnsiTheme="minorHAnsi" w:cstheme="minorHAnsi"/>
                <w:sz w:val="28"/>
              </w:rPr>
              <w:t>2</w:t>
            </w:r>
            <w:r w:rsidR="004F065D">
              <w:rPr>
                <w:rFonts w:asciiTheme="minorHAnsi" w:hAnsiTheme="minorHAnsi" w:cstheme="minorHAnsi"/>
                <w:sz w:val="28"/>
              </w:rPr>
              <w:t>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E246A5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DF3BF4" w:rsidRPr="0031044D" w:rsidRDefault="00DF3BF4"/>
    <w:p w:rsidR="00DF3BF4" w:rsidRPr="0031044D" w:rsidRDefault="00DF3BF4"/>
    <w:p w:rsidR="00E1373F" w:rsidRPr="0031044D" w:rsidRDefault="00E1373F">
      <w:r w:rsidRPr="0031044D"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64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C2794B">
              <w:rPr>
                <w:rFonts w:asciiTheme="minorHAnsi" w:eastAsia="Calibri" w:hAnsiTheme="minorHAnsi" w:cstheme="minorHAnsi"/>
                <w:sz w:val="22"/>
                <w:szCs w:val="22"/>
              </w:rPr>
              <w:t>, zadaća i referati (po potrebi)</w:t>
            </w:r>
          </w:p>
        </w:tc>
      </w:tr>
      <w:tr w:rsidR="009D1483" w:rsidRPr="0031044D" w:rsidTr="00D7337E">
        <w:tc>
          <w:tcPr>
            <w:tcW w:w="1702" w:type="dxa"/>
            <w:shd w:val="clear" w:color="auto" w:fill="auto"/>
            <w:vAlign w:val="center"/>
          </w:tcPr>
          <w:p w:rsidR="009D1483" w:rsidRPr="0031044D" w:rsidRDefault="009D148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D1483" w:rsidRPr="0031044D" w:rsidRDefault="009D1483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E1373F" w:rsidRPr="0031044D" w:rsidRDefault="00E1373F">
      <w:r w:rsidRPr="0031044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819"/>
        <w:gridCol w:w="2127"/>
        <w:gridCol w:w="1417"/>
        <w:gridCol w:w="2552"/>
      </w:tblGrid>
      <w:tr w:rsidR="008D24B2" w:rsidRPr="0031044D" w:rsidTr="0077142A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0D2A05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8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512B3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Korelacija s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Uvod u politiku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kao obnašanje vlasti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Političko djelovanje kao javno djelovanje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Politički govor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narod, nacija, manjina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suverenitet, državljanin, građanin</w:t>
            </w:r>
          </w:p>
        </w:tc>
        <w:tc>
          <w:tcPr>
            <w:tcW w:w="4819" w:type="dxa"/>
            <w:vAlign w:val="center"/>
          </w:tcPr>
          <w:p w:rsidR="009F2766" w:rsidRPr="009F2766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političkih poredaka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Monarhija, aristokracija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Tiranija, diktatura, totalitarizam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Demokracija, republika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196840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196840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i vrste političkih stranaka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Pojmovi ljevica, desnica i centar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Političke stranke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ojam i funkcija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izbora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Izborni sustav Republike Hrvatske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Ustroj hrvatske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Zakonodavna vlast - 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Zakonodavna vlast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Izvršna vlast - Predsjednik i Vlada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Predsjednika i Vlade RH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Sudbena vlast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Učenici će moći razlikovati ključne pojmove nastavne cjeline; </w:t>
            </w:r>
            <w:proofErr w:type="spellStart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usustavljanje</w:t>
            </w:r>
            <w:proofErr w:type="spellEnd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9F27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Vjeronauk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etika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8D492E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i vjera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uzroci globalizacije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Ekonomija i gospodarstvo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9F4138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819" w:type="dxa"/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Tržište i tržišni mehanizam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Potražnja i ponuda na tržištu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Tržišna cijena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Novac i razvoj novca kroz povijest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Fiskalna i monetarna politika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Pravni oblici poslovne organizacije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Poduzetnik i poduzetnička karijera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Malo poduzetništvo – kako ući u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703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1273"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marketinga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 xml:space="preserve">Učenik/učenica će moći objasniti pojam marketinga;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odrediti ulogu marketinga u usklađivanju proizvodnje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i potrošnje; prikazati razvoj marketinga.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(proizvoda i cijene).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(distribucije i promocije).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Siromaštvo nasuprot bogatstvu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Europska unija, Hrvatska u Europskoj uniji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 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Resursi hrvatskog gospodarstva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Specifičnosti hrvatskog gospodarstva</w:t>
            </w:r>
          </w:p>
        </w:tc>
        <w:tc>
          <w:tcPr>
            <w:tcW w:w="4819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12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C2794B">
            <w:r>
              <w:rPr>
                <w:rFonts w:asciiTheme="minorHAnsi" w:hAnsiTheme="minorHAnsi" w:cstheme="minorHAnsi"/>
                <w:sz w:val="22"/>
                <w:szCs w:val="22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30283" w:rsidRDefault="00B30283"/>
    <w:p w:rsidR="00B30283" w:rsidRDefault="00B30283" w:rsidP="00B30283">
      <w:r>
        <w:br w:type="page"/>
      </w:r>
    </w:p>
    <w:p w:rsidR="00B30283" w:rsidRDefault="00B30283" w:rsidP="00B30283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lastRenderedPageBreak/>
        <w:t>CILJEVI I ZADACI NASTAVE POLITIKE I GOSPODARSTVA</w:t>
      </w:r>
    </w:p>
    <w:p w:rsidR="00B30283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B30283" w:rsidRPr="00633BC4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01520" w:rsidRPr="00C01520" w:rsidRDefault="00B30283" w:rsidP="00C01520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B30283" w:rsidRPr="006906D4" w:rsidRDefault="00B30283" w:rsidP="00B30283">
      <w:pPr>
        <w:rPr>
          <w:rFonts w:asciiTheme="minorHAnsi" w:hAnsiTheme="minorHAnsi" w:cstheme="minorHAnsi"/>
          <w:sz w:val="22"/>
          <w:szCs w:val="22"/>
        </w:rPr>
      </w:pPr>
    </w:p>
    <w:p w:rsidR="00DF3BF4" w:rsidRPr="0031044D" w:rsidRDefault="00DF3BF4"/>
    <w:sectPr w:rsidR="00DF3BF4" w:rsidRPr="0031044D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0C3B75"/>
    <w:rsid w:val="000D2A05"/>
    <w:rsid w:val="00185E09"/>
    <w:rsid w:val="00196840"/>
    <w:rsid w:val="001D48A6"/>
    <w:rsid w:val="00214219"/>
    <w:rsid w:val="00217160"/>
    <w:rsid w:val="002A0D78"/>
    <w:rsid w:val="0031044D"/>
    <w:rsid w:val="00314E09"/>
    <w:rsid w:val="00350E05"/>
    <w:rsid w:val="004104C2"/>
    <w:rsid w:val="00425019"/>
    <w:rsid w:val="004F065D"/>
    <w:rsid w:val="00502A58"/>
    <w:rsid w:val="00512B3A"/>
    <w:rsid w:val="006170EB"/>
    <w:rsid w:val="00625CFB"/>
    <w:rsid w:val="00631933"/>
    <w:rsid w:val="006E6438"/>
    <w:rsid w:val="0077142A"/>
    <w:rsid w:val="0079734F"/>
    <w:rsid w:val="007D6D8E"/>
    <w:rsid w:val="00897682"/>
    <w:rsid w:val="008D24B2"/>
    <w:rsid w:val="008D4453"/>
    <w:rsid w:val="0094308D"/>
    <w:rsid w:val="009557CD"/>
    <w:rsid w:val="009D1483"/>
    <w:rsid w:val="009E1C94"/>
    <w:rsid w:val="009F2766"/>
    <w:rsid w:val="009F4138"/>
    <w:rsid w:val="009F6ECE"/>
    <w:rsid w:val="00AD4C56"/>
    <w:rsid w:val="00B23AAF"/>
    <w:rsid w:val="00B30283"/>
    <w:rsid w:val="00C01520"/>
    <w:rsid w:val="00C22F53"/>
    <w:rsid w:val="00C2794B"/>
    <w:rsid w:val="00D232D9"/>
    <w:rsid w:val="00D7337E"/>
    <w:rsid w:val="00D77328"/>
    <w:rsid w:val="00D930A4"/>
    <w:rsid w:val="00DF3BF4"/>
    <w:rsid w:val="00E1373F"/>
    <w:rsid w:val="00E246A5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68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Heading2Char">
    <w:name w:val="Heading 2 Char"/>
    <w:basedOn w:val="DefaultParagraphFont"/>
    <w:link w:val="Heading2"/>
    <w:semiHidden/>
    <w:rsid w:val="00196840"/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NoSpacing">
    <w:name w:val="No Spacing"/>
    <w:uiPriority w:val="1"/>
    <w:qFormat/>
    <w:rsid w:val="009F4138"/>
    <w:rPr>
      <w:sz w:val="24"/>
      <w:szCs w:val="24"/>
    </w:rPr>
  </w:style>
  <w:style w:type="paragraph" w:customStyle="1" w:styleId="Style1">
    <w:name w:val="Style1"/>
    <w:basedOn w:val="Normal"/>
    <w:uiPriority w:val="99"/>
    <w:rsid w:val="00B30283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B30283"/>
    <w:rPr>
      <w:rFonts w:ascii="Times New Roman" w:hAnsi="Times New Roman" w:cs="Times New Roman"/>
      <w:b/>
      <w:bCs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5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520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BF39-1E21-4C2B-ABC7-ED089254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20</cp:revision>
  <cp:lastPrinted>2017-09-12T08:41:00Z</cp:lastPrinted>
  <dcterms:created xsi:type="dcterms:W3CDTF">2020-08-25T09:31:00Z</dcterms:created>
  <dcterms:modified xsi:type="dcterms:W3CDTF">2020-08-25T22:25:00Z</dcterms:modified>
</cp:coreProperties>
</file>