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E350D5" w14:textId="77777777" w:rsidR="00356256" w:rsidRDefault="00356256" w:rsidP="00C847EB">
      <w:pPr>
        <w:spacing w:after="0" w:line="240" w:lineRule="auto"/>
        <w:ind w:left="1440" w:hanging="720"/>
        <w:jc w:val="center"/>
      </w:pPr>
    </w:p>
    <w:p w14:paraId="290CFA74" w14:textId="77777777" w:rsidR="00356256" w:rsidRDefault="00356256" w:rsidP="00C847EB">
      <w:pPr>
        <w:spacing w:after="0" w:line="240" w:lineRule="auto"/>
        <w:ind w:left="1440" w:hanging="720"/>
        <w:jc w:val="center"/>
      </w:pPr>
    </w:p>
    <w:p w14:paraId="445F4E23" w14:textId="77777777" w:rsidR="00356256" w:rsidRDefault="00356256" w:rsidP="00C847EB">
      <w:pPr>
        <w:spacing w:after="0" w:line="240" w:lineRule="auto"/>
        <w:ind w:left="1440" w:hanging="720"/>
        <w:jc w:val="center"/>
      </w:pPr>
    </w:p>
    <w:p w14:paraId="5C789D39" w14:textId="77777777" w:rsidR="00356256" w:rsidRDefault="00356256" w:rsidP="00C847EB">
      <w:pPr>
        <w:spacing w:after="0" w:line="240" w:lineRule="auto"/>
        <w:ind w:left="1440" w:hanging="720"/>
        <w:jc w:val="center"/>
      </w:pPr>
    </w:p>
    <w:p w14:paraId="56AA5663" w14:textId="77777777" w:rsidR="00356256" w:rsidRPr="00356256" w:rsidRDefault="00356256" w:rsidP="00356256">
      <w:pPr>
        <w:spacing w:after="0" w:line="240" w:lineRule="auto"/>
        <w:ind w:left="1440" w:hanging="720"/>
        <w:jc w:val="center"/>
      </w:pPr>
    </w:p>
    <w:p w14:paraId="5FC0EE67" w14:textId="77777777" w:rsidR="00356256" w:rsidRPr="00356256" w:rsidRDefault="00356256" w:rsidP="00356256">
      <w:pPr>
        <w:spacing w:after="0" w:line="240" w:lineRule="auto"/>
        <w:ind w:left="1440" w:hanging="720"/>
        <w:jc w:val="center"/>
      </w:pPr>
    </w:p>
    <w:p w14:paraId="0786C87A" w14:textId="77777777" w:rsidR="00356256" w:rsidRPr="00356256" w:rsidRDefault="00356256" w:rsidP="00356256">
      <w:pPr>
        <w:spacing w:after="0" w:line="240" w:lineRule="auto"/>
        <w:ind w:left="1440" w:hanging="720"/>
        <w:jc w:val="center"/>
      </w:pPr>
    </w:p>
    <w:p w14:paraId="58C5A8BD" w14:textId="77777777" w:rsidR="00356256" w:rsidRPr="00356256" w:rsidRDefault="00356256" w:rsidP="00356256">
      <w:pPr>
        <w:spacing w:after="0" w:line="240" w:lineRule="auto"/>
        <w:ind w:left="1440" w:hanging="720"/>
        <w:jc w:val="center"/>
      </w:pPr>
    </w:p>
    <w:p w14:paraId="31E7523F" w14:textId="77777777" w:rsidR="00356256" w:rsidRPr="00356256" w:rsidRDefault="00356256" w:rsidP="00356256">
      <w:pPr>
        <w:spacing w:after="0" w:line="480" w:lineRule="auto"/>
        <w:ind w:left="1440" w:hanging="720"/>
        <w:jc w:val="center"/>
      </w:pPr>
    </w:p>
    <w:p w14:paraId="124B10D5" w14:textId="77777777" w:rsidR="00356256" w:rsidRPr="00356256" w:rsidRDefault="00356256" w:rsidP="00356256">
      <w:pPr>
        <w:spacing w:after="0" w:line="480" w:lineRule="auto"/>
        <w:ind w:left="1440" w:hanging="720"/>
        <w:jc w:val="center"/>
      </w:pPr>
    </w:p>
    <w:p w14:paraId="0083CE65" w14:textId="620B92C6" w:rsidR="00356256" w:rsidRPr="00356256" w:rsidRDefault="005329EE" w:rsidP="003356E5">
      <w:pPr>
        <w:spacing w:after="0" w:line="480" w:lineRule="auto"/>
        <w:ind w:left="720" w:hanging="720"/>
        <w:jc w:val="center"/>
      </w:pPr>
      <w:r>
        <w:t xml:space="preserve">Bovine </w:t>
      </w:r>
      <w:r w:rsidR="00427A2F">
        <w:t>Power, Human Experiences</w:t>
      </w:r>
      <w:r w:rsidR="00356256" w:rsidRPr="00356256">
        <w:t>:</w:t>
      </w:r>
    </w:p>
    <w:p w14:paraId="5B91AA38" w14:textId="3F738307" w:rsidR="00356256" w:rsidRPr="00356256" w:rsidRDefault="00356256" w:rsidP="003356E5">
      <w:pPr>
        <w:spacing w:after="0" w:line="480" w:lineRule="auto"/>
        <w:ind w:left="720" w:hanging="720"/>
        <w:jc w:val="center"/>
      </w:pPr>
      <w:r w:rsidRPr="00356256">
        <w:t>Performance of Class in the Socio</w:t>
      </w:r>
      <w:r w:rsidR="008A4FFB">
        <w:t>e</w:t>
      </w:r>
      <w:r w:rsidRPr="00356256">
        <w:t>conomic Institutions of Early Medieval Ireland</w:t>
      </w:r>
    </w:p>
    <w:p w14:paraId="7BA3A8B0" w14:textId="77777777" w:rsidR="00356256" w:rsidRPr="00356256" w:rsidRDefault="00356256" w:rsidP="003356E5">
      <w:pPr>
        <w:spacing w:after="0" w:line="480" w:lineRule="auto"/>
      </w:pPr>
    </w:p>
    <w:p w14:paraId="508B515C" w14:textId="77777777" w:rsidR="00356256" w:rsidRPr="00356256" w:rsidRDefault="00356256" w:rsidP="003356E5">
      <w:pPr>
        <w:spacing w:after="0" w:line="480" w:lineRule="auto"/>
        <w:ind w:left="720" w:hanging="720"/>
        <w:jc w:val="center"/>
      </w:pPr>
    </w:p>
    <w:p w14:paraId="0BBD2625" w14:textId="77777777" w:rsidR="00356256" w:rsidRPr="00356256" w:rsidRDefault="00356256" w:rsidP="003356E5">
      <w:pPr>
        <w:spacing w:after="0" w:line="480" w:lineRule="auto"/>
        <w:ind w:left="720" w:hanging="720"/>
        <w:jc w:val="center"/>
      </w:pPr>
    </w:p>
    <w:p w14:paraId="726D063F" w14:textId="77777777" w:rsidR="00356256" w:rsidRPr="00356256" w:rsidRDefault="00356256" w:rsidP="003356E5">
      <w:pPr>
        <w:spacing w:after="0" w:line="480" w:lineRule="auto"/>
        <w:ind w:left="720" w:hanging="720"/>
        <w:jc w:val="center"/>
      </w:pPr>
    </w:p>
    <w:p w14:paraId="5B95908D" w14:textId="77777777" w:rsidR="00356256" w:rsidRPr="00356256" w:rsidRDefault="00356256" w:rsidP="003356E5">
      <w:pPr>
        <w:spacing w:after="0" w:line="480" w:lineRule="auto"/>
        <w:ind w:left="720" w:hanging="720"/>
        <w:jc w:val="center"/>
      </w:pPr>
    </w:p>
    <w:p w14:paraId="4702EEBD" w14:textId="77777777" w:rsidR="007D1817" w:rsidRDefault="007D1817" w:rsidP="003356E5">
      <w:pPr>
        <w:spacing w:after="0" w:line="480" w:lineRule="auto"/>
        <w:ind w:left="720" w:hanging="720"/>
        <w:jc w:val="center"/>
      </w:pPr>
    </w:p>
    <w:p w14:paraId="13C7ECDB" w14:textId="77777777" w:rsidR="007D1817" w:rsidRDefault="007D1817" w:rsidP="003356E5">
      <w:pPr>
        <w:spacing w:after="0" w:line="480" w:lineRule="auto"/>
        <w:ind w:left="720" w:hanging="720"/>
        <w:jc w:val="center"/>
      </w:pPr>
    </w:p>
    <w:p w14:paraId="7119ACFB" w14:textId="77777777" w:rsidR="007D1817" w:rsidRDefault="007D1817" w:rsidP="003356E5">
      <w:pPr>
        <w:spacing w:after="0" w:line="480" w:lineRule="auto"/>
        <w:ind w:left="720" w:hanging="720"/>
        <w:jc w:val="center"/>
      </w:pPr>
    </w:p>
    <w:p w14:paraId="15F930D1" w14:textId="77777777" w:rsidR="007D1817" w:rsidRDefault="007D1817" w:rsidP="003356E5">
      <w:pPr>
        <w:spacing w:after="0" w:line="480" w:lineRule="auto"/>
        <w:ind w:left="720" w:hanging="720"/>
        <w:jc w:val="center"/>
      </w:pPr>
    </w:p>
    <w:p w14:paraId="0D955A95" w14:textId="77777777" w:rsidR="007D1817" w:rsidRDefault="007D1817" w:rsidP="003356E5">
      <w:pPr>
        <w:spacing w:after="0" w:line="480" w:lineRule="auto"/>
        <w:ind w:left="720" w:hanging="720"/>
        <w:jc w:val="center"/>
      </w:pPr>
    </w:p>
    <w:p w14:paraId="62A9AE5F" w14:textId="77777777" w:rsidR="008A4E1E" w:rsidRDefault="008A4E1E" w:rsidP="00D52CBB">
      <w:pPr>
        <w:spacing w:after="0" w:line="480" w:lineRule="auto"/>
      </w:pPr>
    </w:p>
    <w:p w14:paraId="13D76032" w14:textId="7AA5D917" w:rsidR="00356256" w:rsidRPr="00356256" w:rsidRDefault="00356256" w:rsidP="003356E5">
      <w:pPr>
        <w:spacing w:after="0" w:line="480" w:lineRule="auto"/>
        <w:ind w:left="720" w:hanging="720"/>
        <w:jc w:val="center"/>
      </w:pPr>
      <w:r>
        <w:t>Jack Corp</w:t>
      </w:r>
    </w:p>
    <w:p w14:paraId="48921204" w14:textId="611E3FA1" w:rsidR="00356256" w:rsidRDefault="00356256" w:rsidP="003356E5">
      <w:pPr>
        <w:spacing w:after="0" w:line="480" w:lineRule="auto"/>
        <w:ind w:left="720" w:hanging="720"/>
        <w:jc w:val="center"/>
      </w:pPr>
      <w:r w:rsidRPr="00356256">
        <w:t>HPRL 493: Senior Seminar</w:t>
      </w:r>
    </w:p>
    <w:p w14:paraId="607BEAF7" w14:textId="196ADC28" w:rsidR="00D52CBB" w:rsidRPr="00356256" w:rsidRDefault="00D52CBB" w:rsidP="003356E5">
      <w:pPr>
        <w:spacing w:after="0" w:line="480" w:lineRule="auto"/>
        <w:ind w:left="720" w:hanging="720"/>
        <w:jc w:val="center"/>
      </w:pPr>
      <w:r>
        <w:t>Fall 2020</w:t>
      </w:r>
    </w:p>
    <w:p w14:paraId="089D71AA" w14:textId="2EBA885C" w:rsidR="00356256" w:rsidRDefault="00356256" w:rsidP="00922211">
      <w:pPr>
        <w:spacing w:after="0" w:line="480" w:lineRule="auto"/>
        <w:ind w:left="720" w:hanging="720"/>
        <w:jc w:val="center"/>
      </w:pPr>
      <w:r w:rsidRPr="00356256">
        <w:t>Dr. Shelley Wolbrink</w:t>
      </w:r>
    </w:p>
    <w:p w14:paraId="7ADF5450" w14:textId="433082EE" w:rsidR="008A4D39" w:rsidRDefault="008A4D39" w:rsidP="004A3906">
      <w:pPr>
        <w:spacing w:after="0" w:line="240" w:lineRule="auto"/>
        <w:ind w:left="1440" w:hanging="720"/>
      </w:pPr>
      <w:r>
        <w:lastRenderedPageBreak/>
        <w:t xml:space="preserve">The </w:t>
      </w:r>
      <w:r w:rsidRPr="008A4D39">
        <w:rPr>
          <w:i/>
          <w:iCs/>
        </w:rPr>
        <w:t>rath</w:t>
      </w:r>
      <w:r>
        <w:t xml:space="preserve"> of Cruacha has vanished together with Ailill the victorious; fair above the kingdoms is the majesty in the city of Clonmacnoise.</w:t>
      </w:r>
    </w:p>
    <w:p w14:paraId="41F28F60" w14:textId="15C71622" w:rsidR="008A4D39" w:rsidRDefault="008A4D39" w:rsidP="004A3906">
      <w:pPr>
        <w:spacing w:after="0" w:line="240" w:lineRule="auto"/>
        <w:ind w:left="1440" w:hanging="720"/>
      </w:pPr>
      <w:r>
        <w:t xml:space="preserve">The proud fortress of Allen has perished with her boastful host; great is victorious Brigit, beautiful her crowded city. </w:t>
      </w:r>
    </w:p>
    <w:p w14:paraId="49FECB03" w14:textId="22DC87E9" w:rsidR="00D4150B" w:rsidRDefault="008A4D39" w:rsidP="004A3906">
      <w:pPr>
        <w:spacing w:after="0" w:line="240" w:lineRule="auto"/>
        <w:ind w:left="1440" w:hanging="720"/>
      </w:pPr>
      <w:r>
        <w:t>The fortress of Emain has faded away; only its stones survive; crowded Glendalough is the Rome of the Western World.</w:t>
      </w:r>
      <w:r>
        <w:rPr>
          <w:rStyle w:val="FootnoteReference"/>
        </w:rPr>
        <w:footnoteReference w:id="1"/>
      </w:r>
    </w:p>
    <w:p w14:paraId="0156C466" w14:textId="77777777" w:rsidR="00B241A5" w:rsidRDefault="00B241A5" w:rsidP="004A3906">
      <w:pPr>
        <w:spacing w:after="0" w:line="240" w:lineRule="auto"/>
        <w:ind w:left="1440" w:hanging="720"/>
      </w:pPr>
    </w:p>
    <w:p w14:paraId="2D4BDBDD" w14:textId="3EC49544" w:rsidR="003E15E7" w:rsidRDefault="00AF4085" w:rsidP="008A00A8">
      <w:pPr>
        <w:spacing w:after="0" w:line="480" w:lineRule="auto"/>
        <w:ind w:firstLine="720"/>
      </w:pPr>
      <w:r>
        <w:t>By the fifth</w:t>
      </w:r>
      <w:r w:rsidR="00870552">
        <w:t xml:space="preserve"> </w:t>
      </w:r>
      <w:r>
        <w:t xml:space="preserve">century, </w:t>
      </w:r>
      <w:r w:rsidR="00037AA7">
        <w:t xml:space="preserve">the </w:t>
      </w:r>
      <w:r>
        <w:t>moors</w:t>
      </w:r>
      <w:r w:rsidR="007C20FB">
        <w:t xml:space="preserve"> of Ireland no longer</w:t>
      </w:r>
      <w:r w:rsidR="00C22714">
        <w:t xml:space="preserve"> echo</w:t>
      </w:r>
      <w:r w:rsidR="007C20FB">
        <w:t>ed</w:t>
      </w:r>
      <w:r w:rsidR="00C22714">
        <w:t xml:space="preserve"> </w:t>
      </w:r>
      <w:r w:rsidR="00B36DCF">
        <w:t>the sounds of conquest</w:t>
      </w:r>
      <w:r w:rsidR="00352E66">
        <w:t xml:space="preserve"> as the </w:t>
      </w:r>
      <w:r w:rsidR="00286071">
        <w:t xml:space="preserve">age </w:t>
      </w:r>
      <w:r w:rsidR="00517FC7">
        <w:t xml:space="preserve">of </w:t>
      </w:r>
      <w:r w:rsidR="000A41DC">
        <w:t>the great</w:t>
      </w:r>
      <w:r w:rsidR="002F7D7B">
        <w:t xml:space="preserve"> epics</w:t>
      </w:r>
      <w:r w:rsidR="00835270">
        <w:t>, of</w:t>
      </w:r>
      <w:r w:rsidR="003D553B">
        <w:t xml:space="preserve"> chariot-driving warriors</w:t>
      </w:r>
      <w:r w:rsidR="008B6500">
        <w:t xml:space="preserve"> and hill-forts</w:t>
      </w:r>
      <w:r w:rsidR="00B86007">
        <w:t xml:space="preserve">, </w:t>
      </w:r>
      <w:r w:rsidR="005A79AB">
        <w:t>receded</w:t>
      </w:r>
      <w:r w:rsidR="0047501C">
        <w:t xml:space="preserve"> into collective remembrance</w:t>
      </w:r>
      <w:r w:rsidR="00286071">
        <w:t xml:space="preserve">. </w:t>
      </w:r>
      <w:r w:rsidR="00D542BC">
        <w:t>These old Irish</w:t>
      </w:r>
      <w:r w:rsidR="008217C3">
        <w:t xml:space="preserve"> </w:t>
      </w:r>
      <w:r w:rsidR="00D542BC">
        <w:t>sagas</w:t>
      </w:r>
      <w:r w:rsidR="00BF2DFB">
        <w:t xml:space="preserve"> and legends</w:t>
      </w:r>
      <w:r w:rsidR="0060071F">
        <w:t xml:space="preserve">, </w:t>
      </w:r>
      <w:r w:rsidR="00190DC4">
        <w:t xml:space="preserve">much like </w:t>
      </w:r>
      <w:r w:rsidR="00D67E60">
        <w:t>Homeric heroes</w:t>
      </w:r>
      <w:r w:rsidR="0060071F">
        <w:t xml:space="preserve">, </w:t>
      </w:r>
      <w:r w:rsidR="00446764">
        <w:t>reflected</w:t>
      </w:r>
      <w:r w:rsidR="007F3395">
        <w:t xml:space="preserve"> historical currents</w:t>
      </w:r>
      <w:r w:rsidR="00E47B93">
        <w:t xml:space="preserve"> of </w:t>
      </w:r>
      <w:r w:rsidR="00753236">
        <w:t xml:space="preserve">once </w:t>
      </w:r>
      <w:r w:rsidR="007B12AE">
        <w:t>“</w:t>
      </w:r>
      <w:r w:rsidR="006E2FA3">
        <w:t>boastful</w:t>
      </w:r>
      <w:r w:rsidR="00B10DE1">
        <w:t xml:space="preserve"> </w:t>
      </w:r>
      <w:r w:rsidR="006E2FA3">
        <w:t>host</w:t>
      </w:r>
      <w:r w:rsidR="00773736">
        <w:t>s</w:t>
      </w:r>
      <w:r w:rsidR="007B12AE">
        <w:t xml:space="preserve">” </w:t>
      </w:r>
      <w:r w:rsidR="006E2FA3">
        <w:t xml:space="preserve">and </w:t>
      </w:r>
      <w:r w:rsidR="007B12AE">
        <w:t>“</w:t>
      </w:r>
      <w:r w:rsidR="006E2FA3">
        <w:t>proud fortresses</w:t>
      </w:r>
      <w:r w:rsidR="007B12AE">
        <w:t>”</w:t>
      </w:r>
      <w:r w:rsidR="00B10DE1">
        <w:t xml:space="preserve"> </w:t>
      </w:r>
      <w:r w:rsidR="00EE67C7">
        <w:t>– an</w:t>
      </w:r>
      <w:r w:rsidR="004C1A1C">
        <w:t xml:space="preserve"> </w:t>
      </w:r>
      <w:r w:rsidR="00B54CD6">
        <w:t xml:space="preserve">age invoked by the kings </w:t>
      </w:r>
      <w:r w:rsidR="008A00A8">
        <w:t>who rendered Ireland divided.</w:t>
      </w:r>
      <w:r w:rsidR="0019453A">
        <w:rPr>
          <w:rStyle w:val="FootnoteReference"/>
        </w:rPr>
        <w:footnoteReference w:id="2"/>
      </w:r>
      <w:r w:rsidR="00BB76EB">
        <w:t xml:space="preserve"> A</w:t>
      </w:r>
      <w:r w:rsidR="00BB76EB" w:rsidRPr="00BB76EB">
        <w:t>fter c</w:t>
      </w:r>
      <w:r w:rsidR="002E695F">
        <w:t>.</w:t>
      </w:r>
      <w:r w:rsidR="002946F7">
        <w:t xml:space="preserve"> </w:t>
      </w:r>
      <w:r w:rsidR="00BB76EB" w:rsidRPr="00BB76EB">
        <w:t>500</w:t>
      </w:r>
      <w:r w:rsidR="00BB76EB">
        <w:t>,</w:t>
      </w:r>
      <w:r w:rsidR="008A00A8">
        <w:t xml:space="preserve"> </w:t>
      </w:r>
      <w:r w:rsidR="00BB76EB">
        <w:t>p</w:t>
      </w:r>
      <w:r w:rsidR="00B44A36" w:rsidRPr="00B44A36">
        <w:t>atterns</w:t>
      </w:r>
      <w:r w:rsidR="001D2368">
        <w:t xml:space="preserve"> of</w:t>
      </w:r>
      <w:r w:rsidR="004C2709">
        <w:t xml:space="preserve"> </w:t>
      </w:r>
      <w:r w:rsidR="00B44A36" w:rsidRPr="00B44A36">
        <w:t>conquest</w:t>
      </w:r>
      <w:r w:rsidR="004D6B58">
        <w:t>,</w:t>
      </w:r>
      <w:r w:rsidR="00FA32CE">
        <w:t xml:space="preserve"> </w:t>
      </w:r>
      <w:r w:rsidR="00376BBD">
        <w:t>division</w:t>
      </w:r>
      <w:r w:rsidR="00FA32CE">
        <w:t>, and expansion,</w:t>
      </w:r>
      <w:r w:rsidR="004D6B58">
        <w:t xml:space="preserve"> </w:t>
      </w:r>
      <w:r w:rsidR="00FA32CE">
        <w:t xml:space="preserve">captured by the </w:t>
      </w:r>
      <w:r w:rsidR="0095600B">
        <w:t xml:space="preserve">prologue of Saint </w:t>
      </w:r>
      <w:r w:rsidR="0095600B" w:rsidRPr="0095600B">
        <w:t>Óengus’</w:t>
      </w:r>
      <w:r w:rsidR="00601512">
        <w:t xml:space="preserve"> </w:t>
      </w:r>
      <w:r w:rsidR="00C211AA">
        <w:t>ninth</w:t>
      </w:r>
      <w:r w:rsidR="00945928">
        <w:t>-</w:t>
      </w:r>
      <w:r w:rsidR="00601512">
        <w:t>century</w:t>
      </w:r>
      <w:r w:rsidR="0095600B" w:rsidRPr="0095600B">
        <w:t xml:space="preserve"> </w:t>
      </w:r>
      <w:r w:rsidR="0095600B" w:rsidRPr="0095600B">
        <w:rPr>
          <w:i/>
          <w:iCs/>
        </w:rPr>
        <w:t xml:space="preserve">Martyrology </w:t>
      </w:r>
      <w:r w:rsidR="00F37235">
        <w:t>[</w:t>
      </w:r>
      <w:r w:rsidR="0095600B" w:rsidRPr="0095600B">
        <w:rPr>
          <w:i/>
          <w:iCs/>
        </w:rPr>
        <w:t>Félire Óengusso</w:t>
      </w:r>
      <w:r w:rsidR="00F37235">
        <w:t>]</w:t>
      </w:r>
      <w:r w:rsidR="00A05073">
        <w:t xml:space="preserve">, </w:t>
      </w:r>
      <w:r w:rsidR="00276829">
        <w:t>produced</w:t>
      </w:r>
      <w:r w:rsidR="007E5EAC">
        <w:t xml:space="preserve"> an agricultural society of nearly</w:t>
      </w:r>
      <w:r w:rsidR="007A32F1">
        <w:t xml:space="preserve"> 150 </w:t>
      </w:r>
      <w:r w:rsidR="007A32F1">
        <w:rPr>
          <w:i/>
          <w:iCs/>
        </w:rPr>
        <w:t>túatha,</w:t>
      </w:r>
      <w:r w:rsidR="0074765F">
        <w:rPr>
          <w:i/>
          <w:iCs/>
        </w:rPr>
        <w:t xml:space="preserve"> </w:t>
      </w:r>
      <w:r w:rsidR="0074765F">
        <w:t>minor domains</w:t>
      </w:r>
      <w:r w:rsidR="007A32F1">
        <w:rPr>
          <w:i/>
          <w:iCs/>
        </w:rPr>
        <w:t xml:space="preserve"> </w:t>
      </w:r>
      <w:r w:rsidR="007A32F1">
        <w:t>or “peoples</w:t>
      </w:r>
      <w:r w:rsidR="004F5886">
        <w:t>,</w:t>
      </w:r>
      <w:r w:rsidR="007A32F1">
        <w:t xml:space="preserve">” </w:t>
      </w:r>
      <w:r w:rsidR="009B6B6F">
        <w:t xml:space="preserve">each </w:t>
      </w:r>
      <w:r w:rsidR="00FC6841" w:rsidRPr="00FC6841">
        <w:t>“an indubitably aristocratic polity”</w:t>
      </w:r>
      <w:r w:rsidR="00FC6841">
        <w:t xml:space="preserve"> </w:t>
      </w:r>
      <w:r w:rsidR="009B6B6F">
        <w:t>with its own king (</w:t>
      </w:r>
      <w:r w:rsidR="009B6B6F">
        <w:rPr>
          <w:i/>
          <w:iCs/>
        </w:rPr>
        <w:t>rí</w:t>
      </w:r>
      <w:r w:rsidR="009B6B6F" w:rsidRPr="003D03E1">
        <w:rPr>
          <w:i/>
          <w:iCs/>
        </w:rPr>
        <w:t>)</w:t>
      </w:r>
      <w:r w:rsidR="009B6B6F" w:rsidRPr="004D6803">
        <w:t>.</w:t>
      </w:r>
      <w:r w:rsidR="009B6B6F" w:rsidRPr="004D6803">
        <w:rPr>
          <w:vertAlign w:val="superscript"/>
        </w:rPr>
        <w:footnoteReference w:id="3"/>
      </w:r>
      <w:r w:rsidR="00712C93" w:rsidRPr="003D03E1">
        <w:rPr>
          <w:i/>
          <w:iCs/>
        </w:rPr>
        <w:t xml:space="preserve"> </w:t>
      </w:r>
      <w:r w:rsidR="003D03E1" w:rsidRPr="004D76BD">
        <w:t xml:space="preserve">Between the arrival of Christianity </w:t>
      </w:r>
      <w:r w:rsidR="000F3187">
        <w:t>in</w:t>
      </w:r>
      <w:r w:rsidR="001F0D44">
        <w:t xml:space="preserve"> the</w:t>
      </w:r>
      <w:r w:rsidR="000F3187">
        <w:t xml:space="preserve"> fifth</w:t>
      </w:r>
      <w:r w:rsidR="00240510">
        <w:t xml:space="preserve"> </w:t>
      </w:r>
      <w:r w:rsidR="000F3187">
        <w:t xml:space="preserve">century </w:t>
      </w:r>
      <w:r w:rsidR="003D03E1" w:rsidRPr="004D76BD">
        <w:t>and the development of Norse urban centers</w:t>
      </w:r>
      <w:r w:rsidR="000F3187">
        <w:t xml:space="preserve"> around </w:t>
      </w:r>
      <w:r w:rsidR="003D03E1" w:rsidRPr="004D76BD">
        <w:t>840</w:t>
      </w:r>
      <w:r w:rsidR="000F3187">
        <w:t>,</w:t>
      </w:r>
      <w:r w:rsidR="00CB3CF5">
        <w:t xml:space="preserve"> each level</w:t>
      </w:r>
      <w:r w:rsidR="00971541">
        <w:t xml:space="preserve"> of </w:t>
      </w:r>
      <w:r w:rsidR="003D03E1">
        <w:t xml:space="preserve">old Irish </w:t>
      </w:r>
      <w:r w:rsidR="00971541">
        <w:t>society</w:t>
      </w:r>
      <w:r w:rsidR="00CB3CF5">
        <w:t>, from the kings to the commoners</w:t>
      </w:r>
      <w:r w:rsidR="00F611B3">
        <w:t xml:space="preserve"> and the slaves, </w:t>
      </w:r>
      <w:r w:rsidR="00856C32">
        <w:t xml:space="preserve">featured </w:t>
      </w:r>
      <w:r w:rsidR="002B39EB">
        <w:t xml:space="preserve">a </w:t>
      </w:r>
      <w:r w:rsidR="00170C80">
        <w:t xml:space="preserve">class </w:t>
      </w:r>
      <w:r w:rsidR="002B39EB">
        <w:t>hierarchy</w:t>
      </w:r>
      <w:r w:rsidR="00170C80">
        <w:t xml:space="preserve"> dependent</w:t>
      </w:r>
      <w:r w:rsidR="00996DEC">
        <w:t xml:space="preserve"> on the socioeconomic </w:t>
      </w:r>
      <w:r w:rsidR="000F3187">
        <w:t>institution</w:t>
      </w:r>
      <w:r w:rsidR="00996DEC">
        <w:t xml:space="preserve"> of</w:t>
      </w:r>
      <w:r w:rsidR="00170C80">
        <w:t xml:space="preserve"> clientship</w:t>
      </w:r>
      <w:r w:rsidR="000117BB">
        <w:t xml:space="preserve">. </w:t>
      </w:r>
      <w:r w:rsidR="00711656">
        <w:t>Powerful k</w:t>
      </w:r>
      <w:r w:rsidR="008D111E">
        <w:t>ings</w:t>
      </w:r>
      <w:r w:rsidR="00AD6BA5">
        <w:t xml:space="preserve"> </w:t>
      </w:r>
      <w:r w:rsidR="00945E71">
        <w:t xml:space="preserve">formed courts of </w:t>
      </w:r>
      <w:r w:rsidR="00431833">
        <w:t xml:space="preserve">aristocrats </w:t>
      </w:r>
      <w:r w:rsidR="00D61F4E">
        <w:t xml:space="preserve">and </w:t>
      </w:r>
      <w:r w:rsidR="00020B67">
        <w:t>lesser kings</w:t>
      </w:r>
      <w:r w:rsidR="008D0AE4">
        <w:t>; superior aristocrat</w:t>
      </w:r>
      <w:r w:rsidR="008B4FFA">
        <w:t xml:space="preserve">s </w:t>
      </w:r>
      <w:r w:rsidR="00945E71" w:rsidRPr="00945E71">
        <w:t xml:space="preserve">accumulated patron-client relationships with </w:t>
      </w:r>
      <w:r w:rsidR="00B9791E">
        <w:t>commoners and</w:t>
      </w:r>
      <w:r w:rsidR="00C82B4D">
        <w:t xml:space="preserve"> lesser aristocrats</w:t>
      </w:r>
      <w:r w:rsidR="00346A33">
        <w:t xml:space="preserve"> – </w:t>
      </w:r>
      <w:r w:rsidR="00D60B88">
        <w:t>an</w:t>
      </w:r>
      <w:r w:rsidR="00346A33">
        <w:t xml:space="preserve"> overlordship</w:t>
      </w:r>
      <w:r w:rsidR="00D60B88">
        <w:t xml:space="preserve"> </w:t>
      </w:r>
      <w:r w:rsidR="00346A33">
        <w:t xml:space="preserve">expressed by the exchange of cattle, </w:t>
      </w:r>
      <w:r w:rsidR="00E16AA9">
        <w:t>aid in combat, and the prestige of one’s retinue</w:t>
      </w:r>
      <w:r w:rsidR="004F5263">
        <w:t>.</w:t>
      </w:r>
      <w:r w:rsidR="004F5263">
        <w:rPr>
          <w:rStyle w:val="FootnoteReference"/>
        </w:rPr>
        <w:footnoteReference w:id="4"/>
      </w:r>
      <w:r w:rsidR="007A7196">
        <w:t xml:space="preserve"> </w:t>
      </w:r>
      <w:r w:rsidR="00A213B7">
        <w:t xml:space="preserve"> </w:t>
      </w:r>
      <w:r w:rsidR="0075555A">
        <w:t>Within this</w:t>
      </w:r>
      <w:r w:rsidR="000D63A7">
        <w:t xml:space="preserve"> ranked</w:t>
      </w:r>
      <w:r w:rsidR="0075555A">
        <w:t xml:space="preserve"> system</w:t>
      </w:r>
      <w:r w:rsidR="00C5452B">
        <w:t xml:space="preserve">, </w:t>
      </w:r>
      <w:r w:rsidR="00E96357">
        <w:t xml:space="preserve">constructed by elaborate legal tracts, </w:t>
      </w:r>
      <w:r w:rsidR="001812D2">
        <w:t xml:space="preserve">class </w:t>
      </w:r>
      <w:r w:rsidR="004C7E8E" w:rsidRPr="002C7AD1">
        <w:t>status shape</w:t>
      </w:r>
      <w:r w:rsidR="001A655F">
        <w:t>d</w:t>
      </w:r>
      <w:r w:rsidR="00841C8A">
        <w:t xml:space="preserve"> a person’s </w:t>
      </w:r>
      <w:r w:rsidR="004C7E8E" w:rsidRPr="002C7AD1">
        <w:t>capacity to engage in the worl</w:t>
      </w:r>
      <w:r w:rsidR="00926ED7">
        <w:t>d</w:t>
      </w:r>
      <w:r w:rsidR="006D27AD">
        <w:t>, to participate in the</w:t>
      </w:r>
      <w:r w:rsidR="00680980">
        <w:t xml:space="preserve"> structural features of society.</w:t>
      </w:r>
      <w:r w:rsidR="003D03E1">
        <w:t xml:space="preserve"> </w:t>
      </w:r>
      <w:r w:rsidR="004C7E8E" w:rsidRPr="002C7AD1">
        <w:t>Maintenance o</w:t>
      </w:r>
      <w:r w:rsidR="00590E9F">
        <w:t>f these class</w:t>
      </w:r>
      <w:r w:rsidR="004C7E8E" w:rsidRPr="002C7AD1">
        <w:t xml:space="preserve"> divisions</w:t>
      </w:r>
      <w:r w:rsidR="00717BD4">
        <w:t xml:space="preserve"> </w:t>
      </w:r>
      <w:r w:rsidR="00560DE2">
        <w:t xml:space="preserve">manipulated the </w:t>
      </w:r>
      <w:r w:rsidR="0075157D" w:rsidRPr="0075157D">
        <w:t>imbalance</w:t>
      </w:r>
      <w:r w:rsidR="008E58ED">
        <w:t>s</w:t>
      </w:r>
      <w:r w:rsidR="0075157D" w:rsidRPr="0075157D">
        <w:t xml:space="preserve"> of Ireland’s pastoral </w:t>
      </w:r>
      <w:r w:rsidR="0075157D" w:rsidRPr="0075157D">
        <w:lastRenderedPageBreak/>
        <w:t>economy</w:t>
      </w:r>
      <w:r w:rsidR="0075157D">
        <w:t>.</w:t>
      </w:r>
      <w:r w:rsidR="009169BA">
        <w:t xml:space="preserve"> </w:t>
      </w:r>
      <w:r w:rsidR="00550D30">
        <w:t xml:space="preserve">Early Ireland’s </w:t>
      </w:r>
      <w:r w:rsidR="008C0E44">
        <w:t xml:space="preserve">hierarchical </w:t>
      </w:r>
      <w:r w:rsidR="00AB4C90">
        <w:t>system</w:t>
      </w:r>
      <w:r w:rsidR="008C0E44">
        <w:t xml:space="preserve"> </w:t>
      </w:r>
      <w:r w:rsidR="0051223B">
        <w:t>refers to rank</w:t>
      </w:r>
      <w:r w:rsidR="00D442BB">
        <w:t>, a</w:t>
      </w:r>
      <w:r w:rsidR="002260CA">
        <w:t xml:space="preserve"> “perceived”</w:t>
      </w:r>
      <w:r w:rsidR="00D442BB">
        <w:t xml:space="preserve"> construct </w:t>
      </w:r>
      <w:r w:rsidR="002260CA">
        <w:t xml:space="preserve">perpetuated through </w:t>
      </w:r>
      <w:r w:rsidR="00155491">
        <w:t>expression</w:t>
      </w:r>
      <w:r w:rsidR="008F32CF">
        <w:t>s</w:t>
      </w:r>
      <w:r w:rsidR="00155491">
        <w:t xml:space="preserve"> of prestige and </w:t>
      </w:r>
      <w:r w:rsidR="007D7D18">
        <w:t>ritual</w:t>
      </w:r>
      <w:r w:rsidR="00D442BB">
        <w:t xml:space="preserve"> performance</w:t>
      </w:r>
      <w:r w:rsidR="00375410">
        <w:t>, but not to political authority</w:t>
      </w:r>
      <w:r w:rsidR="000C4162">
        <w:t xml:space="preserve">, which manifests between low- and high-status groups </w:t>
      </w:r>
      <w:r w:rsidR="001B5255">
        <w:t xml:space="preserve">in </w:t>
      </w:r>
      <w:r w:rsidR="00EA2F42">
        <w:t>the everyday interactions with</w:t>
      </w:r>
      <w:r w:rsidR="00585BAD">
        <w:t>in</w:t>
      </w:r>
      <w:r w:rsidR="00EA2F42">
        <w:t xml:space="preserve"> </w:t>
      </w:r>
      <w:r w:rsidR="001B5255">
        <w:t>socioeconomic institutions</w:t>
      </w:r>
      <w:r w:rsidR="00C249DD">
        <w:t>.</w:t>
      </w:r>
      <w:r w:rsidR="001B5255">
        <w:t xml:space="preserve"> </w:t>
      </w:r>
    </w:p>
    <w:p w14:paraId="2BF4C95B" w14:textId="4FE6E642" w:rsidR="00FA2C31" w:rsidRDefault="00E73221" w:rsidP="00A13C6A">
      <w:pPr>
        <w:spacing w:after="0" w:line="480" w:lineRule="auto"/>
        <w:ind w:firstLine="720"/>
      </w:pPr>
      <w:r>
        <w:t>On s</w:t>
      </w:r>
      <w:r w:rsidR="004A3906" w:rsidRPr="004A3906">
        <w:t xml:space="preserve">cattered law tracts, </w:t>
      </w:r>
      <w:r w:rsidR="005D3D60">
        <w:t xml:space="preserve">known collectively as </w:t>
      </w:r>
      <w:r w:rsidR="00E21C97">
        <w:t>b</w:t>
      </w:r>
      <w:r w:rsidR="005D3D60">
        <w:t xml:space="preserve">rehon </w:t>
      </w:r>
      <w:r w:rsidR="00E21C97">
        <w:t>l</w:t>
      </w:r>
      <w:r w:rsidR="005D3D60">
        <w:t xml:space="preserve">aw, </w:t>
      </w:r>
      <w:r w:rsidR="004A3906" w:rsidRPr="004A3906">
        <w:t>many of which remain unedited and untranslated from the original Old Irish</w:t>
      </w:r>
      <w:r w:rsidR="00D97CA6">
        <w:t xml:space="preserve"> language</w:t>
      </w:r>
      <w:r w:rsidR="004A3906" w:rsidRPr="004A3906">
        <w:t xml:space="preserve">, the study of the social hierarchy of early medieval Ireland requires a sensitivity to the textuality of its sources. Past research into early Irish society, </w:t>
      </w:r>
      <w:r w:rsidR="002E181E">
        <w:t>championed</w:t>
      </w:r>
      <w:r w:rsidR="004A3906" w:rsidRPr="004A3906">
        <w:t xml:space="preserve"> by D.A. Binchy, Eoin MacNeill, and Rudolf </w:t>
      </w:r>
      <w:r w:rsidR="00F43E10">
        <w:t>Thurneysen</w:t>
      </w:r>
      <w:r w:rsidR="007B13C8">
        <w:t xml:space="preserve"> in the early twentieth century</w:t>
      </w:r>
      <w:r w:rsidR="004A3906" w:rsidRPr="004A3906">
        <w:t xml:space="preserve">, constructed the legalist frame in which later historians </w:t>
      </w:r>
      <w:r w:rsidR="00C8094F">
        <w:t>explored</w:t>
      </w:r>
      <w:r w:rsidR="004A3906" w:rsidRPr="004A3906">
        <w:t>, providing translations, collections, and interpretations of law.</w:t>
      </w:r>
      <w:r w:rsidR="005B17E0">
        <w:t xml:space="preserve"> </w:t>
      </w:r>
      <w:r w:rsidR="00FA2C31">
        <w:t xml:space="preserve">Access to these past scholars is primarily through </w:t>
      </w:r>
      <w:r w:rsidR="00FA2C31" w:rsidRPr="00FA2C31">
        <w:t>Fergus Kelly</w:t>
      </w:r>
      <w:r w:rsidR="00FA2C31">
        <w:t xml:space="preserve">’s </w:t>
      </w:r>
      <w:r w:rsidR="00FA2C31">
        <w:rPr>
          <w:i/>
          <w:iCs/>
        </w:rPr>
        <w:t>A Guide to Early Irish Law</w:t>
      </w:r>
      <w:r w:rsidR="00FA2C31">
        <w:t>.</w:t>
      </w:r>
      <w:r w:rsidR="00150FD0">
        <w:t xml:space="preserve"> </w:t>
      </w:r>
      <w:r w:rsidR="00FA2C31">
        <w:t>P</w:t>
      </w:r>
      <w:r w:rsidR="00FA2C31" w:rsidRPr="00FA2C31">
        <w:t>rofessor at the Dublin Institute for Advanced Studies</w:t>
      </w:r>
      <w:r w:rsidR="00FA2C31">
        <w:t>, an organization with deep ties to Binchy and MacNeill</w:t>
      </w:r>
      <w:r w:rsidR="00FA2C31" w:rsidRPr="00FA2C31">
        <w:t>,</w:t>
      </w:r>
      <w:r w:rsidR="00FA2C31">
        <w:t xml:space="preserve"> Kelly</w:t>
      </w:r>
      <w:r w:rsidR="00FA2C31" w:rsidRPr="00FA2C31">
        <w:t xml:space="preserve"> deconstructs the legal codes of early medieval Ireland. </w:t>
      </w:r>
      <w:r w:rsidR="00150FD0">
        <w:t xml:space="preserve">The majority of </w:t>
      </w:r>
      <w:r w:rsidR="00150FD0" w:rsidRPr="00150FD0">
        <w:t xml:space="preserve">featured law texts stem from Daniel Binchy’s untranslated collection of tracts, </w:t>
      </w:r>
      <w:r w:rsidR="00150FD0" w:rsidRPr="00150FD0">
        <w:rPr>
          <w:i/>
          <w:iCs/>
        </w:rPr>
        <w:t xml:space="preserve">Corpus Iuris Hibernici, </w:t>
      </w:r>
      <w:r w:rsidR="00150FD0" w:rsidRPr="00150FD0">
        <w:t>allowing indirect access to this valuable work</w:t>
      </w:r>
      <w:r w:rsidR="005B17E0">
        <w:t xml:space="preserve">. </w:t>
      </w:r>
      <w:r w:rsidR="007102C6">
        <w:t>Legal sources</w:t>
      </w:r>
      <w:r w:rsidR="00B34C5D">
        <w:t xml:space="preserve"> drive </w:t>
      </w:r>
      <w:r w:rsidR="000156BA">
        <w:t xml:space="preserve">the core of </w:t>
      </w:r>
      <w:r w:rsidR="00C016A4">
        <w:t xml:space="preserve">my </w:t>
      </w:r>
      <w:r w:rsidR="00B34C5D">
        <w:t>research.</w:t>
      </w:r>
      <w:r w:rsidR="00CD6E33">
        <w:t xml:space="preserve"> </w:t>
      </w:r>
      <w:r w:rsidR="00BB4751">
        <w:t xml:space="preserve">An analysis of the laws of status, </w:t>
      </w:r>
      <w:r w:rsidR="00150358">
        <w:t>alongside a discussion on</w:t>
      </w:r>
      <w:r w:rsidR="00BB4751">
        <w:t xml:space="preserve"> narrative sources and archeological data</w:t>
      </w:r>
      <w:r w:rsidR="00150358">
        <w:t>,</w:t>
      </w:r>
      <w:r w:rsidR="00317D97">
        <w:t xml:space="preserve"> illuminate</w:t>
      </w:r>
      <w:r w:rsidR="00150358">
        <w:t>s</w:t>
      </w:r>
      <w:r w:rsidR="00BB4751">
        <w:t xml:space="preserve"> the class imbalances</w:t>
      </w:r>
      <w:r w:rsidR="009D516B">
        <w:t xml:space="preserve"> inherent to early Ireland’s social structures.</w:t>
      </w:r>
      <w:r w:rsidR="00FD2592">
        <w:t xml:space="preserve"> </w:t>
      </w:r>
    </w:p>
    <w:p w14:paraId="5ABECB0C" w14:textId="2286C2B0" w:rsidR="004A3906" w:rsidRDefault="00A8045E" w:rsidP="00770D6B">
      <w:pPr>
        <w:spacing w:after="0" w:line="480" w:lineRule="auto"/>
        <w:ind w:firstLine="720"/>
      </w:pPr>
      <w:r>
        <w:t>I</w:t>
      </w:r>
      <w:r w:rsidR="004A3906" w:rsidRPr="004A3906">
        <w:t xml:space="preserve">n the 1990s, </w:t>
      </w:r>
      <w:r w:rsidR="00A237C5">
        <w:t xml:space="preserve">scholarship </w:t>
      </w:r>
      <w:r w:rsidR="00F05D2E">
        <w:t>move</w:t>
      </w:r>
      <w:r w:rsidR="00245FE3">
        <w:t>d</w:t>
      </w:r>
      <w:r w:rsidR="004A3906" w:rsidRPr="004A3906">
        <w:t xml:space="preserve"> beyond the broad structural strokes </w:t>
      </w:r>
      <w:r w:rsidR="00F05D2E">
        <w:t xml:space="preserve">of </w:t>
      </w:r>
      <w:r w:rsidR="00E24250">
        <w:t>legalist</w:t>
      </w:r>
      <w:r w:rsidR="002441AD">
        <w:t xml:space="preserve"> </w:t>
      </w:r>
      <w:r w:rsidR="004A3906" w:rsidRPr="004A3906">
        <w:t xml:space="preserve">historiography to emphasize the individual’s role in society. Kin-groups, clientship, status ranks, and a pastoral economy </w:t>
      </w:r>
      <w:r w:rsidR="007C1D42">
        <w:t xml:space="preserve">were not simply </w:t>
      </w:r>
      <w:r w:rsidR="00235F81">
        <w:t xml:space="preserve">elements of </w:t>
      </w:r>
      <w:r w:rsidR="00606C74">
        <w:t xml:space="preserve">a </w:t>
      </w:r>
      <w:r w:rsidR="00606C74">
        <w:rPr>
          <w:i/>
          <w:iCs/>
        </w:rPr>
        <w:t xml:space="preserve">túath </w:t>
      </w:r>
      <w:r w:rsidR="00606C74">
        <w:t xml:space="preserve">but </w:t>
      </w:r>
      <w:r w:rsidR="004A3906" w:rsidRPr="00606C74">
        <w:t>interacted</w:t>
      </w:r>
      <w:r w:rsidR="004A3906" w:rsidRPr="004A3906">
        <w:t xml:space="preserve"> to fashion a sense of the </w:t>
      </w:r>
      <w:r w:rsidR="00860393">
        <w:t xml:space="preserve">early Irish </w:t>
      </w:r>
      <w:r w:rsidR="004A3906" w:rsidRPr="004A3906">
        <w:t xml:space="preserve">self. </w:t>
      </w:r>
      <w:r w:rsidR="008D1A8E">
        <w:t xml:space="preserve">A turn from </w:t>
      </w:r>
      <w:r w:rsidR="008A7DB6">
        <w:t>legal sources positions narrative</w:t>
      </w:r>
      <w:r w:rsidR="00F243E6">
        <w:t xml:space="preserve"> tales</w:t>
      </w:r>
      <w:r w:rsidR="008A7DB6">
        <w:t xml:space="preserve">, </w:t>
      </w:r>
      <w:r w:rsidR="00966629">
        <w:t xml:space="preserve">hagiographic literature, </w:t>
      </w:r>
      <w:r w:rsidR="009403E2">
        <w:t xml:space="preserve">and archeological </w:t>
      </w:r>
      <w:r w:rsidR="00F243E6">
        <w:t>surveys as windows into the lived experience</w:t>
      </w:r>
      <w:r w:rsidR="00FF5F7E">
        <w:t xml:space="preserve">. </w:t>
      </w:r>
      <w:r w:rsidR="001D78E1">
        <w:t>M</w:t>
      </w:r>
      <w:r w:rsidR="004A3906" w:rsidRPr="004A3906">
        <w:t>odern scholar</w:t>
      </w:r>
      <w:r w:rsidR="001D78E1">
        <w:t>s</w:t>
      </w:r>
      <w:r w:rsidR="00AB2D47">
        <w:t xml:space="preserve">, such as </w:t>
      </w:r>
      <w:r w:rsidR="004A3906" w:rsidRPr="004A3906">
        <w:lastRenderedPageBreak/>
        <w:t>Thomas Charles-Edwards</w:t>
      </w:r>
      <w:r w:rsidR="00912B3E">
        <w:t xml:space="preserve"> and </w:t>
      </w:r>
      <w:r w:rsidR="004A3906" w:rsidRPr="004A3906">
        <w:t>Nerys Thomas Patterson</w:t>
      </w:r>
      <w:r w:rsidR="006D6D3F">
        <w:t xml:space="preserve"> </w:t>
      </w:r>
      <w:r w:rsidR="004A3906" w:rsidRPr="004A3906">
        <w:t>reconstruct the social structure</w:t>
      </w:r>
      <w:r w:rsidR="00402F23">
        <w:t xml:space="preserve"> of early medieval Ireland</w:t>
      </w:r>
      <w:r w:rsidR="004A3906" w:rsidRPr="004A3906">
        <w:t xml:space="preserve"> through comparative history</w:t>
      </w:r>
      <w:r w:rsidR="004D4490">
        <w:t xml:space="preserve"> and </w:t>
      </w:r>
      <w:r w:rsidR="004A3906" w:rsidRPr="004A3906">
        <w:t xml:space="preserve">historical sociology </w:t>
      </w:r>
      <w:r w:rsidR="00B278B9">
        <w:t xml:space="preserve">analysis. </w:t>
      </w:r>
    </w:p>
    <w:p w14:paraId="443A4420" w14:textId="03880BAF" w:rsidR="00683A9A" w:rsidRPr="00683A9A" w:rsidRDefault="00683A9A" w:rsidP="00683A9A">
      <w:pPr>
        <w:spacing w:after="0" w:line="480" w:lineRule="auto"/>
        <w:ind w:firstLine="720"/>
      </w:pPr>
      <w:r w:rsidRPr="00683A9A">
        <w:t xml:space="preserve">As the inheritor of the Binchy, MacNeill, and </w:t>
      </w:r>
      <w:r w:rsidR="00F43E10">
        <w:t>Thurneysen</w:t>
      </w:r>
      <w:r w:rsidRPr="00683A9A">
        <w:t xml:space="preserve"> legalist tradition, Thomas Charles-Edwards’ </w:t>
      </w:r>
      <w:r w:rsidRPr="00683A9A">
        <w:rPr>
          <w:i/>
          <w:iCs/>
        </w:rPr>
        <w:t>Early Irish and Welsh Kinship</w:t>
      </w:r>
      <w:r w:rsidRPr="00683A9A">
        <w:t>, published in 1993, concerns the nature and function of kindreds steeped in early Ireland</w:t>
      </w:r>
      <w:r w:rsidR="00F63DA4">
        <w:t>’</w:t>
      </w:r>
      <w:r w:rsidRPr="00683A9A">
        <w:t xml:space="preserve">s vernacular lawbooks. Even as </w:t>
      </w:r>
      <w:r w:rsidRPr="00683A9A">
        <w:rPr>
          <w:i/>
          <w:iCs/>
        </w:rPr>
        <w:t xml:space="preserve">Early Irish and Welsh Kinship </w:t>
      </w:r>
      <w:r w:rsidRPr="00683A9A">
        <w:t>proclaims a detachment from legal history, Charles-Edwards admits his sources are</w:t>
      </w:r>
      <w:r>
        <w:t>, for the most part,</w:t>
      </w:r>
      <w:r w:rsidRPr="00683A9A">
        <w:t xml:space="preserve"> predominantly legal as </w:t>
      </w:r>
      <w:r>
        <w:t>law</w:t>
      </w:r>
      <w:r w:rsidR="00841C8A">
        <w:t>-tracts</w:t>
      </w:r>
      <w:r>
        <w:t xml:space="preserve"> provide the </w:t>
      </w:r>
      <w:r w:rsidR="00841C8A">
        <w:t>earliest</w:t>
      </w:r>
      <w:r>
        <w:t xml:space="preserve"> written evidence on social relationships.</w:t>
      </w:r>
      <w:r>
        <w:rPr>
          <w:rStyle w:val="FootnoteReference"/>
        </w:rPr>
        <w:footnoteReference w:id="5"/>
      </w:r>
      <w:r w:rsidR="00D43CA2">
        <w:t xml:space="preserve"> </w:t>
      </w:r>
      <w:r w:rsidR="00246980">
        <w:t>Alt</w:t>
      </w:r>
      <w:r w:rsidRPr="00683A9A">
        <w:t>hough Hiberno-Latin hagiography, genealogies, and prose tales contribute to the study, Charles-Edwards’ central fissure from established thought is an emphasis on a system of ideas</w:t>
      </w:r>
      <w:r w:rsidR="0043471F">
        <w:t>:</w:t>
      </w:r>
      <w:r w:rsidRPr="00683A9A">
        <w:t xml:space="preserve"> the reconstruction of relationships between principal institutions and social categories. </w:t>
      </w:r>
      <w:r w:rsidR="00D6575D">
        <w:t>Further</w:t>
      </w:r>
      <w:r w:rsidR="00555921">
        <w:t xml:space="preserve"> sections </w:t>
      </w:r>
      <w:r w:rsidR="00761C08">
        <w:t xml:space="preserve">are not so clearly </w:t>
      </w:r>
      <w:r w:rsidR="00555921">
        <w:t>a break from</w:t>
      </w:r>
      <w:r w:rsidRPr="00683A9A">
        <w:t xml:space="preserve"> past paradigms</w:t>
      </w:r>
      <w:r w:rsidR="00984C01">
        <w:t xml:space="preserve">, as the text </w:t>
      </w:r>
      <w:r w:rsidR="001331BB">
        <w:t xml:space="preserve">concludes with </w:t>
      </w:r>
      <w:r w:rsidR="004A7C11">
        <w:t xml:space="preserve">a clear </w:t>
      </w:r>
      <w:r w:rsidR="007D7D5A">
        <w:t>allegiance to the past</w:t>
      </w:r>
      <w:r w:rsidR="00AB7728">
        <w:t>, as</w:t>
      </w:r>
      <w:r w:rsidR="007D7D5A">
        <w:t xml:space="preserve"> “one of the aims of this book was to support</w:t>
      </w:r>
      <w:r w:rsidR="00AB7728">
        <w:t xml:space="preserve">” Binchy’s suggestion for a comparative study of Ireland and </w:t>
      </w:r>
      <w:r w:rsidRPr="00683A9A">
        <w:t>Wales</w:t>
      </w:r>
      <w:r w:rsidR="00D10363">
        <w:t>.</w:t>
      </w:r>
      <w:r w:rsidR="00D10363">
        <w:rPr>
          <w:rStyle w:val="FootnoteReference"/>
        </w:rPr>
        <w:footnoteReference w:id="6"/>
      </w:r>
      <w:r w:rsidRPr="00683A9A">
        <w:t xml:space="preserve"> </w:t>
      </w:r>
    </w:p>
    <w:p w14:paraId="0A5445E9" w14:textId="3ED91C53" w:rsidR="00683A9A" w:rsidRPr="00683A9A" w:rsidRDefault="00683A9A" w:rsidP="00B8173A">
      <w:pPr>
        <w:spacing w:after="0" w:line="480" w:lineRule="auto"/>
        <w:ind w:firstLine="720"/>
      </w:pPr>
      <w:r w:rsidRPr="00683A9A">
        <w:rPr>
          <w:i/>
          <w:iCs/>
        </w:rPr>
        <w:t xml:space="preserve">Early Irish and Welsh Kinship </w:t>
      </w:r>
      <w:r w:rsidRPr="00683A9A">
        <w:t xml:space="preserve">derives its merits from examinations of two institutional relationships: the capacity for social mobility and the nobility’s enactments of authority. Its comparative nature compounds this approach by demanding a thorough breakdown of each institution into distinct elements. On the former, Charles-Edwards </w:t>
      </w:r>
      <w:r w:rsidR="004E0EF6">
        <w:t xml:space="preserve">investigates </w:t>
      </w:r>
      <w:r w:rsidRPr="00683A9A">
        <w:t>the rank of semi-free</w:t>
      </w:r>
      <w:r w:rsidR="00246980">
        <w:t xml:space="preserve"> </w:t>
      </w:r>
      <w:r w:rsidRPr="00683A9A">
        <w:t xml:space="preserve">men </w:t>
      </w:r>
      <w:r w:rsidR="002E695F">
        <w:t xml:space="preserve">– the </w:t>
      </w:r>
      <w:r w:rsidRPr="00683A9A">
        <w:rPr>
          <w:i/>
          <w:iCs/>
        </w:rPr>
        <w:t>fudri</w:t>
      </w:r>
      <w:r w:rsidRPr="00683A9A">
        <w:t xml:space="preserve"> </w:t>
      </w:r>
      <w:r w:rsidR="002E695F">
        <w:t xml:space="preserve">– arguing </w:t>
      </w:r>
      <w:r w:rsidRPr="00683A9A">
        <w:t>social mobility as primarily a downward process</w:t>
      </w:r>
      <w:r w:rsidR="00367EB3">
        <w:t>.</w:t>
      </w:r>
      <w:r w:rsidR="00367EB3">
        <w:rPr>
          <w:rStyle w:val="FootnoteReference"/>
        </w:rPr>
        <w:footnoteReference w:id="7"/>
      </w:r>
      <w:r w:rsidR="00367EB3">
        <w:t xml:space="preserve"> </w:t>
      </w:r>
      <w:r w:rsidR="007B65CE">
        <w:t>E</w:t>
      </w:r>
      <w:r w:rsidRPr="00683A9A">
        <w:t>ven for those "at the top</w:t>
      </w:r>
      <w:r w:rsidR="007B65CE">
        <w:t>,</w:t>
      </w:r>
      <w:r w:rsidRPr="00683A9A">
        <w:t>"</w:t>
      </w:r>
      <w:r w:rsidR="007B65CE">
        <w:t xml:space="preserve"> the</w:t>
      </w:r>
      <w:r w:rsidR="004C0CFD">
        <w:t xml:space="preserve"> cycle of food-renders and expected </w:t>
      </w:r>
      <w:r w:rsidR="008A492A">
        <w:t>hospitality</w:t>
      </w:r>
      <w:r w:rsidR="004C0CFD">
        <w:t xml:space="preserve"> diminished resources</w:t>
      </w:r>
      <w:r w:rsidR="005E0C32">
        <w:t>, creating the conditions in which a client’s heir must also become a client</w:t>
      </w:r>
      <w:r w:rsidR="00BA0DE3">
        <w:t xml:space="preserve">, restarting the climb </w:t>
      </w:r>
      <w:r w:rsidR="001D166D">
        <w:t>up the social ladder</w:t>
      </w:r>
      <w:r w:rsidR="001A3C1D">
        <w:t>.</w:t>
      </w:r>
      <w:r w:rsidR="001A3C1D">
        <w:rPr>
          <w:rStyle w:val="FootnoteReference"/>
        </w:rPr>
        <w:footnoteReference w:id="8"/>
      </w:r>
      <w:r w:rsidR="00E17C2E">
        <w:t xml:space="preserve"> </w:t>
      </w:r>
      <w:r w:rsidRPr="00683A9A">
        <w:t>This conclusion suggests</w:t>
      </w:r>
      <w:r w:rsidR="00907603">
        <w:t xml:space="preserve"> the</w:t>
      </w:r>
      <w:r w:rsidRPr="00683A9A">
        <w:t xml:space="preserve"> maintenance of class through the imbalance of Ireland's </w:t>
      </w:r>
      <w:r w:rsidRPr="00683A9A">
        <w:lastRenderedPageBreak/>
        <w:t xml:space="preserve">pastoral economy. Concerned with the conception of lordship, the latter examination asserts that a noble’s </w:t>
      </w:r>
      <w:bookmarkStart w:id="0" w:name="_Hlk54696938"/>
      <w:r w:rsidRPr="00683A9A">
        <w:t xml:space="preserve">“very nobility requires that he be the lord of base clients </w:t>
      </w:r>
      <w:r w:rsidR="00C404E8">
        <w:t>[</w:t>
      </w:r>
      <w:r w:rsidRPr="00683A9A">
        <w:t>common farmers</w:t>
      </w:r>
      <w:r w:rsidR="00C404E8">
        <w:t>]</w:t>
      </w:r>
      <w:r w:rsidRPr="00683A9A">
        <w:t xml:space="preserve">” as the </w:t>
      </w:r>
      <w:r w:rsidR="00BD5F10">
        <w:t>food-</w:t>
      </w:r>
      <w:r w:rsidRPr="00683A9A">
        <w:t>renders of free clients (poorer nobles) provided no economic reward</w:t>
      </w:r>
      <w:r w:rsidR="00056790">
        <w:t>.</w:t>
      </w:r>
      <w:r w:rsidR="00056790">
        <w:rPr>
          <w:rStyle w:val="FootnoteReference"/>
        </w:rPr>
        <w:footnoteReference w:id="9"/>
      </w:r>
      <w:r w:rsidRPr="00683A9A">
        <w:t xml:space="preserve"> </w:t>
      </w:r>
      <w:bookmarkEnd w:id="0"/>
      <w:r w:rsidR="00501E13" w:rsidRPr="00501E13">
        <w:t xml:space="preserve">By supplementing </w:t>
      </w:r>
      <w:r w:rsidR="00E21C97">
        <w:t>b</w:t>
      </w:r>
      <w:r w:rsidR="00501E13" w:rsidRPr="00501E13">
        <w:t xml:space="preserve">rehon </w:t>
      </w:r>
      <w:r w:rsidR="00E21C97">
        <w:t>l</w:t>
      </w:r>
      <w:r w:rsidR="00501E13" w:rsidRPr="00501E13">
        <w:t xml:space="preserve">aw with narrative, hagiographic, and archaeological sources, </w:t>
      </w:r>
      <w:r w:rsidR="003E6A46">
        <w:t>this paper</w:t>
      </w:r>
      <w:r w:rsidR="00907603">
        <w:t xml:space="preserve"> </w:t>
      </w:r>
      <w:r w:rsidR="00D91D02">
        <w:t xml:space="preserve">expands Charles-Edwards’ </w:t>
      </w:r>
      <w:r w:rsidR="00674946">
        <w:t>conclusion</w:t>
      </w:r>
      <w:r w:rsidR="00D91D02">
        <w:t xml:space="preserve"> on the nature of old Irish nobility. </w:t>
      </w:r>
      <w:r w:rsidR="00D3647D">
        <w:t xml:space="preserve">While </w:t>
      </w:r>
      <w:r w:rsidR="00D3647D">
        <w:rPr>
          <w:i/>
          <w:iCs/>
        </w:rPr>
        <w:t xml:space="preserve">Early Irish Kinship </w:t>
      </w:r>
      <w:r w:rsidR="0045675B">
        <w:t xml:space="preserve">informs the thesis of </w:t>
      </w:r>
      <w:r w:rsidR="00631CDB">
        <w:t xml:space="preserve">class </w:t>
      </w:r>
      <w:r w:rsidR="00E1231D">
        <w:t>identity</w:t>
      </w:r>
      <w:r w:rsidR="00631CDB">
        <w:t xml:space="preserve"> as a performance</w:t>
      </w:r>
      <w:r w:rsidR="00CF5379">
        <w:t>, i</w:t>
      </w:r>
      <w:r w:rsidRPr="00683A9A">
        <w:t>n what ways, however, and to what extent, Charles-Edwards does not provide</w:t>
      </w:r>
      <w:r w:rsidR="00443277">
        <w:t>. T</w:t>
      </w:r>
      <w:r w:rsidR="00CF5379">
        <w:t xml:space="preserve">he </w:t>
      </w:r>
      <w:r w:rsidR="00CF5379" w:rsidRPr="00CF5379">
        <w:t xml:space="preserve">authority of the nobility required realization </w:t>
      </w:r>
      <w:r w:rsidR="00323CBD">
        <w:t xml:space="preserve">through </w:t>
      </w:r>
      <w:r w:rsidR="00CF5379" w:rsidRPr="00CF5379">
        <w:t xml:space="preserve">means beyond economic </w:t>
      </w:r>
      <w:r w:rsidR="000B36F3">
        <w:t>superiority.</w:t>
      </w:r>
    </w:p>
    <w:p w14:paraId="5E0ABDA8" w14:textId="1767CBCD" w:rsidR="00683A9A" w:rsidRDefault="00683A9A" w:rsidP="00B90E6E">
      <w:pPr>
        <w:spacing w:after="0" w:line="480" w:lineRule="auto"/>
        <w:ind w:firstLine="720"/>
      </w:pPr>
      <w:r w:rsidRPr="00683A9A">
        <w:t>To fill this gap</w:t>
      </w:r>
      <w:r w:rsidR="00D91106">
        <w:t>,</w:t>
      </w:r>
      <w:r w:rsidRPr="00683A9A">
        <w:t xml:space="preserve"> Nerys Thomas Patterson’s </w:t>
      </w:r>
      <w:r w:rsidRPr="00683A9A">
        <w:rPr>
          <w:i/>
          <w:iCs/>
        </w:rPr>
        <w:t xml:space="preserve">Cattle-lords and Clansmen: The Social Structure of Early Ireland </w:t>
      </w:r>
      <w:r w:rsidRPr="00683A9A">
        <w:t xml:space="preserve">explores the social </w:t>
      </w:r>
      <w:r w:rsidR="00564779">
        <w:t>in</w:t>
      </w:r>
      <w:r w:rsidRPr="00683A9A">
        <w:t xml:space="preserve">equality of early Ireland through historical sociological methods. </w:t>
      </w:r>
      <w:r w:rsidR="0048786B">
        <w:t>Patterson</w:t>
      </w:r>
      <w:r w:rsidRPr="00683A9A">
        <w:t xml:space="preserve"> provides a novel reading of primary evidence and secondary scholarship </w:t>
      </w:r>
      <w:r w:rsidR="0048786B">
        <w:t xml:space="preserve">concerning </w:t>
      </w:r>
      <w:r w:rsidR="001E097F">
        <w:t>the social processes of early Ireland as the object of analysis</w:t>
      </w:r>
      <w:r w:rsidR="003E3035">
        <w:t>.</w:t>
      </w:r>
      <w:r w:rsidR="003E3035" w:rsidRPr="003E3035">
        <w:rPr>
          <w:vertAlign w:val="superscript"/>
        </w:rPr>
        <w:footnoteReference w:id="10"/>
      </w:r>
      <w:r w:rsidR="001355D6">
        <w:t xml:space="preserve"> </w:t>
      </w:r>
      <w:r w:rsidR="00000A30">
        <w:t>The survey of g</w:t>
      </w:r>
      <w:r w:rsidR="00DE4082">
        <w:t xml:space="preserve">ender roles and the institution of </w:t>
      </w:r>
      <w:r w:rsidR="00E2246C">
        <w:t>marriage</w:t>
      </w:r>
      <w:r w:rsidR="008C782A">
        <w:t xml:space="preserve"> break free of </w:t>
      </w:r>
      <w:r w:rsidR="007E4505">
        <w:t>standard</w:t>
      </w:r>
      <w:r w:rsidR="00763B84">
        <w:t xml:space="preserve"> </w:t>
      </w:r>
      <w:r w:rsidR="00CD6D09">
        <w:t xml:space="preserve">spheres </w:t>
      </w:r>
      <w:r w:rsidR="007F71B1">
        <w:t>of analysis</w:t>
      </w:r>
      <w:r w:rsidR="00CD6D09">
        <w:t xml:space="preserve"> by emphasizing the domestic </w:t>
      </w:r>
      <w:r w:rsidR="00A03F27">
        <w:t>economy</w:t>
      </w:r>
      <w:r w:rsidR="00EE2705">
        <w:t xml:space="preserve">. </w:t>
      </w:r>
      <w:r w:rsidR="00620878">
        <w:t>In this essay, a</w:t>
      </w:r>
      <w:r w:rsidR="00E331FD" w:rsidRPr="00E331FD">
        <w:t>n exploration</w:t>
      </w:r>
      <w:r w:rsidR="008F7E10">
        <w:t xml:space="preserve"> </w:t>
      </w:r>
      <w:r w:rsidR="00E331FD" w:rsidRPr="00E331FD">
        <w:t>of the dynamics between the individual and the collective</w:t>
      </w:r>
      <w:r w:rsidR="004329AD">
        <w:t xml:space="preserve"> blends Charles-Edward’s</w:t>
      </w:r>
      <w:r w:rsidR="00B86E73">
        <w:t xml:space="preserve"> </w:t>
      </w:r>
      <w:r w:rsidR="00E4730A">
        <w:t>scholarship</w:t>
      </w:r>
      <w:r w:rsidR="00B86E73">
        <w:t xml:space="preserve"> on </w:t>
      </w:r>
      <w:r w:rsidR="00297F22">
        <w:t xml:space="preserve">economic relationships </w:t>
      </w:r>
      <w:r w:rsidR="00B86E73">
        <w:t xml:space="preserve">with Patterson’s </w:t>
      </w:r>
      <w:r w:rsidR="00333592">
        <w:t>sociological</w:t>
      </w:r>
      <w:r w:rsidR="00B86E73">
        <w:t xml:space="preserve"> analysis to illustrate </w:t>
      </w:r>
      <w:r w:rsidR="00E331FD" w:rsidRPr="00E331FD">
        <w:t>the formation of social reality within the structure of socioeconomic institutions</w:t>
      </w:r>
      <w:r w:rsidR="00E4730A">
        <w:t>.</w:t>
      </w:r>
      <w:r w:rsidR="008F7E10">
        <w:t xml:space="preserve"> </w:t>
      </w:r>
      <w:r w:rsidR="00401784">
        <w:t>Marriage</w:t>
      </w:r>
      <w:r w:rsidR="006C3ECD">
        <w:t>, as outlined by</w:t>
      </w:r>
      <w:r w:rsidR="006C3ECD">
        <w:rPr>
          <w:i/>
          <w:iCs/>
        </w:rPr>
        <w:t xml:space="preserve"> Cattle-lords and Clansmen</w:t>
      </w:r>
      <w:r w:rsidR="006C3ECD">
        <w:t xml:space="preserve">, serves as a primary institution to penetrate the </w:t>
      </w:r>
      <w:r w:rsidR="009C08C1">
        <w:t>restrictive relationship</w:t>
      </w:r>
      <w:r w:rsidR="00E17372">
        <w:t xml:space="preserve"> between </w:t>
      </w:r>
      <w:r w:rsidR="00EC2036">
        <w:t xml:space="preserve">the </w:t>
      </w:r>
      <w:r w:rsidR="00E17372">
        <w:t xml:space="preserve">domestic life </w:t>
      </w:r>
      <w:r w:rsidR="00EC2036">
        <w:t xml:space="preserve">of commoners </w:t>
      </w:r>
      <w:r w:rsidR="00E17372">
        <w:t>and clientship</w:t>
      </w:r>
      <w:r w:rsidR="00B90E6E">
        <w:t>.</w:t>
      </w:r>
      <w:r w:rsidR="00731787">
        <w:t xml:space="preserve"> </w:t>
      </w:r>
      <w:r w:rsidR="00EB7F63">
        <w:t xml:space="preserve">Patterson </w:t>
      </w:r>
      <w:r w:rsidR="00822162">
        <w:t>highlights the</w:t>
      </w:r>
      <w:r w:rsidRPr="00683A9A">
        <w:t xml:space="preserve"> presuppositions brought to bear on clientship and rank in the two </w:t>
      </w:r>
      <w:r w:rsidR="003D68FF">
        <w:t>opening</w:t>
      </w:r>
      <w:r w:rsidRPr="00683A9A">
        <w:t xml:space="preserve"> sections of </w:t>
      </w:r>
      <w:r w:rsidRPr="00683A9A">
        <w:rPr>
          <w:i/>
          <w:iCs/>
        </w:rPr>
        <w:t>Cattle-lords and Clansmen</w:t>
      </w:r>
      <w:r w:rsidRPr="00683A9A">
        <w:t xml:space="preserve">, primarily </w:t>
      </w:r>
      <w:r w:rsidR="009947FE">
        <w:t xml:space="preserve">denouncing </w:t>
      </w:r>
      <w:r w:rsidRPr="00683A9A">
        <w:t xml:space="preserve">Binchy’s assessment that rank statuses were unrealistic. Rank, argues Patterson, </w:t>
      </w:r>
      <w:r w:rsidRPr="00683A9A">
        <w:lastRenderedPageBreak/>
        <w:t>governed relationships in the clientship structure as it allowed lords to “maintain the network of dispersed power-nodes that protected his status</w:t>
      </w:r>
      <w:r w:rsidR="00926F6C">
        <w:t>.</w:t>
      </w:r>
      <w:r w:rsidRPr="00683A9A">
        <w:t>”</w:t>
      </w:r>
      <w:r w:rsidR="00926F6C">
        <w:rPr>
          <w:rStyle w:val="FootnoteReference"/>
        </w:rPr>
        <w:footnoteReference w:id="11"/>
      </w:r>
      <w:r w:rsidR="001C143E">
        <w:t xml:space="preserve"> </w:t>
      </w:r>
      <w:r w:rsidR="002D35B9">
        <w:t xml:space="preserve">My research </w:t>
      </w:r>
      <w:r w:rsidR="00D34C9A">
        <w:t xml:space="preserve">maintains </w:t>
      </w:r>
      <w:r w:rsidR="00701EEA">
        <w:t>the realism of rank</w:t>
      </w:r>
      <w:r w:rsidR="00747C14">
        <w:t xml:space="preserve"> as it pertains to society, but </w:t>
      </w:r>
      <w:r w:rsidR="004436A9">
        <w:t xml:space="preserve">concentrates </w:t>
      </w:r>
      <w:r w:rsidR="00656709">
        <w:t xml:space="preserve">on </w:t>
      </w:r>
      <w:r w:rsidR="00747C14">
        <w:t>the concept of “power-nodes”</w:t>
      </w:r>
      <w:r w:rsidR="00D21B4B">
        <w:t xml:space="preserve"> </w:t>
      </w:r>
      <w:r w:rsidR="0031354C">
        <w:t xml:space="preserve">within </w:t>
      </w:r>
      <w:r w:rsidR="00A659B2">
        <w:t>the lived experiences of the early Irish.</w:t>
      </w:r>
      <w:r w:rsidR="0033077D">
        <w:t xml:space="preserve"> </w:t>
      </w:r>
      <w:r w:rsidR="009A235C">
        <w:t xml:space="preserve">To untangle the rights and duties </w:t>
      </w:r>
      <w:r w:rsidR="000C734D">
        <w:t>of</w:t>
      </w:r>
      <w:r w:rsidR="00422A7F">
        <w:t xml:space="preserve"> </w:t>
      </w:r>
      <w:r w:rsidR="00447B50">
        <w:t xml:space="preserve">socioeconomic institutions, </w:t>
      </w:r>
      <w:r w:rsidR="009B5356">
        <w:t xml:space="preserve">explorations of food, hospitality, and </w:t>
      </w:r>
      <w:r w:rsidR="00184C1F">
        <w:t>attire</w:t>
      </w:r>
      <w:r w:rsidR="000C734D">
        <w:t xml:space="preserve"> will</w:t>
      </w:r>
      <w:r w:rsidR="00756C21">
        <w:t xml:space="preserve"> </w:t>
      </w:r>
      <w:r w:rsidR="007E2C09">
        <w:t>extend</w:t>
      </w:r>
      <w:r w:rsidR="00C521F5">
        <w:t xml:space="preserve"> Patterson’s </w:t>
      </w:r>
      <w:r w:rsidR="00A76EBC">
        <w:t>focus on the social processes</w:t>
      </w:r>
      <w:r w:rsidR="00307586">
        <w:t xml:space="preserve"> behind </w:t>
      </w:r>
      <w:r w:rsidR="00E21C97">
        <w:t>b</w:t>
      </w:r>
      <w:r w:rsidR="00307586">
        <w:t xml:space="preserve">rehon </w:t>
      </w:r>
      <w:r w:rsidR="00E21C97">
        <w:t>l</w:t>
      </w:r>
      <w:r w:rsidR="00307586">
        <w:t>aw</w:t>
      </w:r>
      <w:r w:rsidR="00CA007E">
        <w:t xml:space="preserve">. </w:t>
      </w:r>
    </w:p>
    <w:p w14:paraId="7D4325D2" w14:textId="16D22DC4" w:rsidR="00FD3DF3" w:rsidRDefault="00D20D45" w:rsidP="00C1241A">
      <w:pPr>
        <w:spacing w:after="0" w:line="480" w:lineRule="auto"/>
        <w:ind w:firstLine="720"/>
      </w:pPr>
      <w:r w:rsidRPr="00D20D45">
        <w:t xml:space="preserve">Foremost </w:t>
      </w:r>
      <w:r>
        <w:t>legal sources on the structure of early medieval Irish society are the laws of status:</w:t>
      </w:r>
      <w:r w:rsidRPr="00D20D45">
        <w:t xml:space="preserve"> </w:t>
      </w:r>
      <w:r w:rsidRPr="00D20D45">
        <w:rPr>
          <w:i/>
          <w:iCs/>
        </w:rPr>
        <w:t xml:space="preserve">Branched Purchase </w:t>
      </w:r>
      <w:r w:rsidR="00F37235">
        <w:t>[</w:t>
      </w:r>
      <w:r w:rsidRPr="00D20D45">
        <w:rPr>
          <w:i/>
          <w:iCs/>
        </w:rPr>
        <w:t>Críth Gablach</w:t>
      </w:r>
      <w:r w:rsidR="00F37235">
        <w:t>]</w:t>
      </w:r>
      <w:r w:rsidR="004117DC">
        <w:t>,</w:t>
      </w:r>
      <w:r w:rsidRPr="00D20D45">
        <w:rPr>
          <w:i/>
          <w:iCs/>
        </w:rPr>
        <w:t xml:space="preserve"> </w:t>
      </w:r>
      <w:r w:rsidR="004117DC">
        <w:t xml:space="preserve">complied around </w:t>
      </w:r>
      <w:r w:rsidRPr="00D20D45">
        <w:t xml:space="preserve">c. 700 </w:t>
      </w:r>
      <w:r w:rsidR="00474B7D">
        <w:t xml:space="preserve">in Meath or Ulster; the </w:t>
      </w:r>
      <w:r w:rsidRPr="00D20D45">
        <w:t>late seventh- to early eighth-century</w:t>
      </w:r>
      <w:r w:rsidRPr="00D20D45">
        <w:rPr>
          <w:i/>
          <w:iCs/>
        </w:rPr>
        <w:t xml:space="preserve"> </w:t>
      </w:r>
      <w:r w:rsidR="00B05EE8">
        <w:rPr>
          <w:i/>
          <w:iCs/>
        </w:rPr>
        <w:t>Little Grammar</w:t>
      </w:r>
      <w:r w:rsidRPr="00D20D45">
        <w:rPr>
          <w:i/>
          <w:iCs/>
        </w:rPr>
        <w:t xml:space="preserve"> </w:t>
      </w:r>
      <w:r w:rsidR="00F37235">
        <w:t>[</w:t>
      </w:r>
      <w:r w:rsidRPr="00D20D45">
        <w:rPr>
          <w:i/>
          <w:iCs/>
        </w:rPr>
        <w:t>Uraicecht Becc</w:t>
      </w:r>
      <w:r w:rsidR="00F37235">
        <w:t>]</w:t>
      </w:r>
      <w:r w:rsidR="00474B7D">
        <w:t xml:space="preserve"> from Munster; and the eighth-century </w:t>
      </w:r>
      <w:r w:rsidR="00474B7D">
        <w:rPr>
          <w:i/>
          <w:iCs/>
        </w:rPr>
        <w:t xml:space="preserve">Rank Sections </w:t>
      </w:r>
      <w:r w:rsidR="00F37235">
        <w:t>[</w:t>
      </w:r>
      <w:r w:rsidR="009737EA" w:rsidRPr="009737EA">
        <w:rPr>
          <w:i/>
          <w:iCs/>
        </w:rPr>
        <w:t>Míadṡlechtae</w:t>
      </w:r>
      <w:r w:rsidR="00F37235">
        <w:t>]</w:t>
      </w:r>
      <w:r w:rsidRPr="00D20D45">
        <w:t>.</w:t>
      </w:r>
      <w:r w:rsidRPr="00D20D45">
        <w:rPr>
          <w:vertAlign w:val="superscript"/>
        </w:rPr>
        <w:footnoteReference w:id="12"/>
      </w:r>
      <w:r w:rsidRPr="00D20D45">
        <w:t xml:space="preserve"> </w:t>
      </w:r>
      <w:r w:rsidR="000105CD">
        <w:t>Despite the patchwork of local, minor kingdoms, each distin</w:t>
      </w:r>
      <w:r w:rsidR="00F4388D">
        <w:t xml:space="preserve">ct </w:t>
      </w:r>
      <w:r w:rsidR="001F56A5">
        <w:t>with</w:t>
      </w:r>
      <w:r w:rsidR="00F4388D">
        <w:t xml:space="preserve"> localized</w:t>
      </w:r>
      <w:r w:rsidR="001F56A5">
        <w:t xml:space="preserve"> loyalties</w:t>
      </w:r>
      <w:r w:rsidR="00F4388D">
        <w:t xml:space="preserve">, </w:t>
      </w:r>
      <w:r w:rsidR="001E1C13">
        <w:t>the canon of early Irish law function</w:t>
      </w:r>
      <w:r w:rsidR="008F32CF">
        <w:t>s</w:t>
      </w:r>
      <w:r w:rsidR="001E1C13">
        <w:t xml:space="preserve"> as a unified system of norms and practices.</w:t>
      </w:r>
      <w:r w:rsidR="001E1C13">
        <w:rPr>
          <w:rStyle w:val="FootnoteReference"/>
        </w:rPr>
        <w:footnoteReference w:id="13"/>
      </w:r>
      <w:r w:rsidR="003C71AA">
        <w:t xml:space="preserve"> </w:t>
      </w:r>
      <w:r w:rsidR="00862EB6">
        <w:t xml:space="preserve">No matter the </w:t>
      </w:r>
      <w:r w:rsidR="005558E3">
        <w:t xml:space="preserve">regional </w:t>
      </w:r>
      <w:r w:rsidR="00862EB6">
        <w:t>origins</w:t>
      </w:r>
      <w:r w:rsidR="00CB02F9">
        <w:t xml:space="preserve">, </w:t>
      </w:r>
      <w:r w:rsidR="00862EB6">
        <w:t>authorship</w:t>
      </w:r>
      <w:r w:rsidR="005558E3">
        <w:t xml:space="preserve">, </w:t>
      </w:r>
      <w:r w:rsidR="00CB02F9">
        <w:t>or school</w:t>
      </w:r>
      <w:r w:rsidR="00BD34AE">
        <w:t xml:space="preserve"> of law</w:t>
      </w:r>
      <w:r w:rsidR="00CB02F9">
        <w:t xml:space="preserve">, </w:t>
      </w:r>
      <w:r w:rsidR="005558E3">
        <w:t xml:space="preserve">the tracts employ the same </w:t>
      </w:r>
      <w:r w:rsidR="00A85FA2">
        <w:t xml:space="preserve">Old Irish </w:t>
      </w:r>
      <w:r w:rsidR="00B86F1D">
        <w:t xml:space="preserve">technical </w:t>
      </w:r>
      <w:r w:rsidR="00A85FA2">
        <w:t xml:space="preserve">terms </w:t>
      </w:r>
      <w:r w:rsidR="005B4764">
        <w:t xml:space="preserve">to </w:t>
      </w:r>
      <w:r w:rsidR="002B552A">
        <w:t>navigate the same institutions and customs</w:t>
      </w:r>
      <w:r w:rsidR="00CB02F9">
        <w:t>:</w:t>
      </w:r>
      <w:r w:rsidR="00AF4A53">
        <w:t xml:space="preserve"> </w:t>
      </w:r>
      <w:r w:rsidR="00623794">
        <w:t xml:space="preserve">these were the </w:t>
      </w:r>
      <w:r w:rsidR="00623794">
        <w:rPr>
          <w:i/>
          <w:iCs/>
        </w:rPr>
        <w:t xml:space="preserve">béscnu ínse Érenn </w:t>
      </w:r>
      <w:r w:rsidR="00623794">
        <w:t>(“the legal practice of the island of Ireland”).</w:t>
      </w:r>
      <w:r w:rsidR="00623794">
        <w:rPr>
          <w:rStyle w:val="FootnoteReference"/>
        </w:rPr>
        <w:footnoteReference w:id="14"/>
      </w:r>
      <w:r w:rsidR="00CB02F9">
        <w:t xml:space="preserve"> </w:t>
      </w:r>
      <w:r w:rsidR="00DC5A56">
        <w:t>The s</w:t>
      </w:r>
      <w:r w:rsidR="00D64D3A" w:rsidRPr="00D64D3A">
        <w:t>ubstantial</w:t>
      </w:r>
      <w:r w:rsidR="00D64D3A">
        <w:t xml:space="preserve"> </w:t>
      </w:r>
      <w:r w:rsidR="007F7468">
        <w:t>number</w:t>
      </w:r>
      <w:r w:rsidR="003C71AA">
        <w:t xml:space="preserve"> of surviving manuscripts</w:t>
      </w:r>
      <w:r w:rsidR="005172AD">
        <w:t>, and the breadth of their scope,</w:t>
      </w:r>
      <w:r w:rsidR="003C71AA">
        <w:t xml:space="preserve"> </w:t>
      </w:r>
      <w:r w:rsidR="00E640AD">
        <w:t>frame</w:t>
      </w:r>
      <w:r w:rsidR="00E84C48">
        <w:t xml:space="preserve"> </w:t>
      </w:r>
      <w:r w:rsidR="00E640AD">
        <w:t xml:space="preserve">the </w:t>
      </w:r>
      <w:r w:rsidR="007A319B">
        <w:t>societal</w:t>
      </w:r>
      <w:r w:rsidR="00E3053D">
        <w:t xml:space="preserve"> </w:t>
      </w:r>
      <w:r w:rsidR="00E640AD">
        <w:t xml:space="preserve">function of the jurists </w:t>
      </w:r>
      <w:r w:rsidR="00E84C48">
        <w:t xml:space="preserve">as identifiers of </w:t>
      </w:r>
      <w:r w:rsidR="00562292">
        <w:t>model relationships</w:t>
      </w:r>
      <w:r w:rsidR="00D66E85">
        <w:t xml:space="preserve"> and behavior</w:t>
      </w:r>
      <w:r w:rsidR="003566AE">
        <w:t xml:space="preserve">. </w:t>
      </w:r>
      <w:r w:rsidR="00CE2DFA">
        <w:t xml:space="preserve">These texts could not be ignored nor invalidated by the </w:t>
      </w:r>
      <w:r w:rsidR="00454DC8">
        <w:t>politics of a king</w:t>
      </w:r>
      <w:r w:rsidR="004D5858">
        <w:t xml:space="preserve">, </w:t>
      </w:r>
      <w:r w:rsidR="0080035A">
        <w:t>but</w:t>
      </w:r>
      <w:r w:rsidR="004D5858">
        <w:t xml:space="preserve"> early Irish society was </w:t>
      </w:r>
      <w:r w:rsidR="004D5858" w:rsidRPr="004D5858">
        <w:t>explicitly inegalitaria</w:t>
      </w:r>
      <w:r w:rsidR="004D5858">
        <w:t>n</w:t>
      </w:r>
      <w:r w:rsidR="008801CA">
        <w:t xml:space="preserve"> and hierarchical</w:t>
      </w:r>
      <w:r w:rsidR="007B6689">
        <w:t>.</w:t>
      </w:r>
      <w:r w:rsidR="007B6689">
        <w:rPr>
          <w:rStyle w:val="FootnoteReference"/>
        </w:rPr>
        <w:footnoteReference w:id="15"/>
      </w:r>
      <w:r w:rsidR="004D5858">
        <w:t xml:space="preserve"> </w:t>
      </w:r>
      <w:r w:rsidR="008801CA">
        <w:t>The testimony of</w:t>
      </w:r>
      <w:r w:rsidR="00153B5B">
        <w:t xml:space="preserve"> a king or aristocrat always outweighed </w:t>
      </w:r>
      <w:r w:rsidR="00DA5D55">
        <w:t>that of a person from a lower rank; an offen</w:t>
      </w:r>
      <w:r w:rsidR="008F32CF">
        <w:t>s</w:t>
      </w:r>
      <w:r w:rsidR="00DA5D55">
        <w:t>e against a higher</w:t>
      </w:r>
      <w:r w:rsidR="008F32CF">
        <w:t>-</w:t>
      </w:r>
      <w:r w:rsidR="00DA5D55">
        <w:t xml:space="preserve">ranked person warranted more severe punishment than </w:t>
      </w:r>
      <w:r w:rsidR="00325730">
        <w:lastRenderedPageBreak/>
        <w:t>the same offense against a lower</w:t>
      </w:r>
      <w:r w:rsidR="008F32CF">
        <w:t>-</w:t>
      </w:r>
      <w:r w:rsidR="00325730">
        <w:t>ranked person.</w:t>
      </w:r>
      <w:r w:rsidR="00325730">
        <w:rPr>
          <w:rStyle w:val="FootnoteReference"/>
        </w:rPr>
        <w:footnoteReference w:id="16"/>
      </w:r>
      <w:r w:rsidR="008801CA">
        <w:t xml:space="preserve"> </w:t>
      </w:r>
      <w:r w:rsidR="006E09DC">
        <w:t xml:space="preserve"> </w:t>
      </w:r>
      <w:r w:rsidR="004D5858">
        <w:t>N</w:t>
      </w:r>
      <w:r w:rsidR="004D5858" w:rsidRPr="004D5858">
        <w:t xml:space="preserve">early </w:t>
      </w:r>
      <w:r w:rsidR="008F32CF">
        <w:t>every</w:t>
      </w:r>
      <w:r w:rsidR="004D5858" w:rsidRPr="004D5858">
        <w:t xml:space="preserve"> aspect of daily life f</w:t>
      </w:r>
      <w:r w:rsidR="004D5858">
        <w:t>e</w:t>
      </w:r>
      <w:r w:rsidR="004D5858" w:rsidRPr="004D5858">
        <w:t>ll under compulsory</w:t>
      </w:r>
      <w:r w:rsidR="00931CBD">
        <w:t xml:space="preserve"> litigation:</w:t>
      </w:r>
      <w:r w:rsidR="00F66434">
        <w:t xml:space="preserve"> </w:t>
      </w:r>
      <w:r w:rsidR="00931CBD">
        <w:t>t</w:t>
      </w:r>
      <w:r w:rsidR="001D5A71">
        <w:t xml:space="preserve">exts </w:t>
      </w:r>
      <w:r w:rsidR="00A30C58">
        <w:t xml:space="preserve">range from the </w:t>
      </w:r>
      <w:r w:rsidR="00DC5A56">
        <w:t>maintenance</w:t>
      </w:r>
      <w:r w:rsidR="00A30C58">
        <w:t xml:space="preserve"> of the elderly to regulations on bee-keeping</w:t>
      </w:r>
      <w:r w:rsidR="00AE57FB">
        <w:t>.</w:t>
      </w:r>
      <w:r w:rsidR="00F03508">
        <w:t xml:space="preserve"> </w:t>
      </w:r>
      <w:r w:rsidR="00AE57FB">
        <w:t>The a</w:t>
      </w:r>
      <w:r w:rsidR="00E85EC1">
        <w:t xml:space="preserve">uthorship </w:t>
      </w:r>
      <w:r w:rsidR="00E535E8">
        <w:t xml:space="preserve">of the law-tracts </w:t>
      </w:r>
      <w:r w:rsidR="00E00B1A">
        <w:t>is</w:t>
      </w:r>
      <w:r w:rsidR="00747526">
        <w:t xml:space="preserve"> less explicative. </w:t>
      </w:r>
      <w:r w:rsidR="00B62E35">
        <w:t xml:space="preserve">Binchy </w:t>
      </w:r>
      <w:r w:rsidR="002B4D75">
        <w:t xml:space="preserve">proposes </w:t>
      </w:r>
      <w:r w:rsidR="00771BD9">
        <w:t>that lay jurists</w:t>
      </w:r>
      <w:r w:rsidR="0079636D">
        <w:t xml:space="preserve">, </w:t>
      </w:r>
      <w:r w:rsidR="00771BD9">
        <w:t xml:space="preserve">motivated </w:t>
      </w:r>
      <w:r w:rsidR="0079636D">
        <w:t xml:space="preserve">by the growing </w:t>
      </w:r>
      <w:r w:rsidR="002B6A39">
        <w:t>encroachment of Christian thought,</w:t>
      </w:r>
      <w:r w:rsidR="0079636D">
        <w:t xml:space="preserve"> </w:t>
      </w:r>
      <w:r w:rsidR="00FC7487">
        <w:t xml:space="preserve">wanted </w:t>
      </w:r>
      <w:r w:rsidR="0079636D" w:rsidRPr="0079636D">
        <w:t>to preserve tradition</w:t>
      </w:r>
      <w:r w:rsidR="008F32CF">
        <w:t>al</w:t>
      </w:r>
      <w:r w:rsidR="0079636D" w:rsidRPr="0079636D">
        <w:t xml:space="preserve"> Irish law </w:t>
      </w:r>
      <w:r w:rsidR="00FC7487">
        <w:t>in a written form.</w:t>
      </w:r>
      <w:r w:rsidR="00FC7487">
        <w:rPr>
          <w:rStyle w:val="FootnoteReference"/>
        </w:rPr>
        <w:footnoteReference w:id="17"/>
      </w:r>
      <w:r w:rsidR="00274AFC">
        <w:t xml:space="preserve"> </w:t>
      </w:r>
    </w:p>
    <w:p w14:paraId="1A9C699B" w14:textId="1F0E8BC2" w:rsidR="00F07447" w:rsidRPr="00370F10" w:rsidRDefault="00A670FF" w:rsidP="00C67BF2">
      <w:pPr>
        <w:spacing w:after="0" w:line="480" w:lineRule="auto"/>
        <w:ind w:firstLine="720"/>
      </w:pPr>
      <w:r>
        <w:t xml:space="preserve">Despite </w:t>
      </w:r>
      <w:r w:rsidR="00EA3D91">
        <w:t xml:space="preserve">Binchy’s hypothesis to </w:t>
      </w:r>
      <w:r>
        <w:t>the contrary</w:t>
      </w:r>
      <w:r w:rsidR="00F67AE9">
        <w:t xml:space="preserve">, </w:t>
      </w:r>
      <w:r w:rsidR="001E12EE">
        <w:t>the</w:t>
      </w:r>
      <w:r w:rsidR="00BC0D09">
        <w:t xml:space="preserve"> ecclesiastical influence on brehon </w:t>
      </w:r>
      <w:r w:rsidR="00F05B88">
        <w:t>lawyers</w:t>
      </w:r>
      <w:r w:rsidR="001E12EE">
        <w:t xml:space="preserve"> is </w:t>
      </w:r>
      <w:r w:rsidR="00854B7D" w:rsidRPr="00854B7D">
        <w:t>substantial</w:t>
      </w:r>
      <w:r w:rsidR="006E7B8C">
        <w:t>.</w:t>
      </w:r>
      <w:r w:rsidR="003159C6">
        <w:t xml:space="preserve"> </w:t>
      </w:r>
      <w:r w:rsidR="00B469E1">
        <w:t>A</w:t>
      </w:r>
      <w:r w:rsidR="00B469E1" w:rsidRPr="00B469E1">
        <w:t xml:space="preserve"> more accurate understanding of </w:t>
      </w:r>
      <w:r w:rsidR="00335033">
        <w:t xml:space="preserve">their </w:t>
      </w:r>
      <w:r w:rsidR="00B469E1" w:rsidRPr="00B469E1">
        <w:t>authorship being a group of learned individuals as well-versed in the customs of Ireland as in religious scripture. These laws, then, are a conscious melding of the two forces.</w:t>
      </w:r>
      <w:r w:rsidR="006E7B8C">
        <w:t xml:space="preserve"> The sevenfold division of the lay ranked hierarchy in </w:t>
      </w:r>
      <w:r w:rsidR="00854B7D">
        <w:rPr>
          <w:i/>
          <w:iCs/>
        </w:rPr>
        <w:t xml:space="preserve">Branched </w:t>
      </w:r>
      <w:r w:rsidR="00854B7D" w:rsidRPr="000303AA">
        <w:rPr>
          <w:i/>
          <w:iCs/>
        </w:rPr>
        <w:t>Purchase</w:t>
      </w:r>
      <w:r w:rsidR="00352071">
        <w:rPr>
          <w:i/>
          <w:iCs/>
        </w:rPr>
        <w:t xml:space="preserve"> </w:t>
      </w:r>
      <w:r w:rsidR="00352071">
        <w:t>is analogous to the ecclesiastical ranked hierarchy</w:t>
      </w:r>
      <w:r w:rsidR="008A7527">
        <w:t xml:space="preserve">, asking </w:t>
      </w:r>
      <w:r w:rsidR="00352071">
        <w:t>“</w:t>
      </w:r>
      <w:r w:rsidR="008A7527">
        <w:t>w</w:t>
      </w:r>
      <w:r w:rsidR="00352071">
        <w:t xml:space="preserve">hence come the divisions of orders of a </w:t>
      </w:r>
      <w:r w:rsidR="00352071">
        <w:rPr>
          <w:i/>
          <w:iCs/>
        </w:rPr>
        <w:t>túath</w:t>
      </w:r>
      <w:r w:rsidR="00352071">
        <w:t xml:space="preserve">? From a comparison with the orders of the Church, for every order that is in the Church, it is just that its like should be in the </w:t>
      </w:r>
      <w:r w:rsidR="00352071">
        <w:rPr>
          <w:i/>
          <w:iCs/>
        </w:rPr>
        <w:t>túath.</w:t>
      </w:r>
      <w:r w:rsidR="00352071">
        <w:t>”</w:t>
      </w:r>
      <w:r w:rsidR="00352071">
        <w:rPr>
          <w:rStyle w:val="FootnoteReference"/>
        </w:rPr>
        <w:footnoteReference w:id="18"/>
      </w:r>
      <w:r w:rsidR="00352071">
        <w:t xml:space="preserve"> </w:t>
      </w:r>
      <w:r w:rsidR="00403527">
        <w:t>Extending</w:t>
      </w:r>
      <w:r w:rsidR="00657DE9">
        <w:t xml:space="preserve"> beyond the secular hierarchy</w:t>
      </w:r>
      <w:r w:rsidR="00AD7EB2">
        <w:t xml:space="preserve"> to incorporate </w:t>
      </w:r>
      <w:r w:rsidR="000A1F10">
        <w:t>religious and occupational ranks</w:t>
      </w:r>
      <w:r w:rsidR="00657DE9">
        <w:t xml:space="preserve">, </w:t>
      </w:r>
      <w:r w:rsidR="00B05EE8">
        <w:rPr>
          <w:i/>
          <w:iCs/>
        </w:rPr>
        <w:t xml:space="preserve">Little </w:t>
      </w:r>
      <w:r w:rsidR="00F22470">
        <w:rPr>
          <w:i/>
          <w:iCs/>
        </w:rPr>
        <w:t>Grammar</w:t>
      </w:r>
      <w:r w:rsidR="00553686">
        <w:rPr>
          <w:i/>
          <w:iCs/>
        </w:rPr>
        <w:t xml:space="preserve"> </w:t>
      </w:r>
      <w:r w:rsidR="00F71D87">
        <w:t xml:space="preserve">combined </w:t>
      </w:r>
      <w:r w:rsidR="00553686">
        <w:t>the brehon and canonical legal traditions</w:t>
      </w:r>
      <w:r w:rsidR="00173CAB">
        <w:t xml:space="preserve">, </w:t>
      </w:r>
      <w:r w:rsidR="00370F10">
        <w:t xml:space="preserve">asserting “whatever decision (or regulation) of the Church exists is founded on proof and right of Scripture…the decision of a </w:t>
      </w:r>
      <w:r w:rsidR="00370F10">
        <w:rPr>
          <w:i/>
          <w:iCs/>
        </w:rPr>
        <w:t>fil</w:t>
      </w:r>
      <w:r w:rsidR="005E60F5">
        <w:rPr>
          <w:i/>
          <w:iCs/>
        </w:rPr>
        <w:t>í</w:t>
      </w:r>
      <w:r w:rsidR="00370F10">
        <w:t xml:space="preserve"> [rank of the poet class]</w:t>
      </w:r>
      <w:r w:rsidR="005E60F5">
        <w:t>, however, is founded on rules of law…the decision of a ruler, however, is founded on them all, on rules of law and maxims and testimonies.”</w:t>
      </w:r>
      <w:r w:rsidR="005E60F5">
        <w:rPr>
          <w:rStyle w:val="FootnoteReference"/>
        </w:rPr>
        <w:footnoteReference w:id="19"/>
      </w:r>
      <w:r w:rsidR="00E86471">
        <w:t xml:space="preserve"> </w:t>
      </w:r>
      <w:r w:rsidR="007E6D71">
        <w:t xml:space="preserve">This influence is also evident by the declaration of vernacular law as </w:t>
      </w:r>
      <w:r w:rsidR="00F42551">
        <w:t xml:space="preserve">a </w:t>
      </w:r>
      <w:r w:rsidR="007E6D71">
        <w:t>natural right given to the Irish by God</w:t>
      </w:r>
      <w:r w:rsidR="00EA60E3">
        <w:t>.</w:t>
      </w:r>
      <w:r w:rsidR="00EA60E3">
        <w:rPr>
          <w:rStyle w:val="FootnoteReference"/>
        </w:rPr>
        <w:footnoteReference w:id="20"/>
      </w:r>
      <w:r w:rsidR="007E6D71">
        <w:t xml:space="preserve"> </w:t>
      </w:r>
      <w:r w:rsidR="007839AA">
        <w:t>The</w:t>
      </w:r>
      <w:r w:rsidR="003317CA">
        <w:t xml:space="preserve"> readiness </w:t>
      </w:r>
      <w:r w:rsidR="0073407E">
        <w:t xml:space="preserve">of </w:t>
      </w:r>
      <w:r w:rsidR="001521E2">
        <w:t xml:space="preserve">brehon </w:t>
      </w:r>
      <w:r w:rsidR="0073407E">
        <w:t xml:space="preserve">lawyers </w:t>
      </w:r>
      <w:r w:rsidR="003F73C3">
        <w:t xml:space="preserve">to adapt to the increasing influence of Christian </w:t>
      </w:r>
      <w:r w:rsidR="00FB4F04">
        <w:t>teachings</w:t>
      </w:r>
      <w:r w:rsidR="003F73C3">
        <w:t xml:space="preserve"> </w:t>
      </w:r>
      <w:r w:rsidR="002D0371">
        <w:t xml:space="preserve">reveals a </w:t>
      </w:r>
      <w:r w:rsidR="001D524D">
        <w:t>dynamism</w:t>
      </w:r>
      <w:r w:rsidR="002D0371">
        <w:t xml:space="preserve"> </w:t>
      </w:r>
      <w:r w:rsidR="001517E7">
        <w:t xml:space="preserve">implicit to the </w:t>
      </w:r>
      <w:r w:rsidR="00CB5BEB">
        <w:t>social structures of early Ireland.</w:t>
      </w:r>
      <w:r w:rsidR="002755C3">
        <w:t xml:space="preserve"> These texts </w:t>
      </w:r>
      <w:r w:rsidR="00300A1D">
        <w:t xml:space="preserve">formed a corpus </w:t>
      </w:r>
      <w:r w:rsidR="006E29D3">
        <w:t xml:space="preserve">far from </w:t>
      </w:r>
      <w:r w:rsidR="006E29D3">
        <w:lastRenderedPageBreak/>
        <w:t>stagnant</w:t>
      </w:r>
      <w:r w:rsidR="00602E78">
        <w:t>;</w:t>
      </w:r>
      <w:r w:rsidR="00961B67">
        <w:rPr>
          <w:rStyle w:val="FootnoteReference"/>
        </w:rPr>
        <w:footnoteReference w:id="21"/>
      </w:r>
      <w:r w:rsidR="00602E78">
        <w:t xml:space="preserve"> </w:t>
      </w:r>
      <w:r w:rsidR="00FB1E3A">
        <w:t xml:space="preserve">traces of </w:t>
      </w:r>
      <w:r w:rsidR="00602E78">
        <w:t xml:space="preserve">transformation </w:t>
      </w:r>
      <w:r w:rsidR="00A15BDA">
        <w:t>manifest in</w:t>
      </w:r>
      <w:r w:rsidR="00CB7DB1">
        <w:t xml:space="preserve"> the plentiful</w:t>
      </w:r>
      <w:r w:rsidR="00A15BDA">
        <w:t xml:space="preserve"> glosses and commentaries</w:t>
      </w:r>
      <w:r w:rsidR="00571317">
        <w:t xml:space="preserve"> </w:t>
      </w:r>
      <w:r w:rsidR="00CB7DB1">
        <w:t>etched in the margins of</w:t>
      </w:r>
      <w:r w:rsidR="00571317">
        <w:t xml:space="preserve"> </w:t>
      </w:r>
      <w:r w:rsidR="008F32CF">
        <w:t xml:space="preserve">the </w:t>
      </w:r>
      <w:r w:rsidR="00571317">
        <w:t>manuscript.</w:t>
      </w:r>
      <w:r w:rsidR="00A21EBC">
        <w:rPr>
          <w:rStyle w:val="FootnoteReference"/>
        </w:rPr>
        <w:footnoteReference w:id="22"/>
      </w:r>
      <w:r w:rsidR="009736EA">
        <w:t xml:space="preserve"> </w:t>
      </w:r>
    </w:p>
    <w:p w14:paraId="56A037B0" w14:textId="606ECC92" w:rsidR="00403392" w:rsidRDefault="004E604F" w:rsidP="00403392">
      <w:pPr>
        <w:spacing w:after="0" w:line="480" w:lineRule="auto"/>
        <w:ind w:firstLine="720"/>
      </w:pPr>
      <w:r>
        <w:t>T</w:t>
      </w:r>
      <w:r w:rsidR="00593A47" w:rsidRPr="00593A47">
        <w:t xml:space="preserve">he </w:t>
      </w:r>
      <w:r w:rsidR="00953006">
        <w:t xml:space="preserve">laws of status </w:t>
      </w:r>
      <w:r w:rsidR="003C47D0">
        <w:t>served as</w:t>
      </w:r>
      <w:r w:rsidR="00593A47" w:rsidRPr="00593A47">
        <w:t xml:space="preserve"> text-books for lawyers and judges to instruct in the theory of a strictly hierarchical society</w:t>
      </w:r>
      <w:r w:rsidR="00BE2800">
        <w:t>.</w:t>
      </w:r>
      <w:r w:rsidR="00BB6126">
        <w:t xml:space="preserve"> </w:t>
      </w:r>
      <w:r w:rsidR="00B864EA">
        <w:t>Taking a</w:t>
      </w:r>
      <w:r w:rsidR="005369D0">
        <w:t>n</w:t>
      </w:r>
      <w:r w:rsidR="00B864EA">
        <w:t xml:space="preserve"> opposing stance, </w:t>
      </w:r>
      <w:r w:rsidR="006D7075">
        <w:t xml:space="preserve">Binchy </w:t>
      </w:r>
      <w:r w:rsidR="00174D3E">
        <w:t>frame</w:t>
      </w:r>
      <w:r w:rsidR="002B4D75">
        <w:t>s</w:t>
      </w:r>
      <w:r w:rsidR="006D7075">
        <w:t xml:space="preserve"> </w:t>
      </w:r>
      <w:r w:rsidR="008C1002">
        <w:rPr>
          <w:i/>
          <w:iCs/>
        </w:rPr>
        <w:t>Branched Purchase</w:t>
      </w:r>
      <w:r w:rsidR="00351021">
        <w:t xml:space="preserve"> as </w:t>
      </w:r>
      <w:r w:rsidR="006D7075">
        <w:t xml:space="preserve">“a theoretical construction, which although built of genuine material, bears only a </w:t>
      </w:r>
      <w:r>
        <w:t xml:space="preserve">very </w:t>
      </w:r>
      <w:r w:rsidR="006D7075">
        <w:t>limited relation to the realities of legal life,”</w:t>
      </w:r>
      <w:r w:rsidR="00351021">
        <w:t xml:space="preserve"> </w:t>
      </w:r>
      <w:r w:rsidR="00234B7D">
        <w:t>and</w:t>
      </w:r>
      <w:r w:rsidR="00BD5BB0">
        <w:t xml:space="preserve"> Kelly holds that the complex hierarchies of rank “can only have borne a limited resemblance to reality.”</w:t>
      </w:r>
      <w:r w:rsidR="00BD5BB0">
        <w:rPr>
          <w:rStyle w:val="FootnoteReference"/>
        </w:rPr>
        <w:footnoteReference w:id="23"/>
      </w:r>
      <w:r w:rsidR="006D7075">
        <w:t xml:space="preserve"> </w:t>
      </w:r>
      <w:r w:rsidR="00CD03F3" w:rsidRPr="00CD03F3">
        <w:t>To MacNeill,</w:t>
      </w:r>
      <w:r w:rsidR="00D045E1">
        <w:t xml:space="preserve"> however, </w:t>
      </w:r>
      <w:r w:rsidR="00967ED9">
        <w:t xml:space="preserve">the </w:t>
      </w:r>
      <w:r w:rsidR="006416F2">
        <w:t xml:space="preserve">laws of status functioned as </w:t>
      </w:r>
      <w:r w:rsidR="00CD03F3" w:rsidRPr="00CD03F3">
        <w:t>the essential element of</w:t>
      </w:r>
      <w:r w:rsidR="003A6B0D">
        <w:t xml:space="preserve"> </w:t>
      </w:r>
      <w:r w:rsidR="00CD03F3" w:rsidRPr="00CD03F3">
        <w:t>legal theory</w:t>
      </w:r>
      <w:r w:rsidR="003A6B0D">
        <w:t xml:space="preserve"> in a society</w:t>
      </w:r>
      <w:r w:rsidR="00815C94">
        <w:t xml:space="preserve"> </w:t>
      </w:r>
      <w:r w:rsidR="00971166">
        <w:t>formalized</w:t>
      </w:r>
      <w:r w:rsidR="00815C94">
        <w:t xml:space="preserve"> into a stratified structure</w:t>
      </w:r>
      <w:r w:rsidR="00CD03F3" w:rsidRPr="00CD03F3">
        <w:t>.</w:t>
      </w:r>
      <w:r w:rsidR="00DA5AA3">
        <w:rPr>
          <w:rStyle w:val="FootnoteReference"/>
        </w:rPr>
        <w:footnoteReference w:id="24"/>
      </w:r>
      <w:r w:rsidR="00A31039">
        <w:t xml:space="preserve"> </w:t>
      </w:r>
      <w:r w:rsidR="0037009C">
        <w:t xml:space="preserve">In </w:t>
      </w:r>
      <w:r w:rsidR="00C62984">
        <w:t xml:space="preserve">this </w:t>
      </w:r>
      <w:r w:rsidR="00106B10">
        <w:t>un</w:t>
      </w:r>
      <w:r w:rsidR="0037009C">
        <w:t>equal system, a</w:t>
      </w:r>
      <w:r w:rsidR="00EF16FE">
        <w:t xml:space="preserve">n individual’s capacity to engage in </w:t>
      </w:r>
      <w:r w:rsidR="00881A43">
        <w:t xml:space="preserve">the </w:t>
      </w:r>
      <w:r w:rsidR="003F5355">
        <w:t xml:space="preserve">legal </w:t>
      </w:r>
      <w:r w:rsidR="00881A43">
        <w:t xml:space="preserve">and social </w:t>
      </w:r>
      <w:r w:rsidR="003F5355">
        <w:t xml:space="preserve">systems </w:t>
      </w:r>
      <w:r w:rsidR="007A5148">
        <w:t xml:space="preserve">of early Ireland </w:t>
      </w:r>
      <w:r w:rsidR="003F5355">
        <w:t xml:space="preserve">was dependent on </w:t>
      </w:r>
      <w:r w:rsidR="00AB61E2">
        <w:t xml:space="preserve">their </w:t>
      </w:r>
      <w:r w:rsidR="000F601F">
        <w:t>ran</w:t>
      </w:r>
      <w:r w:rsidR="005A6199">
        <w:t>k</w:t>
      </w:r>
      <w:r w:rsidR="0079275C">
        <w:t>, which subdivided each social order</w:t>
      </w:r>
      <w:r w:rsidR="00186470">
        <w:t xml:space="preserve"> into </w:t>
      </w:r>
      <w:r w:rsidR="009B76A4">
        <w:t xml:space="preserve">grades </w:t>
      </w:r>
      <w:r w:rsidR="00186470">
        <w:t>of varying rights and obligations</w:t>
      </w:r>
      <w:r w:rsidR="005538F9">
        <w:t xml:space="preserve">. </w:t>
      </w:r>
      <w:r w:rsidR="00DC7413">
        <w:t>It is on a basis of social values</w:t>
      </w:r>
      <w:r w:rsidR="00A617CD">
        <w:t xml:space="preserve">, </w:t>
      </w:r>
      <w:r w:rsidR="00DB30CE">
        <w:t xml:space="preserve">of </w:t>
      </w:r>
      <w:r w:rsidR="00A617CD">
        <w:t>rituals</w:t>
      </w:r>
      <w:r w:rsidR="00DB30CE">
        <w:t xml:space="preserve"> </w:t>
      </w:r>
      <w:r w:rsidR="00A617CD">
        <w:t xml:space="preserve">and </w:t>
      </w:r>
      <w:r w:rsidR="007276C3">
        <w:t xml:space="preserve">relationships </w:t>
      </w:r>
      <w:r w:rsidR="00700DBB">
        <w:t xml:space="preserve">that the laws of status </w:t>
      </w:r>
      <w:r w:rsidR="003452F6">
        <w:t xml:space="preserve">derived </w:t>
      </w:r>
      <w:r w:rsidR="000042C2">
        <w:t xml:space="preserve">the </w:t>
      </w:r>
      <w:r w:rsidR="00BE2F13">
        <w:t>essence of their legalit</w:t>
      </w:r>
      <w:r w:rsidR="002B677C">
        <w:t>y</w:t>
      </w:r>
      <w:r w:rsidR="007C6199">
        <w:t>,</w:t>
      </w:r>
      <w:r w:rsidR="00525924">
        <w:t xml:space="preserve"> </w:t>
      </w:r>
      <w:r w:rsidR="006D023B">
        <w:t xml:space="preserve">perhaps </w:t>
      </w:r>
      <w:r w:rsidR="00525924">
        <w:t>even more so than material value</w:t>
      </w:r>
      <w:r w:rsidR="006D31E6">
        <w:t xml:space="preserve">, </w:t>
      </w:r>
      <w:r w:rsidR="007C6199">
        <w:t>suggests</w:t>
      </w:r>
      <w:r w:rsidR="004B1263">
        <w:t xml:space="preserve"> </w:t>
      </w:r>
      <w:r w:rsidR="004B1263">
        <w:rPr>
          <w:i/>
          <w:iCs/>
        </w:rPr>
        <w:t>Rank Sections</w:t>
      </w:r>
      <w:r w:rsidR="007C6199">
        <w:t xml:space="preserve">: </w:t>
      </w:r>
    </w:p>
    <w:p w14:paraId="68EF9512" w14:textId="3E974DA1" w:rsidR="004E5EBD" w:rsidRDefault="000922B3" w:rsidP="00B42EE7">
      <w:pPr>
        <w:spacing w:after="0" w:line="240" w:lineRule="auto"/>
        <w:ind w:left="720"/>
      </w:pPr>
      <w:r>
        <w:t xml:space="preserve">‘What is the number?’, the </w:t>
      </w:r>
      <w:r w:rsidR="00B42EE7">
        <w:t>knowledgeable</w:t>
      </w:r>
      <w:r>
        <w:t xml:space="preserve"> one inquired, ‘of their entitlements in the divisions of rank’. No</w:t>
      </w:r>
      <w:r w:rsidR="00ED27D5">
        <w:t>t</w:t>
      </w:r>
      <w:r>
        <w:t xml:space="preserve"> difficult; nine. So that one may know with what amount each of them is established with regard to their full retinue and their lesser retinue, both their </w:t>
      </w:r>
      <w:r w:rsidR="00B42EE7">
        <w:t>reflection</w:t>
      </w:r>
      <w:r>
        <w:t xml:space="preserve"> and the</w:t>
      </w:r>
      <w:r w:rsidR="008F32CF">
        <w:t>y’re</w:t>
      </w:r>
      <w:r>
        <w:t xml:space="preserve"> being refused hospitality, </w:t>
      </w:r>
      <w:r w:rsidR="008F32CF">
        <w:t>they’re</w:t>
      </w:r>
      <w:r>
        <w:t xml:space="preserve"> being wounded and violation </w:t>
      </w:r>
      <w:r w:rsidR="00B42EE7">
        <w:t xml:space="preserve">of their protection, </w:t>
      </w:r>
      <w:r w:rsidR="008F32CF">
        <w:t>they’re</w:t>
      </w:r>
      <w:r w:rsidR="00B42EE7">
        <w:t xml:space="preserve"> being insulted and their being dishonoured, their protection and their sanctuary, their honour-price and the fine for dishonouring them and the fine for defaming them.</w:t>
      </w:r>
      <w:r w:rsidR="00243D8C">
        <w:rPr>
          <w:rStyle w:val="FootnoteReference"/>
        </w:rPr>
        <w:footnoteReference w:id="25"/>
      </w:r>
      <w:r>
        <w:t xml:space="preserve"> </w:t>
      </w:r>
      <w:r w:rsidR="004B1263">
        <w:rPr>
          <w:i/>
          <w:iCs/>
        </w:rPr>
        <w:t xml:space="preserve"> </w:t>
      </w:r>
    </w:p>
    <w:p w14:paraId="434A5E55" w14:textId="029D7C0E" w:rsidR="00243D8C" w:rsidRDefault="00243D8C" w:rsidP="007C57E7">
      <w:pPr>
        <w:spacing w:after="0" w:line="240" w:lineRule="auto"/>
      </w:pPr>
    </w:p>
    <w:p w14:paraId="6EACE080" w14:textId="3985871C" w:rsidR="007C57E7" w:rsidRPr="008A72CB" w:rsidRDefault="00E20CBF" w:rsidP="00E20CBF">
      <w:pPr>
        <w:spacing w:after="0" w:line="480" w:lineRule="auto"/>
      </w:pPr>
      <w:r>
        <w:rPr>
          <w:i/>
          <w:iCs/>
        </w:rPr>
        <w:lastRenderedPageBreak/>
        <w:t xml:space="preserve">Rank Sections </w:t>
      </w:r>
      <w:r>
        <w:t xml:space="preserve">specifies nine ranks, while the </w:t>
      </w:r>
      <w:r>
        <w:rPr>
          <w:i/>
          <w:iCs/>
        </w:rPr>
        <w:t xml:space="preserve">Little Grammar </w:t>
      </w:r>
      <w:r>
        <w:t xml:space="preserve">and </w:t>
      </w:r>
      <w:r>
        <w:rPr>
          <w:i/>
          <w:iCs/>
        </w:rPr>
        <w:t xml:space="preserve">Branched Purchase </w:t>
      </w:r>
      <w:r>
        <w:t>denote seven</w:t>
      </w:r>
      <w:r w:rsidR="00FA6883">
        <w:t xml:space="preserve">, yet each text features </w:t>
      </w:r>
      <w:r w:rsidR="002820EC">
        <w:t xml:space="preserve">several distinct status hierarchies </w:t>
      </w:r>
      <w:r w:rsidR="00D44D9C">
        <w:t xml:space="preserve">dependent on the </w:t>
      </w:r>
      <w:r w:rsidR="008967BB">
        <w:t xml:space="preserve">functions of the members of these hierarchies. </w:t>
      </w:r>
      <w:r w:rsidR="00136195">
        <w:t xml:space="preserve">The majority of the population fell under the </w:t>
      </w:r>
      <w:r w:rsidR="00207EBF">
        <w:t>“</w:t>
      </w:r>
      <w:r w:rsidR="00136195">
        <w:t>grades of the lay people</w:t>
      </w:r>
      <w:r w:rsidR="00207EBF">
        <w:t>”</w:t>
      </w:r>
      <w:r w:rsidR="00136195">
        <w:t xml:space="preserve"> </w:t>
      </w:r>
      <w:r w:rsidR="00A842A3">
        <w:t>[</w:t>
      </w:r>
      <w:r w:rsidR="00136195">
        <w:rPr>
          <w:i/>
          <w:iCs/>
        </w:rPr>
        <w:t>grád túaithe</w:t>
      </w:r>
      <w:r w:rsidR="00A842A3" w:rsidRPr="00685FD5">
        <w:t>]</w:t>
      </w:r>
      <w:r w:rsidR="00800309">
        <w:t xml:space="preserve">, </w:t>
      </w:r>
      <w:r w:rsidR="00C95418">
        <w:t xml:space="preserve">which split twofold </w:t>
      </w:r>
      <w:r w:rsidR="009B297D">
        <w:t>into a lower</w:t>
      </w:r>
      <w:r w:rsidR="008F32CF">
        <w:t>-</w:t>
      </w:r>
      <w:r w:rsidR="009B297D">
        <w:t xml:space="preserve"> and higher</w:t>
      </w:r>
      <w:r w:rsidR="008F32CF">
        <w:t>-</w:t>
      </w:r>
      <w:r w:rsidR="009B297D">
        <w:t>order</w:t>
      </w:r>
      <w:r w:rsidR="00DE52F4">
        <w:t>.</w:t>
      </w:r>
      <w:r w:rsidR="005C247D" w:rsidRPr="005C247D">
        <w:rPr>
          <w:vertAlign w:val="superscript"/>
        </w:rPr>
        <w:t xml:space="preserve"> </w:t>
      </w:r>
      <w:r w:rsidR="005C247D" w:rsidRPr="005C247D">
        <w:rPr>
          <w:vertAlign w:val="superscript"/>
        </w:rPr>
        <w:footnoteReference w:id="26"/>
      </w:r>
      <w:r w:rsidR="00DE52F4">
        <w:t xml:space="preserve"> </w:t>
      </w:r>
      <w:r w:rsidR="00F27273">
        <w:t xml:space="preserve">The </w:t>
      </w:r>
      <w:r w:rsidR="00F27273" w:rsidRPr="00F27273">
        <w:t xml:space="preserve">laws of status refer to the lower order by several names, such as the </w:t>
      </w:r>
      <w:r w:rsidR="00D10812">
        <w:t>“order of the Féni” [</w:t>
      </w:r>
      <w:r w:rsidR="00D10812" w:rsidRPr="00D10812">
        <w:rPr>
          <w:i/>
          <w:iCs/>
        </w:rPr>
        <w:t>grád Fhéne</w:t>
      </w:r>
      <w:r w:rsidR="00D10812">
        <w:t>]</w:t>
      </w:r>
      <w:r w:rsidR="00D10812" w:rsidRPr="00D10812">
        <w:rPr>
          <w:i/>
          <w:iCs/>
        </w:rPr>
        <w:t xml:space="preserve"> </w:t>
      </w:r>
      <w:r w:rsidR="00F27273" w:rsidRPr="00F27273">
        <w:t>or “orders of worth”</w:t>
      </w:r>
      <w:r w:rsidR="001E606F">
        <w:t xml:space="preserve"> [</w:t>
      </w:r>
      <w:r w:rsidR="001E606F" w:rsidRPr="001E606F">
        <w:rPr>
          <w:i/>
          <w:iCs/>
        </w:rPr>
        <w:t>fodla febe</w:t>
      </w:r>
      <w:r w:rsidR="001E606F">
        <w:t>]</w:t>
      </w:r>
      <w:r w:rsidR="00F27273">
        <w:t xml:space="preserve">, </w:t>
      </w:r>
      <w:r w:rsidR="00281628">
        <w:t>which</w:t>
      </w:r>
      <w:r w:rsidR="00F27273">
        <w:t xml:space="preserve"> </w:t>
      </w:r>
      <w:r w:rsidR="00D53D3F">
        <w:t xml:space="preserve">encompasses </w:t>
      </w:r>
      <w:r w:rsidR="00CB459D">
        <w:t>commoners of full legal status</w:t>
      </w:r>
      <w:r w:rsidR="00D47BD1">
        <w:t>.</w:t>
      </w:r>
      <w:r w:rsidR="00D47BD1">
        <w:rPr>
          <w:rStyle w:val="FootnoteReference"/>
        </w:rPr>
        <w:footnoteReference w:id="27"/>
      </w:r>
      <w:r w:rsidR="00CE7D0C">
        <w:t xml:space="preserve"> The higher</w:t>
      </w:r>
      <w:r w:rsidR="00B54162">
        <w:t>, or superior, order</w:t>
      </w:r>
      <w:r w:rsidR="00326D76">
        <w:t xml:space="preserve"> </w:t>
      </w:r>
      <w:r w:rsidR="000647EF">
        <w:t xml:space="preserve">was the </w:t>
      </w:r>
      <w:r w:rsidR="001E606F">
        <w:t>“</w:t>
      </w:r>
      <w:r w:rsidR="000647EF">
        <w:t>order of the government”</w:t>
      </w:r>
      <w:r w:rsidR="001E606F">
        <w:t xml:space="preserve"> (</w:t>
      </w:r>
      <w:r w:rsidR="001E606F" w:rsidRPr="001E606F">
        <w:rPr>
          <w:i/>
          <w:iCs/>
        </w:rPr>
        <w:t>grád flatha</w:t>
      </w:r>
      <w:r w:rsidR="001E606F">
        <w:t>)</w:t>
      </w:r>
      <w:r w:rsidR="00A40F56">
        <w:t xml:space="preserve">, and </w:t>
      </w:r>
      <w:r w:rsidR="000647EF">
        <w:t>consisted of kings and nobles</w:t>
      </w:r>
      <w:r w:rsidR="00983AB3">
        <w:t>.</w:t>
      </w:r>
      <w:r w:rsidR="00983AB3">
        <w:rPr>
          <w:rStyle w:val="FootnoteReference"/>
        </w:rPr>
        <w:footnoteReference w:id="28"/>
      </w:r>
      <w:r w:rsidR="000C30BE">
        <w:t xml:space="preserve"> Other hierarchies</w:t>
      </w:r>
      <w:r w:rsidR="00E16973">
        <w:t xml:space="preserve"> </w:t>
      </w:r>
      <w:r w:rsidR="00EA15E3">
        <w:t>describe the grades of “people of skill” (</w:t>
      </w:r>
      <w:r w:rsidR="00EA15E3">
        <w:rPr>
          <w:i/>
          <w:iCs/>
        </w:rPr>
        <w:t>áes dána</w:t>
      </w:r>
      <w:r w:rsidR="00EA15E3">
        <w:t>)</w:t>
      </w:r>
      <w:r w:rsidR="00E3492E">
        <w:t xml:space="preserve">: </w:t>
      </w:r>
      <w:r w:rsidR="00EA15E3">
        <w:t xml:space="preserve">lawyers and craftsmen; the </w:t>
      </w:r>
      <w:r w:rsidR="00C23E77">
        <w:t>ranks within</w:t>
      </w:r>
      <w:r w:rsidR="00EA15E3">
        <w:t xml:space="preserve"> the Church; and the </w:t>
      </w:r>
      <w:r w:rsidR="001F507E">
        <w:t>grades of learned poets skilled in the vernacular tradition.</w:t>
      </w:r>
      <w:r w:rsidR="001F507E">
        <w:rPr>
          <w:rStyle w:val="FootnoteReference"/>
        </w:rPr>
        <w:footnoteReference w:id="29"/>
      </w:r>
      <w:r w:rsidR="001E0746">
        <w:t xml:space="preserve"> </w:t>
      </w:r>
      <w:r w:rsidR="000578F3">
        <w:t>Kelly</w:t>
      </w:r>
      <w:r w:rsidR="0023055C">
        <w:t xml:space="preserve"> </w:t>
      </w:r>
      <w:r w:rsidR="003D799D">
        <w:t xml:space="preserve">suggests that </w:t>
      </w:r>
      <w:r w:rsidR="00C97561">
        <w:t>it is not rank but the difference between those who are “privileged” (</w:t>
      </w:r>
      <w:r w:rsidR="00C97561">
        <w:rPr>
          <w:i/>
          <w:iCs/>
        </w:rPr>
        <w:t>nemed</w:t>
      </w:r>
      <w:r w:rsidR="00C97561">
        <w:t>)</w:t>
      </w:r>
      <w:r w:rsidR="00235E3E">
        <w:t>,</w:t>
      </w:r>
      <w:r w:rsidR="00C97561">
        <w:t xml:space="preserve"> and those who are not privileged</w:t>
      </w:r>
      <w:r w:rsidR="00235E3E">
        <w:t xml:space="preserve">, </w:t>
      </w:r>
      <w:r w:rsidR="008A72CB">
        <w:t>and between those who are free (</w:t>
      </w:r>
      <w:r w:rsidR="008A72CB">
        <w:rPr>
          <w:i/>
          <w:iCs/>
        </w:rPr>
        <w:t>sóer</w:t>
      </w:r>
      <w:r w:rsidR="008A72CB">
        <w:t>) and those who are unfree (</w:t>
      </w:r>
      <w:r w:rsidR="008A72CB">
        <w:rPr>
          <w:i/>
          <w:iCs/>
        </w:rPr>
        <w:t>dóer</w:t>
      </w:r>
      <w:r w:rsidR="008A72CB">
        <w:t xml:space="preserve">) that </w:t>
      </w:r>
      <w:r w:rsidR="00735CE4">
        <w:t xml:space="preserve">are the most important social </w:t>
      </w:r>
      <w:r w:rsidR="00171FBD">
        <w:t>distinctions</w:t>
      </w:r>
      <w:r w:rsidR="00735CE4">
        <w:t>.</w:t>
      </w:r>
      <w:r w:rsidR="00490B6A">
        <w:rPr>
          <w:rStyle w:val="FootnoteReference"/>
        </w:rPr>
        <w:footnoteReference w:id="30"/>
      </w:r>
      <w:r w:rsidR="00117D97">
        <w:t xml:space="preserve"> Of the privileged echelons include kings, </w:t>
      </w:r>
      <w:r w:rsidR="00591101">
        <w:t>lords</w:t>
      </w:r>
      <w:r w:rsidR="00117D97">
        <w:t>,</w:t>
      </w:r>
      <w:r w:rsidR="000A468B">
        <w:t xml:space="preserve"> clerics, and poets</w:t>
      </w:r>
      <w:r w:rsidR="00012939">
        <w:t xml:space="preserve">, and </w:t>
      </w:r>
      <w:r w:rsidR="000A468B">
        <w:t>of the non-</w:t>
      </w:r>
      <w:r w:rsidR="005242B0">
        <w:t>privileged</w:t>
      </w:r>
      <w:r w:rsidR="000A468B">
        <w:t xml:space="preserve">, </w:t>
      </w:r>
      <w:r w:rsidR="00012939">
        <w:t xml:space="preserve">free </w:t>
      </w:r>
      <w:r w:rsidR="00591101">
        <w:t>farmers and craftsmen</w:t>
      </w:r>
      <w:r w:rsidR="004D6A2C">
        <w:t xml:space="preserve">. </w:t>
      </w:r>
    </w:p>
    <w:p w14:paraId="621CC00A" w14:textId="26216633" w:rsidR="00577746" w:rsidRDefault="008A3856" w:rsidP="00104A5D">
      <w:pPr>
        <w:spacing w:after="0" w:line="480" w:lineRule="auto"/>
        <w:ind w:firstLine="720"/>
      </w:pPr>
      <w:r>
        <w:t xml:space="preserve">Honor-price </w:t>
      </w:r>
      <w:r w:rsidR="00994BEB">
        <w:t>linked</w:t>
      </w:r>
      <w:r w:rsidR="002365F8">
        <w:t xml:space="preserve"> </w:t>
      </w:r>
      <w:r>
        <w:t xml:space="preserve">the abstract </w:t>
      </w:r>
      <w:r w:rsidR="002365F8">
        <w:t>legal concept</w:t>
      </w:r>
      <w:r>
        <w:t xml:space="preserve"> of </w:t>
      </w:r>
      <w:r w:rsidR="003B7D1C">
        <w:t xml:space="preserve">social hierarchies </w:t>
      </w:r>
      <w:r w:rsidR="00994BEB">
        <w:t xml:space="preserve">with </w:t>
      </w:r>
      <w:r w:rsidR="00D821A9">
        <w:t xml:space="preserve">social reality. </w:t>
      </w:r>
      <w:r w:rsidR="0089381C">
        <w:t>An individual’s r</w:t>
      </w:r>
      <w:r w:rsidR="006C18E5">
        <w:t xml:space="preserve">ank </w:t>
      </w:r>
      <w:r w:rsidR="0089381C">
        <w:t xml:space="preserve">defined an </w:t>
      </w:r>
      <w:r w:rsidR="005A6199">
        <w:t>honor</w:t>
      </w:r>
      <w:r w:rsidR="0089381C">
        <w:t>-</w:t>
      </w:r>
      <w:r w:rsidR="005A6199">
        <w:t>price (</w:t>
      </w:r>
      <w:r w:rsidR="005A6199">
        <w:rPr>
          <w:i/>
          <w:iCs/>
        </w:rPr>
        <w:t>lóg-n-enech</w:t>
      </w:r>
      <w:r w:rsidR="005A6199">
        <w:t>, “the price of his face”)</w:t>
      </w:r>
      <w:r w:rsidR="00E06711">
        <w:t xml:space="preserve">, </w:t>
      </w:r>
      <w:r w:rsidR="0068693C">
        <w:t xml:space="preserve">the </w:t>
      </w:r>
      <w:r w:rsidR="00205081">
        <w:t>compensation</w:t>
      </w:r>
      <w:r w:rsidR="00F01BC3">
        <w:t xml:space="preserve"> </w:t>
      </w:r>
      <w:r w:rsidR="00106B10">
        <w:t>paid</w:t>
      </w:r>
      <w:r w:rsidR="00F01BC3">
        <w:t xml:space="preserve"> by a </w:t>
      </w:r>
      <w:r w:rsidR="00A93B39">
        <w:t>guilty</w:t>
      </w:r>
      <w:r w:rsidR="00F01BC3">
        <w:t xml:space="preserve"> </w:t>
      </w:r>
      <w:r w:rsidR="00106B10">
        <w:t>party</w:t>
      </w:r>
      <w:r w:rsidR="00F01BC3">
        <w:t xml:space="preserve"> </w:t>
      </w:r>
      <w:r w:rsidR="00C03694">
        <w:t xml:space="preserve">to the </w:t>
      </w:r>
      <w:r w:rsidR="000B2951">
        <w:t>dishonored victim.</w:t>
      </w:r>
      <w:r w:rsidR="000B2951">
        <w:rPr>
          <w:rStyle w:val="FootnoteReference"/>
        </w:rPr>
        <w:footnoteReference w:id="31"/>
      </w:r>
      <w:r w:rsidR="00492119">
        <w:t xml:space="preserve"> </w:t>
      </w:r>
      <w:r w:rsidR="00331741">
        <w:t xml:space="preserve">For </w:t>
      </w:r>
      <w:r w:rsidR="00257DF6">
        <w:t>a</w:t>
      </w:r>
      <w:r w:rsidR="00E47FA7">
        <w:t xml:space="preserve"> </w:t>
      </w:r>
      <w:r w:rsidR="00257DF6">
        <w:t>“landman” (</w:t>
      </w:r>
      <w:r w:rsidR="00257DF6" w:rsidRPr="00257DF6">
        <w:rPr>
          <w:i/>
          <w:iCs/>
        </w:rPr>
        <w:t>mruigfer</w:t>
      </w:r>
      <w:r w:rsidR="00257DF6">
        <w:t>)</w:t>
      </w:r>
      <w:r w:rsidR="00190CB7">
        <w:t>, the archetypical commoner grade</w:t>
      </w:r>
      <w:r w:rsidR="00042860">
        <w:t xml:space="preserve"> ascribed full legal rights</w:t>
      </w:r>
      <w:r w:rsidR="0059051E">
        <w:t>,</w:t>
      </w:r>
      <w:r w:rsidR="0059051E">
        <w:rPr>
          <w:rStyle w:val="FootnoteReference"/>
        </w:rPr>
        <w:footnoteReference w:id="32"/>
      </w:r>
      <w:r w:rsidR="00883ED1">
        <w:t xml:space="preserve"> </w:t>
      </w:r>
      <w:r w:rsidR="00C837B7">
        <w:t xml:space="preserve">the </w:t>
      </w:r>
      <w:r w:rsidR="00D15925">
        <w:rPr>
          <w:i/>
          <w:iCs/>
        </w:rPr>
        <w:t>Branched Purchase</w:t>
      </w:r>
      <w:r w:rsidR="0059051E">
        <w:t xml:space="preserve"> </w:t>
      </w:r>
      <w:r w:rsidR="00C837B7">
        <w:t xml:space="preserve">sets an honor-price of six </w:t>
      </w:r>
      <w:r w:rsidR="00C837B7">
        <w:rPr>
          <w:i/>
          <w:iCs/>
        </w:rPr>
        <w:t>séoit</w:t>
      </w:r>
      <w:r w:rsidR="00C837B7">
        <w:t xml:space="preserve"> – a </w:t>
      </w:r>
      <w:r w:rsidR="00C837B7">
        <w:rPr>
          <w:i/>
          <w:iCs/>
        </w:rPr>
        <w:t xml:space="preserve">sét </w:t>
      </w:r>
      <w:r w:rsidR="00C837B7">
        <w:t>being equivalent to a young heifer.</w:t>
      </w:r>
      <w:r w:rsidR="00883ED1">
        <w:rPr>
          <w:rStyle w:val="FootnoteReference"/>
        </w:rPr>
        <w:footnoteReference w:id="33"/>
      </w:r>
      <w:r w:rsidR="000F0999">
        <w:t xml:space="preserve"> Comparatively,</w:t>
      </w:r>
      <w:r w:rsidR="00C837B7">
        <w:t xml:space="preserve"> </w:t>
      </w:r>
      <w:r w:rsidR="000F0999">
        <w:t>a</w:t>
      </w:r>
      <w:r w:rsidR="00A36260">
        <w:t xml:space="preserve"> “high noble” (</w:t>
      </w:r>
      <w:r w:rsidR="00A36260">
        <w:rPr>
          <w:i/>
          <w:iCs/>
        </w:rPr>
        <w:t xml:space="preserve">aire </w:t>
      </w:r>
      <w:r w:rsidR="00A36260" w:rsidRPr="00A36260">
        <w:rPr>
          <w:i/>
          <w:iCs/>
        </w:rPr>
        <w:t>ard</w:t>
      </w:r>
      <w:r w:rsidR="00B4341F">
        <w:rPr>
          <w:i/>
          <w:iCs/>
        </w:rPr>
        <w:t>d</w:t>
      </w:r>
      <w:r w:rsidR="00A36260">
        <w:t xml:space="preserve">) </w:t>
      </w:r>
      <w:r w:rsidR="002E2C34">
        <w:t xml:space="preserve">held </w:t>
      </w:r>
      <w:r w:rsidR="002E2C34">
        <w:lastRenderedPageBreak/>
        <w:t xml:space="preserve">an honor-price of fifteen </w:t>
      </w:r>
      <w:r w:rsidR="000F0999">
        <w:rPr>
          <w:i/>
          <w:iCs/>
        </w:rPr>
        <w:t>séoit</w:t>
      </w:r>
      <w:r w:rsidR="00CE0A62">
        <w:t>, but the superior “leading noble” (</w:t>
      </w:r>
      <w:r w:rsidR="00CE0A62">
        <w:rPr>
          <w:i/>
          <w:iCs/>
        </w:rPr>
        <w:t>aire túise</w:t>
      </w:r>
      <w:r w:rsidR="00CE0A62">
        <w:t>)</w:t>
      </w:r>
      <w:r w:rsidR="00897165">
        <w:t xml:space="preserve"> </w:t>
      </w:r>
      <w:r w:rsidR="00A6301B">
        <w:t xml:space="preserve">boasted </w:t>
      </w:r>
      <w:r w:rsidR="00D200B9">
        <w:t xml:space="preserve">twenty </w:t>
      </w:r>
      <w:r w:rsidR="00D200B9">
        <w:rPr>
          <w:i/>
          <w:iCs/>
        </w:rPr>
        <w:t>séoit</w:t>
      </w:r>
      <w:r w:rsidR="000F0999">
        <w:t>.</w:t>
      </w:r>
      <w:r w:rsidR="000F0999">
        <w:rPr>
          <w:rStyle w:val="FootnoteReference"/>
        </w:rPr>
        <w:footnoteReference w:id="34"/>
      </w:r>
      <w:r w:rsidR="002E2C34">
        <w:t xml:space="preserve"> </w:t>
      </w:r>
      <w:r w:rsidR="006A596D" w:rsidRPr="00A36260">
        <w:t>Honor</w:t>
      </w:r>
      <w:r w:rsidR="004D270F">
        <w:t>-</w:t>
      </w:r>
      <w:r w:rsidR="006A596D">
        <w:t>price not only function</w:t>
      </w:r>
      <w:r w:rsidR="00EF6E43">
        <w:t>ed</w:t>
      </w:r>
      <w:r w:rsidR="006A596D">
        <w:t xml:space="preserve"> as payment</w:t>
      </w:r>
      <w:r w:rsidR="00C61C7D">
        <w:t xml:space="preserve"> but</w:t>
      </w:r>
      <w:r w:rsidR="00E75E38">
        <w:t xml:space="preserve"> also</w:t>
      </w:r>
      <w:r w:rsidR="00C61C7D">
        <w:t xml:space="preserve"> </w:t>
      </w:r>
      <w:r w:rsidR="00A13008">
        <w:t xml:space="preserve">determined an individual’s ability to enter contracts of clientship </w:t>
      </w:r>
      <w:r w:rsidR="001F61E4">
        <w:t>and defined the</w:t>
      </w:r>
      <w:r w:rsidR="009F4EE0">
        <w:t xml:space="preserve"> legal worth of their testimony.</w:t>
      </w:r>
      <w:r w:rsidR="005F38E4">
        <w:rPr>
          <w:rStyle w:val="FootnoteReference"/>
        </w:rPr>
        <w:footnoteReference w:id="35"/>
      </w:r>
      <w:r w:rsidR="00601E58">
        <w:t xml:space="preserve"> </w:t>
      </w:r>
      <w:r w:rsidR="0062646C">
        <w:t xml:space="preserve">As urged by the </w:t>
      </w:r>
      <w:r w:rsidR="00601E58" w:rsidRPr="00601E58">
        <w:t xml:space="preserve">ninth-century gnomic dialogue, </w:t>
      </w:r>
      <w:r w:rsidR="00601E58" w:rsidRPr="00601E58">
        <w:rPr>
          <w:i/>
          <w:iCs/>
        </w:rPr>
        <w:t>The Instructions of Cormac</w:t>
      </w:r>
      <w:r w:rsidR="00601E58" w:rsidRPr="00601E58">
        <w:t xml:space="preserve"> (</w:t>
      </w:r>
      <w:r w:rsidR="00601E58" w:rsidRPr="00601E58">
        <w:rPr>
          <w:i/>
          <w:iCs/>
        </w:rPr>
        <w:t>Tecosca Cormaic</w:t>
      </w:r>
      <w:r w:rsidR="0062646C">
        <w:t>)</w:t>
      </w:r>
      <w:r w:rsidR="00601E58" w:rsidRPr="00601E58">
        <w:t>: “Let him be a judge of everyone according to his rank</w:t>
      </w:r>
      <w:r w:rsidR="00456286">
        <w:t>.</w:t>
      </w:r>
      <w:r w:rsidR="00601E58" w:rsidRPr="00601E58">
        <w:t>”</w:t>
      </w:r>
      <w:r w:rsidR="00601E58" w:rsidRPr="00601E58">
        <w:rPr>
          <w:vertAlign w:val="superscript"/>
        </w:rPr>
        <w:footnoteReference w:id="36"/>
      </w:r>
    </w:p>
    <w:p w14:paraId="07955632" w14:textId="61ED56AD" w:rsidR="00DD350B" w:rsidRPr="001277CD" w:rsidRDefault="00601E58" w:rsidP="0048497C">
      <w:pPr>
        <w:spacing w:after="0" w:line="480" w:lineRule="auto"/>
        <w:ind w:firstLine="720"/>
      </w:pPr>
      <w:r w:rsidRPr="00601E58">
        <w:t xml:space="preserve"> </w:t>
      </w:r>
      <w:r w:rsidR="00D51689">
        <w:t xml:space="preserve">Poets </w:t>
      </w:r>
      <w:r w:rsidR="005661C6">
        <w:t xml:space="preserve">conferred a tangible </w:t>
      </w:r>
      <w:r w:rsidR="00F8468D">
        <w:t xml:space="preserve">dimension to </w:t>
      </w:r>
      <w:r w:rsidR="005004E1">
        <w:t>the concept of honor</w:t>
      </w:r>
      <w:r w:rsidR="00D53A02">
        <w:t xml:space="preserve">. </w:t>
      </w:r>
      <w:r w:rsidR="00893CAA">
        <w:t xml:space="preserve">In a society </w:t>
      </w:r>
      <w:r w:rsidR="00D63314">
        <w:t>preoccupied with honor, poet</w:t>
      </w:r>
      <w:r w:rsidR="00161102">
        <w:t>s</w:t>
      </w:r>
      <w:r w:rsidR="00AD3220">
        <w:t xml:space="preserve"> wielded significant power</w:t>
      </w:r>
      <w:r w:rsidR="005B5175">
        <w:t>, possessing the ability to damage honor-price through satire or increase</w:t>
      </w:r>
      <w:r w:rsidR="00AD3220">
        <w:t xml:space="preserve"> </w:t>
      </w:r>
      <w:r w:rsidR="005B5175">
        <w:t>it through praise.</w:t>
      </w:r>
      <w:r w:rsidR="003B7A48">
        <w:t xml:space="preserve"> </w:t>
      </w:r>
      <w:r w:rsidR="00386F00">
        <w:t xml:space="preserve">Among the lay professions, poets are the only ones afforded </w:t>
      </w:r>
      <w:r w:rsidR="00AF5B41">
        <w:t>full rights of the “privileged</w:t>
      </w:r>
      <w:r w:rsidR="00B658A7">
        <w:t>,</w:t>
      </w:r>
      <w:r w:rsidR="00AF5B41">
        <w:t>”</w:t>
      </w:r>
      <w:r w:rsidR="00E772C4">
        <w:t xml:space="preserve"> </w:t>
      </w:r>
      <w:r w:rsidR="00B658A7">
        <w:t>with the highest of the occupation possessing an honor-price equivalate to a bishop and king</w:t>
      </w:r>
      <w:r w:rsidR="00B71DCC">
        <w:t>.</w:t>
      </w:r>
      <w:r w:rsidR="005B5175">
        <w:rPr>
          <w:rStyle w:val="FootnoteReference"/>
        </w:rPr>
        <w:footnoteReference w:id="37"/>
      </w:r>
      <w:r w:rsidR="00646C60">
        <w:t xml:space="preserve"> </w:t>
      </w:r>
      <w:r w:rsidR="003A2A6D">
        <w:t>The duties of a p</w:t>
      </w:r>
      <w:r w:rsidR="00485384">
        <w:t>oet</w:t>
      </w:r>
      <w:r w:rsidR="008F32CF">
        <w:t xml:space="preserve"> </w:t>
      </w:r>
      <w:r w:rsidR="00CD4649">
        <w:t xml:space="preserve">even </w:t>
      </w:r>
      <w:r w:rsidR="003A2A6D">
        <w:t xml:space="preserve">extended </w:t>
      </w:r>
      <w:r w:rsidR="008F32CF">
        <w:t>to</w:t>
      </w:r>
      <w:r w:rsidR="00B568EB">
        <w:t xml:space="preserve"> law-enforcement. </w:t>
      </w:r>
      <w:r w:rsidR="00C64A4E">
        <w:rPr>
          <w:i/>
          <w:iCs/>
        </w:rPr>
        <w:t xml:space="preserve">Branched </w:t>
      </w:r>
      <w:r w:rsidR="00C64A4E" w:rsidRPr="00FC4C30">
        <w:rPr>
          <w:i/>
          <w:iCs/>
        </w:rPr>
        <w:t>Purchase</w:t>
      </w:r>
      <w:r w:rsidR="00FC4C30">
        <w:t>, for example,</w:t>
      </w:r>
      <w:r w:rsidR="00FC4C30">
        <w:rPr>
          <w:i/>
          <w:iCs/>
        </w:rPr>
        <w:t xml:space="preserve"> </w:t>
      </w:r>
      <w:r w:rsidR="00C64A4E" w:rsidRPr="00FC4C30">
        <w:t>constructs</w:t>
      </w:r>
      <w:r w:rsidR="00C64A4E">
        <w:t xml:space="preserve"> </w:t>
      </w:r>
      <w:r w:rsidR="0020466D">
        <w:t>a court</w:t>
      </w:r>
      <w:r w:rsidR="00120E0C">
        <w:t xml:space="preserve"> scene, describing a “noble of constraint</w:t>
      </w:r>
      <w:r w:rsidR="00EF4130">
        <w:t>’s</w:t>
      </w:r>
      <w:r w:rsidR="00120E0C">
        <w:t>” (</w:t>
      </w:r>
      <w:r w:rsidR="00120E0C">
        <w:rPr>
          <w:i/>
          <w:iCs/>
        </w:rPr>
        <w:t>aire coisring</w:t>
      </w:r>
      <w:r w:rsidR="00120E0C">
        <w:t>)</w:t>
      </w:r>
      <w:r w:rsidR="00EF4130">
        <w:t xml:space="preserve"> pledg</w:t>
      </w:r>
      <w:r w:rsidR="00470904">
        <w:t xml:space="preserve">e of obedience </w:t>
      </w:r>
      <w:r w:rsidR="00AF3897">
        <w:t xml:space="preserve">on the behalf of his kin </w:t>
      </w:r>
      <w:r w:rsidR="00ED0F3D">
        <w:t xml:space="preserve">to </w:t>
      </w:r>
      <w:r w:rsidR="009F0D5B">
        <w:t>a king, ecclesiastical authority</w:t>
      </w:r>
      <w:r w:rsidR="00EC135E">
        <w:t>, and a poet</w:t>
      </w:r>
      <w:r w:rsidR="00DA3D93">
        <w:t>.</w:t>
      </w:r>
      <w:r w:rsidR="006D1D34">
        <w:rPr>
          <w:rStyle w:val="FootnoteReference"/>
        </w:rPr>
        <w:footnoteReference w:id="38"/>
      </w:r>
      <w:r w:rsidR="00EF4130">
        <w:t xml:space="preserve"> </w:t>
      </w:r>
      <w:r w:rsidR="005405A8" w:rsidRPr="005405A8">
        <w:t>Yet the principal function seems to be satire.</w:t>
      </w:r>
      <w:r w:rsidR="00CE4D6D">
        <w:t xml:space="preserve"> Should a kin-member fail to fulfil</w:t>
      </w:r>
      <w:r w:rsidR="008F32CF">
        <w:t>l</w:t>
      </w:r>
      <w:r w:rsidR="00CE4D6D">
        <w:t xml:space="preserve"> </w:t>
      </w:r>
      <w:r w:rsidR="00CB12C5">
        <w:t xml:space="preserve">their </w:t>
      </w:r>
      <w:r w:rsidR="00FA37C5">
        <w:t>obligations, the noble of constraint, a</w:t>
      </w:r>
      <w:r w:rsidR="00AF3897">
        <w:t>s the representative of his kin,</w:t>
      </w:r>
      <w:r w:rsidR="00FA37C5">
        <w:t xml:space="preserve"> was subject to legal satire</w:t>
      </w:r>
      <w:r w:rsidR="005405A8">
        <w:t>.</w:t>
      </w:r>
      <w:r w:rsidR="00925AB7">
        <w:rPr>
          <w:rStyle w:val="FootnoteReference"/>
        </w:rPr>
        <w:footnoteReference w:id="39"/>
      </w:r>
      <w:r w:rsidR="00F32483">
        <w:t xml:space="preserve"> </w:t>
      </w:r>
      <w:r w:rsidR="0034248B">
        <w:t>Illegitimate</w:t>
      </w:r>
      <w:r w:rsidR="00207D1C">
        <w:t xml:space="preserve"> satire took</w:t>
      </w:r>
      <w:r w:rsidR="008F32CF">
        <w:t xml:space="preserve"> the</w:t>
      </w:r>
      <w:r w:rsidR="00207D1C">
        <w:t xml:space="preserve"> form of v</w:t>
      </w:r>
      <w:r w:rsidR="00FE0536">
        <w:t>erbal assaults</w:t>
      </w:r>
      <w:r w:rsidR="000E3B1D">
        <w:t>:</w:t>
      </w:r>
      <w:r w:rsidR="00FE0536">
        <w:t xml:space="preserve"> mockery</w:t>
      </w:r>
      <w:r w:rsidR="00DB3A1C">
        <w:t xml:space="preserve">, nicknames, </w:t>
      </w:r>
      <w:r w:rsidR="00290D24">
        <w:t xml:space="preserve">and </w:t>
      </w:r>
      <w:r w:rsidR="00E92948">
        <w:t>poems</w:t>
      </w:r>
      <w:r w:rsidR="00290D24">
        <w:t xml:space="preserve"> </w:t>
      </w:r>
      <w:r w:rsidR="00516DE7">
        <w:t>wielded a destructive edge</w:t>
      </w:r>
      <w:r w:rsidR="00422F28">
        <w:t>. Irish literature</w:t>
      </w:r>
      <w:r w:rsidR="008500EC">
        <w:t xml:space="preserve"> warns of</w:t>
      </w:r>
      <w:r w:rsidR="00891880">
        <w:t xml:space="preserve"> </w:t>
      </w:r>
      <w:r w:rsidR="00871773">
        <w:t>b</w:t>
      </w:r>
      <w:r w:rsidR="00891880">
        <w:t>listers, blemishes, or</w:t>
      </w:r>
      <w:r w:rsidR="00CA7800">
        <w:t xml:space="preserve"> even death</w:t>
      </w:r>
      <w:r w:rsidR="008500EC">
        <w:t xml:space="preserve"> at the words of </w:t>
      </w:r>
      <w:r w:rsidR="00541775">
        <w:t xml:space="preserve">a </w:t>
      </w:r>
      <w:r w:rsidR="008500EC">
        <w:t>poet</w:t>
      </w:r>
      <w:r w:rsidR="000749DC">
        <w:t>.</w:t>
      </w:r>
      <w:r w:rsidR="008500EC">
        <w:rPr>
          <w:rStyle w:val="FootnoteReference"/>
        </w:rPr>
        <w:footnoteReference w:id="40"/>
      </w:r>
      <w:r w:rsidR="000749DC">
        <w:t xml:space="preserve"> </w:t>
      </w:r>
      <w:r w:rsidR="00287A82">
        <w:t>Thus, i</w:t>
      </w:r>
      <w:r w:rsidR="009223A4" w:rsidRPr="009223A4">
        <w:t xml:space="preserve">n the </w:t>
      </w:r>
      <w:r w:rsidR="00F205B4">
        <w:t>sag</w:t>
      </w:r>
      <w:r w:rsidR="004A5C52">
        <w:t xml:space="preserve">a </w:t>
      </w:r>
      <w:r w:rsidR="004E02E6">
        <w:t xml:space="preserve">tale </w:t>
      </w:r>
      <w:r w:rsidR="00EF6615">
        <w:t xml:space="preserve">of the </w:t>
      </w:r>
      <w:r w:rsidR="009223A4" w:rsidRPr="009223A4">
        <w:rPr>
          <w:i/>
          <w:iCs/>
        </w:rPr>
        <w:t xml:space="preserve">Cattle-Raid of </w:t>
      </w:r>
      <w:r w:rsidR="00A22EE3">
        <w:rPr>
          <w:i/>
          <w:iCs/>
        </w:rPr>
        <w:t>Cualnge</w:t>
      </w:r>
      <w:r w:rsidR="009223A4" w:rsidRPr="009223A4">
        <w:t>,</w:t>
      </w:r>
      <w:r w:rsidR="00287A82">
        <w:t xml:space="preserve"> </w:t>
      </w:r>
      <w:r w:rsidR="00AB58F5">
        <w:t>comp</w:t>
      </w:r>
      <w:r w:rsidR="009C1A98">
        <w:t>osed in the seventh century,</w:t>
      </w:r>
      <w:r w:rsidR="009223A4" w:rsidRPr="009223A4">
        <w:t xml:space="preserve"> the legendary </w:t>
      </w:r>
      <w:r w:rsidR="00B537BC">
        <w:t xml:space="preserve">hero </w:t>
      </w:r>
      <w:r w:rsidR="009223A4" w:rsidRPr="009223A4">
        <w:t>Cú Cuchulainn</w:t>
      </w:r>
      <w:r w:rsidR="00B537BC">
        <w:t xml:space="preserve"> took considerable action against </w:t>
      </w:r>
      <w:r w:rsidR="00663433">
        <w:t xml:space="preserve">the poet </w:t>
      </w:r>
      <w:r w:rsidR="0056107A">
        <w:t>Redg</w:t>
      </w:r>
      <w:r w:rsidR="008E0B5B">
        <w:t>.</w:t>
      </w:r>
      <w:r w:rsidR="00995D27">
        <w:t xml:space="preserve"> </w:t>
      </w:r>
      <w:r w:rsidR="00BA0F6E">
        <w:t>Sent by</w:t>
      </w:r>
      <w:r w:rsidR="00CD6EF2">
        <w:t xml:space="preserve"> </w:t>
      </w:r>
      <w:r w:rsidR="00E5257F">
        <w:t>the enemy forces</w:t>
      </w:r>
      <w:r w:rsidR="00BA0F6E">
        <w:t xml:space="preserve">, </w:t>
      </w:r>
      <w:r w:rsidR="00CB57CD">
        <w:t>Redg</w:t>
      </w:r>
      <w:r w:rsidR="00E0521C">
        <w:t xml:space="preserve"> ventured to </w:t>
      </w:r>
      <w:r w:rsidR="00CC46AE">
        <w:t xml:space="preserve">obtain Cuchulainn’s spear through the threat of </w:t>
      </w:r>
      <w:r w:rsidR="008D6AD6">
        <w:t>satire</w:t>
      </w:r>
      <w:r w:rsidR="00987FDF">
        <w:t xml:space="preserve">, declaring </w:t>
      </w:r>
      <w:r w:rsidR="00987FDF">
        <w:lastRenderedPageBreak/>
        <w:t>to “take away his honour unless he got the javelin</w:t>
      </w:r>
      <w:r w:rsidR="0048248F">
        <w:t>.</w:t>
      </w:r>
      <w:r w:rsidR="00987FDF">
        <w:t>”</w:t>
      </w:r>
      <w:r w:rsidR="0048248F" w:rsidRPr="0048248F">
        <w:rPr>
          <w:vertAlign w:val="superscript"/>
        </w:rPr>
        <w:t xml:space="preserve"> </w:t>
      </w:r>
      <w:r w:rsidR="0048248F" w:rsidRPr="0048248F">
        <w:rPr>
          <w:vertAlign w:val="superscript"/>
        </w:rPr>
        <w:footnoteReference w:id="41"/>
      </w:r>
      <w:r w:rsidR="0048248F" w:rsidRPr="0048248F">
        <w:t xml:space="preserve"> </w:t>
      </w:r>
      <w:r w:rsidR="002255B4">
        <w:t xml:space="preserve">To ignore </w:t>
      </w:r>
      <w:r w:rsidR="00296843">
        <w:t>or tolerate this slight</w:t>
      </w:r>
      <w:r w:rsidR="00B86E71">
        <w:t xml:space="preserve"> </w:t>
      </w:r>
      <w:r w:rsidR="00296843">
        <w:t xml:space="preserve">was an offense punishable </w:t>
      </w:r>
      <w:r w:rsidR="00BF60DB">
        <w:t>by a loss of honor-price</w:t>
      </w:r>
      <w:r w:rsidR="00977E2E">
        <w:t xml:space="preserve">; </w:t>
      </w:r>
      <w:r w:rsidR="008A3ED8">
        <w:t>payment of a f</w:t>
      </w:r>
      <w:r w:rsidR="00977E2E">
        <w:t>ine or pledge to reclaim honor</w:t>
      </w:r>
      <w:r w:rsidR="008A3ED8">
        <w:t xml:space="preserve"> were</w:t>
      </w:r>
      <w:r w:rsidR="003A6953">
        <w:t xml:space="preserve"> common responses</w:t>
      </w:r>
      <w:r w:rsidR="00AF32EF">
        <w:t>.</w:t>
      </w:r>
      <w:r w:rsidR="000F58A3">
        <w:rPr>
          <w:rStyle w:val="FootnoteReference"/>
        </w:rPr>
        <w:footnoteReference w:id="42"/>
      </w:r>
      <w:r w:rsidR="00995EC7">
        <w:t xml:space="preserve"> </w:t>
      </w:r>
      <w:r w:rsidR="003A6953">
        <w:t xml:space="preserve">Cuchulainn, however, </w:t>
      </w:r>
      <w:r w:rsidR="00691778">
        <w:t>threw</w:t>
      </w:r>
      <w:r w:rsidR="00943A38">
        <w:t xml:space="preserve"> </w:t>
      </w:r>
      <w:r w:rsidR="00276D84">
        <w:t>“</w:t>
      </w:r>
      <w:r w:rsidR="0078352D">
        <w:t>the javelin at him</w:t>
      </w:r>
      <w:r w:rsidR="00CA3009">
        <w:t xml:space="preserve"> [which]</w:t>
      </w:r>
      <w:r w:rsidR="0078352D">
        <w:t xml:space="preserve"> went right through his head.</w:t>
      </w:r>
      <w:r w:rsidR="00044AFA">
        <w:t>”</w:t>
      </w:r>
      <w:r w:rsidR="00746A93">
        <w:rPr>
          <w:rStyle w:val="FootnoteReference"/>
        </w:rPr>
        <w:footnoteReference w:id="43"/>
      </w:r>
      <w:r w:rsidR="00117CAC">
        <w:rPr>
          <w:i/>
          <w:iCs/>
        </w:rPr>
        <w:t xml:space="preserve"> </w:t>
      </w:r>
    </w:p>
    <w:p w14:paraId="0054240A" w14:textId="5D637D7C" w:rsidR="00A53752" w:rsidRPr="00D40AE7" w:rsidRDefault="0024756E" w:rsidP="00D20CBE">
      <w:pPr>
        <w:spacing w:after="0" w:line="480" w:lineRule="auto"/>
        <w:ind w:firstLine="720"/>
      </w:pPr>
      <w:r>
        <w:t xml:space="preserve">Within the </w:t>
      </w:r>
      <w:r w:rsidR="009D7AD3">
        <w:t>low and high orders</w:t>
      </w:r>
      <w:r>
        <w:t xml:space="preserve">, </w:t>
      </w:r>
      <w:r w:rsidR="00F65E4B">
        <w:t xml:space="preserve">the laws of status assert quantitative </w:t>
      </w:r>
      <w:r w:rsidR="005D60BB">
        <w:t>variance</w:t>
      </w:r>
      <w:r w:rsidR="00012F8B">
        <w:t xml:space="preserve"> between </w:t>
      </w:r>
      <w:r w:rsidR="00DB1993">
        <w:t>the rights and obligations of different ranks</w:t>
      </w:r>
      <w:r w:rsidR="00146F98" w:rsidRPr="00146F98">
        <w:t xml:space="preserve">, </w:t>
      </w:r>
      <w:r w:rsidR="006E0559">
        <w:t xml:space="preserve">whereas a qualitative </w:t>
      </w:r>
      <w:r w:rsidR="00090A74">
        <w:t>difference</w:t>
      </w:r>
      <w:r w:rsidR="00406AE4">
        <w:t xml:space="preserve">, expressed by </w:t>
      </w:r>
      <w:r w:rsidR="00D64988">
        <w:t>the institution of clientship</w:t>
      </w:r>
      <w:r w:rsidR="009B21EF">
        <w:t xml:space="preserve">, </w:t>
      </w:r>
      <w:r w:rsidR="00090A74">
        <w:t xml:space="preserve">defines </w:t>
      </w:r>
      <w:r w:rsidR="00146F98" w:rsidRPr="00146F98">
        <w:t>those between orders</w:t>
      </w:r>
      <w:r w:rsidR="00090A74">
        <w:t>.</w:t>
      </w:r>
      <w:r w:rsidR="005976B3">
        <w:t xml:space="preserve"> </w:t>
      </w:r>
      <w:r w:rsidR="00B22DDE">
        <w:t xml:space="preserve">Wealth was </w:t>
      </w:r>
      <w:r w:rsidR="00574B6F">
        <w:t xml:space="preserve">a necessary, though </w:t>
      </w:r>
      <w:r w:rsidR="00B22DDE">
        <w:t>not sufficient</w:t>
      </w:r>
      <w:r w:rsidR="00EE6103">
        <w:t xml:space="preserve">, </w:t>
      </w:r>
      <w:r w:rsidR="00B22DDE">
        <w:t xml:space="preserve">condition </w:t>
      </w:r>
      <w:r w:rsidR="00CA7234">
        <w:t>to propel a commoner into the aristocratic class.</w:t>
      </w:r>
      <w:r w:rsidR="00AB215C">
        <w:t xml:space="preserve"> </w:t>
      </w:r>
      <w:r w:rsidR="002F1D66">
        <w:rPr>
          <w:i/>
          <w:iCs/>
        </w:rPr>
        <w:t xml:space="preserve">Branched Purchase </w:t>
      </w:r>
      <w:r w:rsidR="00E8361D">
        <w:t xml:space="preserve">is </w:t>
      </w:r>
      <w:r w:rsidR="00E96440">
        <w:t>explicit</w:t>
      </w:r>
      <w:r w:rsidR="00CF7F67">
        <w:t>ly clear</w:t>
      </w:r>
      <w:r w:rsidR="00E96440">
        <w:t>:</w:t>
      </w:r>
      <w:r w:rsidR="00B668DC">
        <w:t xml:space="preserve"> “</w:t>
      </w:r>
      <w:r w:rsidR="00552B72">
        <w:t xml:space="preserve">The </w:t>
      </w:r>
      <w:r w:rsidR="00390D75">
        <w:t>[noble of vassals</w:t>
      </w:r>
      <w:r w:rsidR="00FD028F" w:rsidRPr="00FD028F">
        <w:rPr>
          <w:vertAlign w:val="superscript"/>
        </w:rPr>
        <w:t xml:space="preserve"> </w:t>
      </w:r>
      <w:r w:rsidR="00FD028F" w:rsidRPr="00FD028F">
        <w:rPr>
          <w:vertAlign w:val="superscript"/>
        </w:rPr>
        <w:footnoteReference w:id="44"/>
      </w:r>
      <w:r w:rsidR="00390D75">
        <w:t>]</w:t>
      </w:r>
      <w:r w:rsidR="00C835BE">
        <w:t xml:space="preserve">, why is he so called? Because it is in regard of his </w:t>
      </w:r>
      <w:r w:rsidR="00C835BE">
        <w:rPr>
          <w:i/>
          <w:iCs/>
        </w:rPr>
        <w:t xml:space="preserve">déis </w:t>
      </w:r>
      <w:r w:rsidR="00C835BE">
        <w:t xml:space="preserve">that his </w:t>
      </w:r>
      <w:r w:rsidR="00C835BE">
        <w:rPr>
          <w:i/>
          <w:iCs/>
        </w:rPr>
        <w:t xml:space="preserve">dire </w:t>
      </w:r>
      <w:r w:rsidR="00C835BE">
        <w:t>(honor</w:t>
      </w:r>
      <w:r w:rsidR="00BF7252">
        <w:t>-</w:t>
      </w:r>
      <w:r w:rsidR="00C835BE">
        <w:t xml:space="preserve">price) </w:t>
      </w:r>
      <w:r w:rsidR="00D45AA8">
        <w:t>is paid. Not so the</w:t>
      </w:r>
      <w:r w:rsidR="007A1A52">
        <w:t xml:space="preserve"> [strong farmer]</w:t>
      </w:r>
      <w:r w:rsidR="00D45AA8">
        <w:t>,</w:t>
      </w:r>
      <w:r w:rsidR="00010068" w:rsidRPr="00010068">
        <w:rPr>
          <w:vertAlign w:val="superscript"/>
        </w:rPr>
        <w:t xml:space="preserve"> </w:t>
      </w:r>
      <w:r w:rsidR="00D45AA8">
        <w:t xml:space="preserve">it is for his cattle that </w:t>
      </w:r>
      <w:r w:rsidR="00D45AA8">
        <w:rPr>
          <w:i/>
          <w:iCs/>
        </w:rPr>
        <w:t xml:space="preserve">dire </w:t>
      </w:r>
      <w:r w:rsidR="00D45AA8">
        <w:t>is paid to him</w:t>
      </w:r>
      <w:r w:rsidR="003F5360">
        <w:t>.</w:t>
      </w:r>
      <w:r w:rsidR="003C1281">
        <w:t>”</w:t>
      </w:r>
      <w:r w:rsidR="003F5360">
        <w:rPr>
          <w:rStyle w:val="FootnoteReference"/>
        </w:rPr>
        <w:footnoteReference w:id="45"/>
      </w:r>
      <w:r w:rsidR="00D45AA8">
        <w:rPr>
          <w:i/>
          <w:iCs/>
        </w:rPr>
        <w:t xml:space="preserve"> </w:t>
      </w:r>
      <w:r w:rsidR="00044F51">
        <w:t>Clientship was, then, the defining feature of a lord</w:t>
      </w:r>
      <w:r w:rsidR="001C006A">
        <w:t xml:space="preserve">, the primary </w:t>
      </w:r>
      <w:r w:rsidR="00C27FE2">
        <w:t>distinction</w:t>
      </w:r>
      <w:r w:rsidR="001C006A">
        <w:t xml:space="preserve"> between the low and high orders the possession of </w:t>
      </w:r>
      <w:r w:rsidR="001C006A">
        <w:rPr>
          <w:i/>
          <w:iCs/>
        </w:rPr>
        <w:t xml:space="preserve">déis </w:t>
      </w:r>
      <w:r w:rsidR="001C006A">
        <w:t>(“clients”)</w:t>
      </w:r>
      <w:r w:rsidR="00C27FE2">
        <w:t xml:space="preserve">. These clients were </w:t>
      </w:r>
      <w:r w:rsidR="00742343">
        <w:t xml:space="preserve">dependents of </w:t>
      </w:r>
      <w:r w:rsidR="00BE0A7B">
        <w:t xml:space="preserve">a </w:t>
      </w:r>
      <w:r w:rsidR="00742343">
        <w:t>superior rank given a fief of cattle or land.</w:t>
      </w:r>
      <w:r w:rsidR="00A55C39">
        <w:t xml:space="preserve"> </w:t>
      </w:r>
      <w:r w:rsidR="00693EFD">
        <w:t xml:space="preserve">For example, </w:t>
      </w:r>
      <w:r w:rsidR="00A55C39">
        <w:rPr>
          <w:i/>
          <w:iCs/>
        </w:rPr>
        <w:t xml:space="preserve">Branched Purchase </w:t>
      </w:r>
      <w:r w:rsidR="00326EA6">
        <w:t xml:space="preserve">specifies that a high </w:t>
      </w:r>
      <w:r w:rsidR="00A55C39" w:rsidRPr="001815EE">
        <w:t>noble (</w:t>
      </w:r>
      <w:r w:rsidR="00A55C39" w:rsidRPr="001815EE">
        <w:rPr>
          <w:i/>
          <w:iCs/>
        </w:rPr>
        <w:t>aire ardd</w:t>
      </w:r>
      <w:r w:rsidR="005A5CE4">
        <w:t>)</w:t>
      </w:r>
      <w:r w:rsidR="006E7EFB">
        <w:t xml:space="preserve"> </w:t>
      </w:r>
      <w:r w:rsidR="00A55C39" w:rsidRPr="001815EE">
        <w:t>boasted twenty clients, whereas a leading noble (</w:t>
      </w:r>
      <w:r w:rsidR="00A55C39" w:rsidRPr="001815EE">
        <w:rPr>
          <w:i/>
          <w:iCs/>
        </w:rPr>
        <w:t>aire túise</w:t>
      </w:r>
      <w:r w:rsidR="00A55C39" w:rsidRPr="001815EE">
        <w:t>) claimed twenty-seven clients.</w:t>
      </w:r>
      <w:r w:rsidR="00A55C39" w:rsidRPr="001815EE">
        <w:rPr>
          <w:vertAlign w:val="superscript"/>
        </w:rPr>
        <w:footnoteReference w:id="46"/>
      </w:r>
      <w:r w:rsidR="00742343">
        <w:t xml:space="preserve"> </w:t>
      </w:r>
      <w:r w:rsidR="00AE5C4C">
        <w:t>In return,</w:t>
      </w:r>
      <w:r w:rsidR="00181FE5">
        <w:t xml:space="preserve"> </w:t>
      </w:r>
      <w:r w:rsidR="00AE5C4C">
        <w:t>a</w:t>
      </w:r>
      <w:r w:rsidR="00D057E0">
        <w:t xml:space="preserve"> lord </w:t>
      </w:r>
      <w:r w:rsidR="003D2BBC">
        <w:t>derive</w:t>
      </w:r>
      <w:r w:rsidR="00720E9E">
        <w:t>d</w:t>
      </w:r>
      <w:r w:rsidR="003D2BBC">
        <w:t xml:space="preserve"> </w:t>
      </w:r>
      <w:r w:rsidR="00322F03">
        <w:t xml:space="preserve">status, food-rents, and </w:t>
      </w:r>
      <w:r w:rsidR="008F7E26">
        <w:t xml:space="preserve">ritual </w:t>
      </w:r>
      <w:r w:rsidR="00322F03">
        <w:t>services</w:t>
      </w:r>
      <w:r w:rsidR="0034182D">
        <w:t>.</w:t>
      </w:r>
      <w:r w:rsidR="0034182D">
        <w:rPr>
          <w:rStyle w:val="FootnoteReference"/>
        </w:rPr>
        <w:footnoteReference w:id="47"/>
      </w:r>
      <w:r w:rsidR="00322F03">
        <w:t xml:space="preserve"> </w:t>
      </w:r>
    </w:p>
    <w:p w14:paraId="601853DB" w14:textId="13A00214" w:rsidR="00D01664" w:rsidRDefault="007F507D" w:rsidP="006538F6">
      <w:pPr>
        <w:spacing w:after="0" w:line="480" w:lineRule="auto"/>
        <w:ind w:firstLine="720"/>
      </w:pPr>
      <w:r>
        <w:t>C</w:t>
      </w:r>
      <w:r w:rsidR="00EF64AA">
        <w:t>lien</w:t>
      </w:r>
      <w:r w:rsidR="00D36CEC">
        <w:t>t</w:t>
      </w:r>
      <w:r>
        <w:t>s</w:t>
      </w:r>
      <w:r w:rsidR="00EF64AA">
        <w:t xml:space="preserve"> </w:t>
      </w:r>
      <w:r>
        <w:t xml:space="preserve">were </w:t>
      </w:r>
      <w:r w:rsidR="00D36CEC">
        <w:t xml:space="preserve">not of equal value nor purpose. </w:t>
      </w:r>
      <w:r w:rsidR="00864D96">
        <w:t xml:space="preserve">The law tracts </w:t>
      </w:r>
      <w:r w:rsidR="00D304AA">
        <w:t>distinguish</w:t>
      </w:r>
      <w:r w:rsidR="00576CC9">
        <w:t xml:space="preserve"> two forms</w:t>
      </w:r>
      <w:r w:rsidR="007E1246">
        <w:t xml:space="preserve"> of the </w:t>
      </w:r>
      <w:r w:rsidR="00CD5804">
        <w:t xml:space="preserve">lord-client </w:t>
      </w:r>
      <w:r w:rsidR="007E1246">
        <w:t>relationship</w:t>
      </w:r>
      <w:r w:rsidR="00576CC9">
        <w:t>, a base clientship (</w:t>
      </w:r>
      <w:r w:rsidR="00576CC9">
        <w:rPr>
          <w:i/>
          <w:iCs/>
        </w:rPr>
        <w:t>dóerchéile</w:t>
      </w:r>
      <w:r w:rsidR="00576CC9">
        <w:t xml:space="preserve">) and </w:t>
      </w:r>
      <w:r w:rsidR="007E1246">
        <w:t>a free clientship (</w:t>
      </w:r>
      <w:r w:rsidR="007E1246">
        <w:rPr>
          <w:i/>
          <w:iCs/>
        </w:rPr>
        <w:t>sóerchéile</w:t>
      </w:r>
      <w:r w:rsidR="007E1246">
        <w:t>)</w:t>
      </w:r>
      <w:r w:rsidR="00747A29">
        <w:t xml:space="preserve">. </w:t>
      </w:r>
      <w:r w:rsidR="00A667EB">
        <w:t>Base clients</w:t>
      </w:r>
      <w:r w:rsidR="00CD4E48">
        <w:t xml:space="preserve">, </w:t>
      </w:r>
      <w:r w:rsidR="00F41737">
        <w:t xml:space="preserve">“most suited to </w:t>
      </w:r>
      <w:r w:rsidR="00E63463">
        <w:t>the common freeman,”</w:t>
      </w:r>
      <w:r w:rsidR="00A667EB">
        <w:t xml:space="preserve"> owed fixed </w:t>
      </w:r>
      <w:r w:rsidR="00833D91">
        <w:t xml:space="preserve">hospitality, food rents, and military </w:t>
      </w:r>
      <w:r w:rsidR="00833D91">
        <w:lastRenderedPageBreak/>
        <w:t>and labor services</w:t>
      </w:r>
      <w:r w:rsidR="000D0267">
        <w:t xml:space="preserve"> in a contract </w:t>
      </w:r>
      <w:r w:rsidR="007235D1">
        <w:t xml:space="preserve">severed through </w:t>
      </w:r>
      <w:r w:rsidR="00AC5B71">
        <w:t>steep</w:t>
      </w:r>
      <w:r w:rsidR="007235D1">
        <w:t xml:space="preserve"> payment</w:t>
      </w:r>
      <w:r w:rsidR="00D20094">
        <w:t>.</w:t>
      </w:r>
      <w:r w:rsidR="00D20094">
        <w:rPr>
          <w:rStyle w:val="FootnoteReference"/>
        </w:rPr>
        <w:footnoteReference w:id="48"/>
      </w:r>
      <w:r w:rsidR="000526EB">
        <w:t xml:space="preserve"> </w:t>
      </w:r>
      <w:r w:rsidR="00C01429">
        <w:t xml:space="preserve">A farmer received </w:t>
      </w:r>
      <w:r w:rsidR="00705206">
        <w:t>a fief</w:t>
      </w:r>
      <w:r w:rsidR="00F926C8">
        <w:t>, generally of livestock</w:t>
      </w:r>
      <w:r w:rsidR="007B3845">
        <w:t xml:space="preserve"> or farming equipment</w:t>
      </w:r>
      <w:r w:rsidR="00F926C8">
        <w:t>, dependent on his rank.</w:t>
      </w:r>
      <w:r w:rsidR="00F43BA9">
        <w:t xml:space="preserve"> </w:t>
      </w:r>
      <w:r w:rsidR="00F43BA9">
        <w:rPr>
          <w:i/>
          <w:iCs/>
        </w:rPr>
        <w:t xml:space="preserve">Branched Purchase </w:t>
      </w:r>
      <w:r w:rsidR="00F43BA9">
        <w:t xml:space="preserve">asserts that a </w:t>
      </w:r>
      <w:r w:rsidR="00F926C8">
        <w:t>“small farmer” (</w:t>
      </w:r>
      <w:r w:rsidR="00F926C8">
        <w:rPr>
          <w:i/>
          <w:iCs/>
        </w:rPr>
        <w:t>ócaire</w:t>
      </w:r>
      <w:r w:rsidR="00F926C8">
        <w:t xml:space="preserve">) </w:t>
      </w:r>
      <w:r w:rsidR="00F7673E">
        <w:t>was</w:t>
      </w:r>
      <w:r w:rsidR="00F926C8">
        <w:t xml:space="preserve"> due a fief of 16 </w:t>
      </w:r>
      <w:r w:rsidR="00ED76D5">
        <w:t>heifers</w:t>
      </w:r>
      <w:r w:rsidR="00F7673E">
        <w:rPr>
          <w:i/>
          <w:iCs/>
        </w:rPr>
        <w:t xml:space="preserve">, </w:t>
      </w:r>
      <w:r w:rsidR="00F7673E">
        <w:t>and a “strong farmer” (</w:t>
      </w:r>
      <w:r w:rsidR="00F7673E">
        <w:rPr>
          <w:i/>
          <w:iCs/>
        </w:rPr>
        <w:t>bóaire</w:t>
      </w:r>
      <w:r w:rsidR="00F7673E">
        <w:t xml:space="preserve">) 30 </w:t>
      </w:r>
      <w:r w:rsidR="00ED76D5">
        <w:t>heifers</w:t>
      </w:r>
      <w:r w:rsidR="009E35E0">
        <w:t xml:space="preserve">, with each rank owed their respective honor-price </w:t>
      </w:r>
      <w:r w:rsidR="007201BC">
        <w:t>in a deal known as the “chattel of submission</w:t>
      </w:r>
      <w:r w:rsidR="00966E90">
        <w:t>.</w:t>
      </w:r>
      <w:r w:rsidR="007201BC">
        <w:t>”</w:t>
      </w:r>
      <w:r w:rsidR="00CE31E6">
        <w:rPr>
          <w:rStyle w:val="FootnoteReference"/>
        </w:rPr>
        <w:footnoteReference w:id="49"/>
      </w:r>
      <w:r w:rsidR="00F926C8">
        <w:t xml:space="preserve"> </w:t>
      </w:r>
      <w:r w:rsidR="0063593B">
        <w:t xml:space="preserve">Of the high noble’s twenty clients, ten were of the base contract. </w:t>
      </w:r>
      <w:r w:rsidR="00B42B45">
        <w:t>From these ten base clients, “he is entitled to…three two-year-old steers, and five yearling heifers, every winter, with their summer-food.”</w:t>
      </w:r>
      <w:r w:rsidR="00B42B45">
        <w:rPr>
          <w:rStyle w:val="FootnoteReference"/>
        </w:rPr>
        <w:footnoteReference w:id="50"/>
      </w:r>
      <w:r w:rsidR="003E66A7">
        <w:t xml:space="preserve"> </w:t>
      </w:r>
      <w:r w:rsidR="00B63B6E">
        <w:t xml:space="preserve">In other words, </w:t>
      </w:r>
      <w:r w:rsidR="00B82D1A">
        <w:t>base clientship required a farmer to allocate</w:t>
      </w:r>
      <w:r w:rsidR="00FE2D62">
        <w:t xml:space="preserve"> a certain portion of his labor and pasture to the </w:t>
      </w:r>
      <w:r w:rsidR="00FA742A">
        <w:t>maintenance</w:t>
      </w:r>
      <w:r w:rsidR="00FE2D62">
        <w:t xml:space="preserve"> of </w:t>
      </w:r>
      <w:r w:rsidR="00FA742A">
        <w:t xml:space="preserve">a </w:t>
      </w:r>
      <w:r w:rsidR="00087E42">
        <w:t>lord’s</w:t>
      </w:r>
      <w:r w:rsidR="00FA742A">
        <w:t xml:space="preserve"> livestock</w:t>
      </w:r>
      <w:r w:rsidR="00B77121">
        <w:t xml:space="preserve">, a lord who received income without labor. </w:t>
      </w:r>
    </w:p>
    <w:p w14:paraId="321B322D" w14:textId="55406DE1" w:rsidR="00564433" w:rsidRDefault="00031126" w:rsidP="00DD4C23">
      <w:pPr>
        <w:spacing w:after="0" w:line="480" w:lineRule="auto"/>
        <w:ind w:firstLine="720"/>
      </w:pPr>
      <w:r>
        <w:t xml:space="preserve"> </w:t>
      </w:r>
      <w:r w:rsidR="00866D86">
        <w:t>F</w:t>
      </w:r>
      <w:r w:rsidR="00FE02DD">
        <w:t>ree clients</w:t>
      </w:r>
      <w:r w:rsidR="00702F2E">
        <w:t xml:space="preserve"> enjoyed more freedom</w:t>
      </w:r>
      <w:r w:rsidR="00461D28">
        <w:t xml:space="preserve">, </w:t>
      </w:r>
      <w:r w:rsidR="007C0BF2">
        <w:t xml:space="preserve">and often belonged to a higher status, </w:t>
      </w:r>
      <w:r w:rsidR="00A2668D">
        <w:t xml:space="preserve">only owing </w:t>
      </w:r>
      <w:r w:rsidR="00737031">
        <w:t xml:space="preserve">an occasional </w:t>
      </w:r>
      <w:r w:rsidR="00A2668D">
        <w:t>homage</w:t>
      </w:r>
      <w:r w:rsidR="003322BE">
        <w:t xml:space="preserve">, </w:t>
      </w:r>
      <w:r w:rsidR="00BE6228">
        <w:t>personal attendance</w:t>
      </w:r>
      <w:r w:rsidR="003C7593">
        <w:t>,</w:t>
      </w:r>
      <w:r w:rsidR="003322BE">
        <w:t xml:space="preserve"> and </w:t>
      </w:r>
      <w:r w:rsidR="008C178E">
        <w:t>annual rent</w:t>
      </w:r>
      <w:r w:rsidR="00B80E72">
        <w:t>.</w:t>
      </w:r>
      <w:r w:rsidR="006D371A">
        <w:t xml:space="preserve"> </w:t>
      </w:r>
      <w:r w:rsidR="00201319">
        <w:t xml:space="preserve">An important distinction from base clientship is </w:t>
      </w:r>
      <w:r w:rsidR="00201319" w:rsidRPr="00201319">
        <w:t>for both parties to end the contract without penalty.</w:t>
      </w:r>
      <w:r w:rsidR="00E310DA">
        <w:t xml:space="preserve"> </w:t>
      </w:r>
      <w:r w:rsidR="00E310DA" w:rsidRPr="00E310DA">
        <w:rPr>
          <w:i/>
          <w:iCs/>
        </w:rPr>
        <w:t>On the Law Relating to the Fief and Profit of a Lord</w:t>
      </w:r>
      <w:r w:rsidR="00E310DA" w:rsidRPr="00E310DA">
        <w:t xml:space="preserve"> [</w:t>
      </w:r>
      <w:r w:rsidR="00E310DA" w:rsidRPr="00E310DA">
        <w:rPr>
          <w:i/>
          <w:iCs/>
        </w:rPr>
        <w:t>Di Dligiud Raith ocus Somaine</w:t>
      </w:r>
      <w:r w:rsidR="00E310DA" w:rsidRPr="00E310DA">
        <w:t>] attests to this mobility, claiming that “the free-</w:t>
      </w:r>
      <w:r w:rsidR="00E310DA" w:rsidRPr="00E310DA">
        <w:rPr>
          <w:i/>
          <w:iCs/>
        </w:rPr>
        <w:t>fief</w:t>
      </w:r>
      <w:r w:rsidR="00E310DA" w:rsidRPr="00E310DA">
        <w:t xml:space="preserve"> is the best of fiefs, for each party is able to return it or to stretch out a hand to his fief.”</w:t>
      </w:r>
      <w:r w:rsidR="00E310DA" w:rsidRPr="00E310DA">
        <w:rPr>
          <w:vertAlign w:val="superscript"/>
        </w:rPr>
        <w:footnoteReference w:id="51"/>
      </w:r>
      <w:r w:rsidR="00E310DA" w:rsidRPr="00E310DA">
        <w:t xml:space="preserve"> </w:t>
      </w:r>
      <w:r w:rsidR="00CA24F4">
        <w:t xml:space="preserve">A lack of formidable </w:t>
      </w:r>
      <w:r w:rsidR="003E5A42">
        <w:t xml:space="preserve">constraints on the relationship may </w:t>
      </w:r>
      <w:r w:rsidR="000D5C0C">
        <w:t>find its roots in the relative</w:t>
      </w:r>
      <w:r w:rsidR="00585F3D">
        <w:t>ly</w:t>
      </w:r>
      <w:r w:rsidR="000D5C0C">
        <w:t xml:space="preserve"> </w:t>
      </w:r>
      <w:r w:rsidR="00585F3D">
        <w:t xml:space="preserve">little </w:t>
      </w:r>
      <w:r w:rsidR="000D5C0C">
        <w:t xml:space="preserve">economic </w:t>
      </w:r>
      <w:r w:rsidR="00585F3D">
        <w:t xml:space="preserve">value </w:t>
      </w:r>
      <w:r w:rsidR="005D1F42">
        <w:t>of</w:t>
      </w:r>
      <w:r w:rsidR="00E75B36">
        <w:t xml:space="preserve"> </w:t>
      </w:r>
      <w:r w:rsidR="00995379">
        <w:t xml:space="preserve">the partnership. </w:t>
      </w:r>
      <w:r w:rsidR="005463CD">
        <w:t xml:space="preserve">Compared to the sixteen heifers of a small farmer, </w:t>
      </w:r>
      <w:r w:rsidR="0037400D">
        <w:t xml:space="preserve">the three cows common to free clients </w:t>
      </w:r>
      <w:r w:rsidR="00AE006F">
        <w:t>harbor little risk</w:t>
      </w:r>
      <w:r w:rsidR="00DE307B">
        <w:t xml:space="preserve"> or profit</w:t>
      </w:r>
      <w:r w:rsidR="000B135C">
        <w:t xml:space="preserve">, which </w:t>
      </w:r>
      <w:r w:rsidR="000B135C" w:rsidRPr="000B135C">
        <w:t>Patterson identifies the cause as the dependents having “adequate social resources with which to defend his status in normal confrontations.”</w:t>
      </w:r>
      <w:r w:rsidR="000B135C" w:rsidRPr="000B135C">
        <w:rPr>
          <w:vertAlign w:val="superscript"/>
        </w:rPr>
        <w:footnoteReference w:id="52"/>
      </w:r>
      <w:r w:rsidR="000B135C" w:rsidRPr="000B135C">
        <w:t xml:space="preserve"> </w:t>
      </w:r>
      <w:r w:rsidR="00454F81">
        <w:t>What the lords did gain, however, were political allies.</w:t>
      </w:r>
      <w:r w:rsidR="00C8763C">
        <w:t xml:space="preserve"> </w:t>
      </w:r>
      <w:r w:rsidR="00C5721C">
        <w:t xml:space="preserve">With cows </w:t>
      </w:r>
      <w:r w:rsidR="00692470">
        <w:t xml:space="preserve">allocated </w:t>
      </w:r>
      <w:r w:rsidR="00692470">
        <w:lastRenderedPageBreak/>
        <w:t xml:space="preserve">across </w:t>
      </w:r>
      <w:r w:rsidR="005A1C5B">
        <w:t xml:space="preserve">a lord’s aligned regions, </w:t>
      </w:r>
      <w:r w:rsidR="00784CF6">
        <w:t>rival powers</w:t>
      </w:r>
      <w:r w:rsidR="00692470">
        <w:t xml:space="preserve"> </w:t>
      </w:r>
      <w:r w:rsidR="002138D6">
        <w:t xml:space="preserve">could not </w:t>
      </w:r>
      <w:r w:rsidR="00480917">
        <w:t>conduct raids on entire stock</w:t>
      </w:r>
      <w:r w:rsidR="00230EED">
        <w:t xml:space="preserve">, and </w:t>
      </w:r>
      <w:r w:rsidR="009C27F2">
        <w:t xml:space="preserve">the contracts required </w:t>
      </w:r>
      <w:r w:rsidR="002E07AD">
        <w:t xml:space="preserve">free clients to </w:t>
      </w:r>
      <w:r w:rsidR="00AB2AC7">
        <w:t xml:space="preserve">join military expeditions. </w:t>
      </w:r>
    </w:p>
    <w:p w14:paraId="764C2AA6" w14:textId="3DBEA5CA" w:rsidR="00300969" w:rsidRDefault="002A5ECF" w:rsidP="00230D99">
      <w:pPr>
        <w:spacing w:after="0" w:line="480" w:lineRule="auto"/>
        <w:ind w:firstLine="720"/>
      </w:pPr>
      <w:r>
        <w:t>Clientship</w:t>
      </w:r>
      <w:r w:rsidR="001473DD">
        <w:t xml:space="preserve"> functioned as </w:t>
      </w:r>
      <w:r w:rsidR="008D2665">
        <w:t>maintenance</w:t>
      </w:r>
      <w:r w:rsidR="001473DD">
        <w:t xml:space="preserve"> of class through the imbalance of Ireland’s pastoral economy</w:t>
      </w:r>
      <w:r w:rsidR="00CE4CF0">
        <w:t xml:space="preserve">, </w:t>
      </w:r>
      <w:r w:rsidR="00CE4CF0" w:rsidRPr="00CE4CF0">
        <w:t>and the basis of socioeconomic relations through which the aristocratic class exercised authority.</w:t>
      </w:r>
      <w:r w:rsidR="00752601">
        <w:t xml:space="preserve"> B</w:t>
      </w:r>
      <w:r w:rsidR="005A5A30">
        <w:t xml:space="preserve">ase clientship was </w:t>
      </w:r>
      <w:r w:rsidR="00537C3E">
        <w:t xml:space="preserve">not necessary for </w:t>
      </w:r>
      <w:r w:rsidR="00057921">
        <w:t>the survival of the</w:t>
      </w:r>
      <w:r w:rsidR="00F06CB9">
        <w:t xml:space="preserve"> farming commoners.</w:t>
      </w:r>
      <w:r w:rsidR="00537C3E">
        <w:t xml:space="preserve"> </w:t>
      </w:r>
      <w:r w:rsidR="00072150">
        <w:t xml:space="preserve">Barring natural disasters, disease, or warfare, </w:t>
      </w:r>
      <w:r w:rsidR="00C52195">
        <w:rPr>
          <w:i/>
          <w:iCs/>
        </w:rPr>
        <w:t xml:space="preserve">Branched Purchase </w:t>
      </w:r>
      <w:r w:rsidR="00420601">
        <w:t xml:space="preserve">makes </w:t>
      </w:r>
      <w:r w:rsidR="00607377">
        <w:t xml:space="preserve">clear </w:t>
      </w:r>
      <w:r w:rsidR="00910CBF">
        <w:t>that a commoner’s</w:t>
      </w:r>
      <w:r w:rsidR="009921D2">
        <w:t xml:space="preserve"> stock of pigs, sheep, and grain </w:t>
      </w:r>
      <w:r w:rsidR="00C61BBE">
        <w:t xml:space="preserve">is </w:t>
      </w:r>
      <w:r w:rsidR="00437901">
        <w:t>sufficient</w:t>
      </w:r>
      <w:r w:rsidR="00885215">
        <w:t xml:space="preserve"> enough.</w:t>
      </w:r>
      <w:r w:rsidR="00885215">
        <w:rPr>
          <w:rStyle w:val="FootnoteReference"/>
        </w:rPr>
        <w:footnoteReference w:id="53"/>
      </w:r>
      <w:r w:rsidR="00437901">
        <w:t xml:space="preserve"> </w:t>
      </w:r>
      <w:r w:rsidR="006A3A62">
        <w:t xml:space="preserve">Rather the </w:t>
      </w:r>
      <w:r w:rsidR="00206EE9">
        <w:t>e</w:t>
      </w:r>
      <w:r w:rsidR="004B52FE" w:rsidRPr="004B52FE">
        <w:t>xchange of cattle operated as the steppingstones of social advancement and stability; marriages, alliances, and criminal offenses demanded payment, most often in the form of livestock.</w:t>
      </w:r>
      <w:r w:rsidR="004B52FE" w:rsidRPr="004B52FE">
        <w:rPr>
          <w:vertAlign w:val="superscript"/>
        </w:rPr>
        <w:footnoteReference w:id="54"/>
      </w:r>
      <w:r w:rsidR="00CE766D">
        <w:t xml:space="preserve"> </w:t>
      </w:r>
      <w:r w:rsidR="008E7D3B">
        <w:t xml:space="preserve">Despite the initial boon of more </w:t>
      </w:r>
      <w:r w:rsidR="004E208F">
        <w:t>animals</w:t>
      </w:r>
      <w:r w:rsidR="008E7D3B">
        <w:t xml:space="preserve">, </w:t>
      </w:r>
      <w:r w:rsidR="004D03F6">
        <w:t>a</w:t>
      </w:r>
      <w:r w:rsidR="001563C5">
        <w:t xml:space="preserve"> fief of </w:t>
      </w:r>
      <w:r w:rsidR="00140299">
        <w:t xml:space="preserve">16 </w:t>
      </w:r>
      <w:r w:rsidR="00E0083A">
        <w:t>heifer</w:t>
      </w:r>
      <w:r w:rsidR="00140299">
        <w:t>s, as in the case of a small farmer (</w:t>
      </w:r>
      <w:r w:rsidR="00140299">
        <w:rPr>
          <w:i/>
          <w:iCs/>
        </w:rPr>
        <w:t>ócaire</w:t>
      </w:r>
      <w:r w:rsidR="00140299">
        <w:t>)</w:t>
      </w:r>
      <w:r w:rsidR="00F34F45">
        <w:t>,</w:t>
      </w:r>
      <w:r w:rsidR="00C34995">
        <w:t xml:space="preserve"> </w:t>
      </w:r>
      <w:r w:rsidR="009C0AB9">
        <w:t>contained</w:t>
      </w:r>
      <w:r w:rsidR="00C34995">
        <w:t xml:space="preserve"> a</w:t>
      </w:r>
      <w:r w:rsidR="00863AB5">
        <w:t xml:space="preserve"> potential for</w:t>
      </w:r>
      <w:r w:rsidR="00C34995">
        <w:t xml:space="preserve"> disaster</w:t>
      </w:r>
      <w:r w:rsidR="00D87EA3">
        <w:t>.</w:t>
      </w:r>
      <w:r w:rsidR="00FB229B">
        <w:t xml:space="preserve"> A</w:t>
      </w:r>
      <w:r w:rsidR="00480134">
        <w:t xml:space="preserve">n apparent </w:t>
      </w:r>
      <w:r w:rsidR="00FB229B">
        <w:t>concern is the health of the livestock.</w:t>
      </w:r>
      <w:r w:rsidR="00D87EA3">
        <w:t xml:space="preserve"> </w:t>
      </w:r>
      <w:r w:rsidR="00741C73">
        <w:t>M</w:t>
      </w:r>
      <w:r w:rsidR="00D65F7A">
        <w:t xml:space="preserve">edieval </w:t>
      </w:r>
      <w:r w:rsidR="00F458A1">
        <w:t xml:space="preserve">cows did not </w:t>
      </w:r>
      <w:r w:rsidR="007A2016">
        <w:t>calve until age four</w:t>
      </w:r>
      <w:r w:rsidR="00E7445A">
        <w:t>, and reached peak fertility even later at age seven.</w:t>
      </w:r>
      <w:r w:rsidR="00E7445A">
        <w:rPr>
          <w:rStyle w:val="FootnoteReference"/>
        </w:rPr>
        <w:footnoteReference w:id="55"/>
      </w:r>
      <w:r w:rsidR="00E7445A">
        <w:t xml:space="preserve"> </w:t>
      </w:r>
      <w:r w:rsidR="002352C0">
        <w:t xml:space="preserve">This exchange </w:t>
      </w:r>
      <w:r w:rsidR="00FC10D6">
        <w:t>was more a transfer of burden and risk by a lord onto his dependent</w:t>
      </w:r>
      <w:r w:rsidR="00AD5543">
        <w:t xml:space="preserve">, </w:t>
      </w:r>
      <w:r w:rsidR="00D53D4A">
        <w:t>a</w:t>
      </w:r>
      <w:r w:rsidR="0098122D">
        <w:t xml:space="preserve"> political provi</w:t>
      </w:r>
      <w:r w:rsidR="00AA0E50">
        <w:t xml:space="preserve">sion </w:t>
      </w:r>
      <w:r w:rsidR="00DE2120">
        <w:t xml:space="preserve">that dispersed </w:t>
      </w:r>
      <w:r w:rsidR="00124836">
        <w:t>his</w:t>
      </w:r>
      <w:r w:rsidR="00DE2120">
        <w:t xml:space="preserve"> </w:t>
      </w:r>
      <w:r w:rsidR="00AB3582">
        <w:t>livestock to multiple parties to safeguard against disease and raids.</w:t>
      </w:r>
      <w:r w:rsidR="00D53D4A">
        <w:t xml:space="preserve"> </w:t>
      </w:r>
      <w:r w:rsidR="00193DC8">
        <w:t xml:space="preserve">Yet </w:t>
      </w:r>
      <w:r w:rsidR="00B04AC2">
        <w:t>the clients turned into more bountiful targets</w:t>
      </w:r>
      <w:r w:rsidR="00C632E9">
        <w:t xml:space="preserve"> to brigands,</w:t>
      </w:r>
      <w:r w:rsidR="00DB0215">
        <w:t xml:space="preserve"> </w:t>
      </w:r>
      <w:r w:rsidR="001E4D2A">
        <w:t xml:space="preserve">disputes, and </w:t>
      </w:r>
      <w:r w:rsidR="00990A8F">
        <w:t>youthful nobles raiding “over the border” in tests of manhood</w:t>
      </w:r>
      <w:r w:rsidR="00B04AC2">
        <w:t>.</w:t>
      </w:r>
      <w:r w:rsidR="00E913BD">
        <w:rPr>
          <w:rStyle w:val="FootnoteReference"/>
        </w:rPr>
        <w:footnoteReference w:id="56"/>
      </w:r>
      <w:r w:rsidR="00990A8F">
        <w:t xml:space="preserve"> </w:t>
      </w:r>
      <w:r w:rsidR="00443A71">
        <w:t xml:space="preserve">A failure to meet rent </w:t>
      </w:r>
      <w:r w:rsidR="00200BF7">
        <w:t xml:space="preserve">called upon the client to not only pay a fine of twenty </w:t>
      </w:r>
      <w:r w:rsidR="00F96065">
        <w:t>heifers</w:t>
      </w:r>
      <w:r w:rsidR="00200BF7">
        <w:t xml:space="preserve"> but restore double the rent owned</w:t>
      </w:r>
      <w:r w:rsidR="000E0A87">
        <w:t xml:space="preserve">; and to sever a contract under such circumstances of “contempt,” </w:t>
      </w:r>
      <w:r w:rsidR="00B920C1">
        <w:t xml:space="preserve">the lord </w:t>
      </w:r>
      <w:r w:rsidR="00D14330">
        <w:t xml:space="preserve">was due </w:t>
      </w:r>
      <w:r w:rsidR="0007044C">
        <w:t>twice the fief, twice the rent, and</w:t>
      </w:r>
      <w:r w:rsidR="00052E40">
        <w:t xml:space="preserve"> the payment equal to his honor-price</w:t>
      </w:r>
      <w:r w:rsidR="00200BF7">
        <w:t>.</w:t>
      </w:r>
      <w:r w:rsidR="00200BF7">
        <w:rPr>
          <w:rStyle w:val="FootnoteReference"/>
        </w:rPr>
        <w:footnoteReference w:id="57"/>
      </w:r>
      <w:r w:rsidR="00EE7B5F">
        <w:t xml:space="preserve"> </w:t>
      </w:r>
    </w:p>
    <w:p w14:paraId="68D3113B" w14:textId="55EB1757" w:rsidR="004808CC" w:rsidRDefault="004808CC" w:rsidP="00991DB4">
      <w:pPr>
        <w:spacing w:after="0" w:line="480" w:lineRule="auto"/>
        <w:ind w:firstLine="720"/>
      </w:pPr>
      <w:r w:rsidRPr="004808CC">
        <w:lastRenderedPageBreak/>
        <w:t>Compulsory hospitality, which extended to war parties in times of conflict, fed into the eroding cycle of food-renders, land utilization, and rent – all of which enforced by the lord – to render base dependents vulnerable to debt and ruin.</w:t>
      </w:r>
      <w:r w:rsidRPr="004808CC">
        <w:rPr>
          <w:vertAlign w:val="superscript"/>
        </w:rPr>
        <w:footnoteReference w:id="58"/>
      </w:r>
      <w:r w:rsidRPr="004808CC">
        <w:t xml:space="preserve"> In the winter season, lords visited base clients accompanied by large retinues. A high noble (</w:t>
      </w:r>
      <w:r w:rsidRPr="004808CC">
        <w:rPr>
          <w:i/>
          <w:iCs/>
        </w:rPr>
        <w:t>aire ardd</w:t>
      </w:r>
      <w:r w:rsidRPr="004808CC">
        <w:t>) deserved “twenty married couples” as “his proper company on visitation from New Year’s Day till Shrovetide,” and thirty married couples as proper for a leading noble (</w:t>
      </w:r>
      <w:r w:rsidRPr="004808CC">
        <w:rPr>
          <w:i/>
          <w:iCs/>
        </w:rPr>
        <w:t>aire túise</w:t>
      </w:r>
      <w:r w:rsidRPr="004808CC">
        <w:t>).</w:t>
      </w:r>
      <w:r w:rsidRPr="004808CC">
        <w:rPr>
          <w:vertAlign w:val="superscript"/>
        </w:rPr>
        <w:footnoteReference w:id="59"/>
      </w:r>
      <w:r w:rsidRPr="004808CC">
        <w:t xml:space="preserve"> At these assemblies, the quality of food increased the threat of debt. The </w:t>
      </w:r>
      <w:r w:rsidRPr="004808CC">
        <w:rPr>
          <w:i/>
          <w:iCs/>
        </w:rPr>
        <w:t xml:space="preserve">Law of Base-Clientship </w:t>
      </w:r>
      <w:r w:rsidRPr="004808CC">
        <w:t>[</w:t>
      </w:r>
      <w:r w:rsidRPr="004808CC">
        <w:rPr>
          <w:i/>
          <w:iCs/>
        </w:rPr>
        <w:t>Cáin Aicillne</w:t>
      </w:r>
      <w:r w:rsidRPr="004808CC">
        <w:t>], a seventh- to eight</w:t>
      </w:r>
      <w:r w:rsidR="002C2B99">
        <w:t>h</w:t>
      </w:r>
      <w:r w:rsidRPr="004808CC">
        <w:t>-century law tract, codifies that “if bitter or mawkish food was given to the chief” by a client aware of its quality, “restitution in lawful food, with its double, shall be paid to him, also a ‘cumbal’</w:t>
      </w:r>
      <w:r w:rsidRPr="004808CC">
        <w:rPr>
          <w:vertAlign w:val="superscript"/>
        </w:rPr>
        <w:footnoteReference w:id="60"/>
      </w:r>
      <w:r w:rsidRPr="004808CC">
        <w:t xml:space="preserve"> and honor-price.”</w:t>
      </w:r>
      <w:r w:rsidRPr="004808CC">
        <w:rPr>
          <w:vertAlign w:val="superscript"/>
        </w:rPr>
        <w:footnoteReference w:id="61"/>
      </w:r>
      <w:r w:rsidRPr="004808CC">
        <w:t xml:space="preserve"> </w:t>
      </w:r>
    </w:p>
    <w:p w14:paraId="7D25454E" w14:textId="659789D4" w:rsidR="00FE2464" w:rsidRDefault="00AB0594" w:rsidP="00230D99">
      <w:pPr>
        <w:spacing w:after="0" w:line="480" w:lineRule="auto"/>
        <w:ind w:firstLine="720"/>
      </w:pPr>
      <w:r>
        <w:t>The</w:t>
      </w:r>
      <w:r w:rsidR="00D75A41">
        <w:t xml:space="preserve"> s</w:t>
      </w:r>
      <w:r w:rsidR="00230D99" w:rsidRPr="00230D99">
        <w:t>tructural inequalities of</w:t>
      </w:r>
      <w:r w:rsidR="009E7C7D">
        <w:t xml:space="preserve"> base</w:t>
      </w:r>
      <w:r w:rsidR="00070846">
        <w:t xml:space="preserve"> client</w:t>
      </w:r>
      <w:r w:rsidR="00230D99" w:rsidRPr="00230D99">
        <w:t xml:space="preserve"> contracts produced a consistent strain on the pastoral production of small farmers, forcing deeper, generation-spanning dependencies upon the large-scale resources of wealthy Irish, setting a downward trend of social mobility.  Although clientship expired at the death of a lord, the contracts made between individual partners, the gradual whittling of resources left few options for a client’s decedents other than to succumb</w:t>
      </w:r>
      <w:r w:rsidR="002C2B99">
        <w:t xml:space="preserve"> </w:t>
      </w:r>
      <w:r w:rsidR="00230D99" w:rsidRPr="00230D99">
        <w:t>to the same process.</w:t>
      </w:r>
      <w:r w:rsidR="00230D99" w:rsidRPr="00230D99">
        <w:rPr>
          <w:vertAlign w:val="superscript"/>
        </w:rPr>
        <w:footnoteReference w:id="62"/>
      </w:r>
      <w:r w:rsidR="00230D99" w:rsidRPr="00230D99">
        <w:t xml:space="preserve"> It is for this reason that a strong fa</w:t>
      </w:r>
      <w:r w:rsidR="002C2B99">
        <w:t>r</w:t>
      </w:r>
      <w:r w:rsidR="00230D99" w:rsidRPr="00230D99">
        <w:t xml:space="preserve">mer loses his status: “What deprives this man of the status of </w:t>
      </w:r>
      <w:r w:rsidR="00230D99" w:rsidRPr="00230D99">
        <w:rPr>
          <w:i/>
          <w:iCs/>
        </w:rPr>
        <w:t>bóaire</w:t>
      </w:r>
      <w:r w:rsidR="00230D99" w:rsidRPr="00230D99">
        <w:t xml:space="preserve">? It is that perhaps four or five men may be in joint heirship to a </w:t>
      </w:r>
      <w:r w:rsidR="00230D99" w:rsidRPr="00230D99">
        <w:rPr>
          <w:i/>
          <w:iCs/>
        </w:rPr>
        <w:t>bóaire</w:t>
      </w:r>
      <w:r w:rsidR="00230D99" w:rsidRPr="00230D99">
        <w:t xml:space="preserve">, so that each of them cannot easily be a </w:t>
      </w:r>
      <w:r w:rsidR="00230D99" w:rsidRPr="00230D99">
        <w:rPr>
          <w:i/>
          <w:iCs/>
        </w:rPr>
        <w:t>bóaire.</w:t>
      </w:r>
      <w:r w:rsidR="00230D99" w:rsidRPr="00230D99">
        <w:t>”</w:t>
      </w:r>
      <w:r w:rsidR="00230D99" w:rsidRPr="00230D99">
        <w:rPr>
          <w:vertAlign w:val="superscript"/>
        </w:rPr>
        <w:footnoteReference w:id="63"/>
      </w:r>
      <w:r w:rsidR="008F4BAB">
        <w:t xml:space="preserve"> </w:t>
      </w:r>
      <w:r w:rsidR="00D37A56">
        <w:t>Rank s</w:t>
      </w:r>
      <w:r w:rsidR="00A740AB">
        <w:t xml:space="preserve">tatus as a hereditary </w:t>
      </w:r>
      <w:r w:rsidR="00DC5547">
        <w:t xml:space="preserve">element of society placed a limit on </w:t>
      </w:r>
      <w:r w:rsidR="001B0EC8">
        <w:t>advancement</w:t>
      </w:r>
      <w:r w:rsidR="00D46C08">
        <w:t xml:space="preserve"> as</w:t>
      </w:r>
      <w:r w:rsidR="005E091C">
        <w:t xml:space="preserve"> a</w:t>
      </w:r>
      <w:r w:rsidR="00D46C08">
        <w:t xml:space="preserve"> </w:t>
      </w:r>
      <w:r w:rsidR="001B0EC8">
        <w:t>three-generation requirement</w:t>
      </w:r>
      <w:r w:rsidR="00D46C08">
        <w:t xml:space="preserve"> governed movement </w:t>
      </w:r>
      <w:r w:rsidR="00D46C08">
        <w:lastRenderedPageBreak/>
        <w:t>upward</w:t>
      </w:r>
      <w:r w:rsidR="00B17F79">
        <w:t>s</w:t>
      </w:r>
      <w:r w:rsidR="001B0EC8">
        <w:t>.</w:t>
      </w:r>
      <w:r w:rsidR="00BE7789">
        <w:t xml:space="preserve"> </w:t>
      </w:r>
      <w:r w:rsidR="00FF7A6D">
        <w:t xml:space="preserve">A child of a commoner, as in the case of the strong farmer, were susceptible to </w:t>
      </w:r>
      <w:r w:rsidR="001636C8">
        <w:t xml:space="preserve">becoming a </w:t>
      </w:r>
      <w:r w:rsidR="00FE2464">
        <w:t>semi-freeman (</w:t>
      </w:r>
      <w:r w:rsidR="00FE2464">
        <w:rPr>
          <w:i/>
          <w:iCs/>
        </w:rPr>
        <w:t>fuidri</w:t>
      </w:r>
      <w:r w:rsidR="00FE2464">
        <w:t>)</w:t>
      </w:r>
      <w:r w:rsidR="00744078">
        <w:t xml:space="preserve">, the </w:t>
      </w:r>
      <w:r w:rsidR="00C324E0">
        <w:t>space between the free statuses and slavery.</w:t>
      </w:r>
      <w:r w:rsidR="00304251">
        <w:t xml:space="preserve"> </w:t>
      </w:r>
      <w:r w:rsidR="000B6D9E">
        <w:t>With birth not a guarantee of free status</w:t>
      </w:r>
      <w:r w:rsidR="00210C05">
        <w:t xml:space="preserve">, the child denied </w:t>
      </w:r>
      <w:r w:rsidR="009D45E8">
        <w:t xml:space="preserve">sufficient inheritance </w:t>
      </w:r>
      <w:r w:rsidR="008B2816">
        <w:t>faced the “doubled-edged path:”</w:t>
      </w:r>
    </w:p>
    <w:p w14:paraId="0A830D15" w14:textId="5F521F7C" w:rsidR="00FA361C" w:rsidRDefault="00FA361C" w:rsidP="008133A6">
      <w:pPr>
        <w:spacing w:after="0" w:line="240" w:lineRule="auto"/>
        <w:ind w:left="720"/>
      </w:pPr>
      <w:r>
        <w:t>A kinsman</w:t>
      </w:r>
      <w:r w:rsidR="004A0786">
        <w:t xml:space="preserve"> – by </w:t>
      </w:r>
      <w:r>
        <w:t xml:space="preserve">right of sharing / There comes to him by right of kinship / </w:t>
      </w:r>
      <w:r w:rsidR="00DE3875">
        <w:t>O</w:t>
      </w:r>
      <w:r>
        <w:t>nly the</w:t>
      </w:r>
      <w:r w:rsidR="002C2B99">
        <w:t xml:space="preserve"> </w:t>
      </w:r>
      <w:r w:rsidR="00DE3875">
        <w:t xml:space="preserve">exact </w:t>
      </w:r>
      <w:r>
        <w:t>inheritance of a</w:t>
      </w:r>
      <w:r w:rsidR="004A0786">
        <w:t xml:space="preserve"> normal freeman</w:t>
      </w:r>
      <w:r w:rsidR="008133A6">
        <w:t>, /</w:t>
      </w:r>
      <w:r w:rsidR="00DE0B5C">
        <w:t xml:space="preserve"> [Worth]</w:t>
      </w:r>
      <w:r w:rsidR="008133A6">
        <w:t xml:space="preserve"> </w:t>
      </w:r>
      <w:r w:rsidR="00DE0B5C">
        <w:t>f</w:t>
      </w:r>
      <w:r w:rsidR="008133A6">
        <w:t xml:space="preserve">ourteen </w:t>
      </w:r>
      <w:r w:rsidR="00930135">
        <w:t xml:space="preserve">slave-women </w:t>
      </w:r>
      <w:r w:rsidR="008133A6">
        <w:t>of equal value, /</w:t>
      </w:r>
      <w:r w:rsidR="006878F2">
        <w:t xml:space="preserve"> The inheritance which feeds a normal freeman. /</w:t>
      </w:r>
      <w:r w:rsidR="008133A6">
        <w:t xml:space="preserve"> An inheritance upon the path of a double-edge</w:t>
      </w:r>
      <w:r w:rsidR="002C2B99">
        <w:t>d</w:t>
      </w:r>
      <w:r w:rsidR="008133A6">
        <w:t xml:space="preserve"> sword, / In virtue of it half honour price is paid</w:t>
      </w:r>
      <w:r w:rsidR="004A0786">
        <w:t>.</w:t>
      </w:r>
      <w:r w:rsidR="004A0786">
        <w:rPr>
          <w:rStyle w:val="FootnoteReference"/>
        </w:rPr>
        <w:footnoteReference w:id="64"/>
      </w:r>
    </w:p>
    <w:p w14:paraId="313C0D3C" w14:textId="68F53484" w:rsidR="008133A6" w:rsidRDefault="008133A6" w:rsidP="005E65E3">
      <w:pPr>
        <w:spacing w:after="0" w:line="240" w:lineRule="auto"/>
      </w:pPr>
    </w:p>
    <w:p w14:paraId="21ECA185" w14:textId="66CCBEB7" w:rsidR="00CB3A2C" w:rsidRPr="004F6B00" w:rsidRDefault="00C44F7D" w:rsidP="00D672DB">
      <w:pPr>
        <w:spacing w:after="0" w:line="480" w:lineRule="auto"/>
      </w:pPr>
      <w:r>
        <w:t xml:space="preserve">From the late sixth to the early seventh century, this short legal poem on kinship </w:t>
      </w:r>
      <w:r w:rsidR="00143B7A">
        <w:t>describes the semi-freeman</w:t>
      </w:r>
      <w:r w:rsidR="00CD2AA2">
        <w:t xml:space="preserve">, though not by name. Charles-Edwards </w:t>
      </w:r>
      <w:r w:rsidR="007363C1">
        <w:t xml:space="preserve">proposes </w:t>
      </w:r>
      <w:r w:rsidR="002D2B39">
        <w:t xml:space="preserve">the terms “doubled-edged sword” and “half honour-price” </w:t>
      </w:r>
      <w:r w:rsidR="00012BF7">
        <w:t>are direct references to the semi-freemen</w:t>
      </w:r>
      <w:r w:rsidR="00526C4B">
        <w:t xml:space="preserve">, a claim substantiated by the </w:t>
      </w:r>
      <w:r w:rsidR="00526C4B">
        <w:rPr>
          <w:i/>
          <w:iCs/>
        </w:rPr>
        <w:t>Branched Purchase</w:t>
      </w:r>
      <w:r w:rsidR="00526C4B">
        <w:t>: “Double-edged is every uncertain service: it brings on to the land the “clinging” of</w:t>
      </w:r>
      <w:r w:rsidR="00942FEF">
        <w:t xml:space="preserve">… </w:t>
      </w:r>
      <w:r w:rsidR="00526C4B">
        <w:t>semi-free-ship</w:t>
      </w:r>
      <w:r w:rsidR="00B46D4C">
        <w:t>.”</w:t>
      </w:r>
      <w:r w:rsidR="00425545">
        <w:rPr>
          <w:rStyle w:val="FootnoteReference"/>
        </w:rPr>
        <w:footnoteReference w:id="65"/>
      </w:r>
      <w:r w:rsidR="00580036">
        <w:t xml:space="preserve"> </w:t>
      </w:r>
      <w:r w:rsidR="00DA3D2D">
        <w:t>Semi-freeman were landless</w:t>
      </w:r>
      <w:r w:rsidR="007E0B86">
        <w:t xml:space="preserve"> laborers </w:t>
      </w:r>
      <w:r w:rsidR="006C2CA3">
        <w:t>without legal capacity</w:t>
      </w:r>
      <w:r w:rsidR="006721EF">
        <w:t xml:space="preserve">, yet </w:t>
      </w:r>
      <w:r w:rsidR="00923080">
        <w:t>the legal tracts give members of this status three successive generations to escape</w:t>
      </w:r>
      <w:r w:rsidR="002645B2">
        <w:t>.</w:t>
      </w:r>
      <w:r w:rsidR="002645B2">
        <w:rPr>
          <w:rStyle w:val="FootnoteReference"/>
        </w:rPr>
        <w:footnoteReference w:id="66"/>
      </w:r>
      <w:r w:rsidR="007A76FC">
        <w:t xml:space="preserve"> If unsuccessful</w:t>
      </w:r>
      <w:r w:rsidR="00D0456F">
        <w:t>,</w:t>
      </w:r>
      <w:r w:rsidR="00F42775">
        <w:t xml:space="preserve"> however,</w:t>
      </w:r>
      <w:r w:rsidR="00D0456F">
        <w:t xml:space="preserve"> </w:t>
      </w:r>
      <w:r w:rsidR="00500210">
        <w:t xml:space="preserve">a semi-freeman and his heirs </w:t>
      </w:r>
      <w:r w:rsidR="00872078">
        <w:t xml:space="preserve">succumb to the grade of </w:t>
      </w:r>
      <w:r w:rsidR="006C0D9C">
        <w:t>a</w:t>
      </w:r>
      <w:r w:rsidR="00872078">
        <w:t xml:space="preserve"> </w:t>
      </w:r>
      <w:r w:rsidR="004F6B00">
        <w:t xml:space="preserve">hereditary </w:t>
      </w:r>
      <w:r w:rsidR="00506DA9">
        <w:t>land-laborer</w:t>
      </w:r>
      <w:r w:rsidR="004F6B00">
        <w:t xml:space="preserve"> (</w:t>
      </w:r>
      <w:r w:rsidR="004F6B00">
        <w:rPr>
          <w:i/>
          <w:iCs/>
        </w:rPr>
        <w:t>senchléithe</w:t>
      </w:r>
      <w:r w:rsidR="004F6B00">
        <w:t>)</w:t>
      </w:r>
      <w:r w:rsidR="009B0969">
        <w:t xml:space="preserve"> for perpetuity</w:t>
      </w:r>
      <w:r w:rsidR="00170053">
        <w:t xml:space="preserve">. </w:t>
      </w:r>
    </w:p>
    <w:p w14:paraId="2A920741" w14:textId="502CDE1A" w:rsidR="00230D99" w:rsidRPr="00F27455" w:rsidRDefault="00BE7789" w:rsidP="006D5234">
      <w:pPr>
        <w:spacing w:after="0" w:line="480" w:lineRule="auto"/>
        <w:ind w:firstLine="720"/>
      </w:pPr>
      <w:r>
        <w:t xml:space="preserve">Commoners </w:t>
      </w:r>
      <w:r w:rsidR="00932C7C">
        <w:t>with double the property qualifications of a strong farmer</w:t>
      </w:r>
      <w:r>
        <w:t xml:space="preserve"> </w:t>
      </w:r>
      <w:r w:rsidR="00876981">
        <w:t>could lend livestock to clients,</w:t>
      </w:r>
      <w:r w:rsidR="00F266E5">
        <w:t xml:space="preserve"> and </w:t>
      </w:r>
      <w:r w:rsidR="00876981">
        <w:t>therefore, in principle, join the aristocracy</w:t>
      </w:r>
      <w:r w:rsidR="00A6752B">
        <w:t>.</w:t>
      </w:r>
      <w:r w:rsidR="0076617C">
        <w:rPr>
          <w:rStyle w:val="FootnoteReference"/>
        </w:rPr>
        <w:footnoteReference w:id="67"/>
      </w:r>
      <w:r w:rsidR="00A37FA3">
        <w:t xml:space="preserve"> It was only their descendants, however, that received the full benefits of </w:t>
      </w:r>
      <w:r w:rsidR="00916EFF">
        <w:t>the higher</w:t>
      </w:r>
      <w:r w:rsidR="002C2B99">
        <w:t>-</w:t>
      </w:r>
      <w:r w:rsidR="00916EFF">
        <w:t>order</w:t>
      </w:r>
      <w:r w:rsidR="00D92C8F">
        <w:t xml:space="preserve"> and gain full aristocratic honor-price. </w:t>
      </w:r>
      <w:r w:rsidR="00521E2F">
        <w:rPr>
          <w:i/>
          <w:iCs/>
        </w:rPr>
        <w:t xml:space="preserve">Branched Purchase </w:t>
      </w:r>
      <w:r w:rsidR="00521E2F">
        <w:t xml:space="preserve">ascribes the title of </w:t>
      </w:r>
      <w:r w:rsidR="00521E2F">
        <w:rPr>
          <w:i/>
          <w:iCs/>
        </w:rPr>
        <w:t xml:space="preserve">fer fothlai, </w:t>
      </w:r>
      <w:r w:rsidR="003D29F6">
        <w:t xml:space="preserve">or </w:t>
      </w:r>
      <w:r w:rsidR="00521E2F">
        <w:t xml:space="preserve">“man of withdrawal,” to a person </w:t>
      </w:r>
      <w:r w:rsidR="00D20119">
        <w:t>between</w:t>
      </w:r>
      <w:r w:rsidR="00521E2F">
        <w:t xml:space="preserve"> status</w:t>
      </w:r>
      <w:r w:rsidR="00D20119">
        <w:t>es</w:t>
      </w:r>
      <w:r w:rsidR="005D10ED">
        <w:t xml:space="preserve"> – a</w:t>
      </w:r>
      <w:r w:rsidR="00F00827">
        <w:t xml:space="preserve"> </w:t>
      </w:r>
      <w:r w:rsidR="001A30C8">
        <w:t xml:space="preserve">lord </w:t>
      </w:r>
      <w:r w:rsidR="00F00827">
        <w:t xml:space="preserve">of the lower order </w:t>
      </w:r>
      <w:r w:rsidR="003C7256">
        <w:t xml:space="preserve">that “withdraws somewhat from the </w:t>
      </w:r>
      <w:r w:rsidR="000135D3">
        <w:t>position</w:t>
      </w:r>
      <w:r w:rsidR="003C7256">
        <w:t xml:space="preserve"> of [strong farmer] in order to lend capital to clients.”</w:t>
      </w:r>
      <w:r w:rsidR="003C7256">
        <w:rPr>
          <w:rStyle w:val="FootnoteReference"/>
        </w:rPr>
        <w:footnoteReference w:id="68"/>
      </w:r>
      <w:r w:rsidR="000135D3">
        <w:t xml:space="preserve"> </w:t>
      </w:r>
      <w:r w:rsidR="00FD08F4">
        <w:t xml:space="preserve">To receive </w:t>
      </w:r>
      <w:r w:rsidR="00A4254C">
        <w:t xml:space="preserve">full </w:t>
      </w:r>
      <w:r w:rsidR="00CE14F3">
        <w:t xml:space="preserve">aristocratic </w:t>
      </w:r>
      <w:r w:rsidR="00A4254C">
        <w:t xml:space="preserve">privileges, </w:t>
      </w:r>
      <w:r w:rsidR="00CC1BDF">
        <w:rPr>
          <w:i/>
          <w:iCs/>
        </w:rPr>
        <w:t xml:space="preserve">Branched Purchase </w:t>
      </w:r>
      <w:r w:rsidR="00CC1BDF">
        <w:t xml:space="preserve">requires </w:t>
      </w:r>
      <w:r w:rsidR="00AF3E72">
        <w:t>men of intermediary status</w:t>
      </w:r>
      <w:r w:rsidR="003D2638">
        <w:t>, like the lowest</w:t>
      </w:r>
      <w:r w:rsidR="002C2B99">
        <w:t>-</w:t>
      </w:r>
      <w:r w:rsidR="003D2638">
        <w:t>ranked aristocrat</w:t>
      </w:r>
      <w:r w:rsidR="00394923">
        <w:t xml:space="preserve">, the </w:t>
      </w:r>
      <w:r w:rsidR="009D128B">
        <w:lastRenderedPageBreak/>
        <w:t>noble of vassals (</w:t>
      </w:r>
      <w:r w:rsidR="00394923">
        <w:rPr>
          <w:i/>
          <w:iCs/>
        </w:rPr>
        <w:t>aire déso</w:t>
      </w:r>
      <w:r w:rsidR="009D128B">
        <w:t>)</w:t>
      </w:r>
      <w:r w:rsidR="00394923">
        <w:t xml:space="preserve">, to be “the son of a </w:t>
      </w:r>
      <w:r w:rsidR="00FF6493">
        <w:t>noble</w:t>
      </w:r>
      <w:r w:rsidR="00394923">
        <w:t xml:space="preserve"> and the grandson of a </w:t>
      </w:r>
      <w:r w:rsidR="00FF6493">
        <w:t>noble</w:t>
      </w:r>
      <w:r w:rsidR="00394923">
        <w:t>.”</w:t>
      </w:r>
      <w:r w:rsidR="000B64F3">
        <w:rPr>
          <w:rStyle w:val="FootnoteReference"/>
        </w:rPr>
        <w:footnoteReference w:id="69"/>
      </w:r>
      <w:r w:rsidR="00713A3C">
        <w:t xml:space="preserve"> </w:t>
      </w:r>
      <w:r w:rsidR="00F21F3D">
        <w:t xml:space="preserve">Like the descent </w:t>
      </w:r>
      <w:r w:rsidR="00016D24">
        <w:t xml:space="preserve">in status, the three-generation requirement </w:t>
      </w:r>
      <w:r w:rsidR="00B87ECA">
        <w:t xml:space="preserve">controlled </w:t>
      </w:r>
      <w:r w:rsidR="00016D24">
        <w:t xml:space="preserve">advancement. </w:t>
      </w:r>
      <w:r w:rsidR="009A6D56">
        <w:rPr>
          <w:i/>
          <w:iCs/>
        </w:rPr>
        <w:t xml:space="preserve">Rank Sections </w:t>
      </w:r>
      <w:r w:rsidR="009A6D56">
        <w:t xml:space="preserve">features a similar qualification: </w:t>
      </w:r>
      <w:r w:rsidR="003B18EC">
        <w:t>a noble of vassals is “a man who preserves the vassalry of father and grandfather as he finds it before him.”</w:t>
      </w:r>
      <w:r w:rsidR="003B18EC">
        <w:rPr>
          <w:rStyle w:val="FootnoteReference"/>
        </w:rPr>
        <w:footnoteReference w:id="70"/>
      </w:r>
      <w:r w:rsidR="00193781">
        <w:t xml:space="preserve"> </w:t>
      </w:r>
      <w:r w:rsidR="00C11371">
        <w:t xml:space="preserve">The transient nature of </w:t>
      </w:r>
      <w:r w:rsidR="00F27455">
        <w:t>the</w:t>
      </w:r>
      <w:r w:rsidR="00977D6A">
        <w:t xml:space="preserve"> ranks</w:t>
      </w:r>
      <w:r w:rsidR="00944312">
        <w:t>, especially the</w:t>
      </w:r>
      <w:r w:rsidR="00F27455">
        <w:t xml:space="preserve"> semi-freemen and the m</w:t>
      </w:r>
      <w:r w:rsidR="00481C46">
        <w:t>e</w:t>
      </w:r>
      <w:r w:rsidR="00F27455">
        <w:t>n of withdrawal</w:t>
      </w:r>
      <w:r w:rsidR="00944312">
        <w:t>,</w:t>
      </w:r>
      <w:r w:rsidR="00F27455">
        <w:t xml:space="preserve"> </w:t>
      </w:r>
      <w:r w:rsidR="009B1CDC">
        <w:t>stresses the pervasiveness of social mobility</w:t>
      </w:r>
      <w:r w:rsidR="00E34B0B">
        <w:t xml:space="preserve"> </w:t>
      </w:r>
      <w:r w:rsidR="00CC28EB">
        <w:t xml:space="preserve">in </w:t>
      </w:r>
      <w:r w:rsidR="009B1CDC">
        <w:t>early medieval Ireland</w:t>
      </w:r>
      <w:r w:rsidR="00C86586">
        <w:t>.</w:t>
      </w:r>
    </w:p>
    <w:p w14:paraId="00A7F1CD" w14:textId="4678072B" w:rsidR="00D843C8" w:rsidRDefault="002E42FC" w:rsidP="00626206">
      <w:pPr>
        <w:spacing w:after="0" w:line="480" w:lineRule="auto"/>
        <w:ind w:firstLine="720"/>
      </w:pPr>
      <w:r w:rsidRPr="002E42FC">
        <w:t xml:space="preserve">Permeable divisions between the </w:t>
      </w:r>
      <w:r w:rsidR="00FC21AC">
        <w:t xml:space="preserve">early Irish </w:t>
      </w:r>
      <w:r w:rsidRPr="002E42FC">
        <w:t xml:space="preserve">social structure </w:t>
      </w:r>
      <w:r w:rsidR="00980EBE">
        <w:t>necessitated intangible conditions of rank</w:t>
      </w:r>
      <w:r w:rsidR="00652128">
        <w:t>.</w:t>
      </w:r>
      <w:r w:rsidR="009A6BE2">
        <w:t xml:space="preserve"> </w:t>
      </w:r>
      <w:r w:rsidR="008A6745">
        <w:t>Both p</w:t>
      </w:r>
      <w:r w:rsidR="00CE1D62">
        <w:t>olitical authority and r</w:t>
      </w:r>
      <w:r w:rsidR="00CB0135">
        <w:t xml:space="preserve">ank </w:t>
      </w:r>
      <w:r w:rsidR="00FD5FC6">
        <w:t xml:space="preserve">were forms of </w:t>
      </w:r>
      <w:r w:rsidR="00EA0020">
        <w:t xml:space="preserve">communication </w:t>
      </w:r>
      <w:r w:rsidR="007A4BBC">
        <w:t>through which the early Irish exercised power.</w:t>
      </w:r>
      <w:r w:rsidR="00C565E0">
        <w:rPr>
          <w:rStyle w:val="FootnoteReference"/>
        </w:rPr>
        <w:footnoteReference w:id="71"/>
      </w:r>
      <w:r w:rsidR="007A4BBC">
        <w:t xml:space="preserve"> </w:t>
      </w:r>
      <w:r w:rsidR="00D377B1">
        <w:t xml:space="preserve">Political authority, however, </w:t>
      </w:r>
      <w:r w:rsidR="008D6FA3">
        <w:t xml:space="preserve">featured an interplay </w:t>
      </w:r>
      <w:r w:rsidR="000728FA">
        <w:t xml:space="preserve">between </w:t>
      </w:r>
      <w:r w:rsidR="006B53E0">
        <w:t xml:space="preserve">honor-price and clientship </w:t>
      </w:r>
      <w:r w:rsidR="00DB15A8">
        <w:t xml:space="preserve">captured in </w:t>
      </w:r>
      <w:r w:rsidR="00FF04A4">
        <w:t xml:space="preserve">a language of </w:t>
      </w:r>
      <w:r w:rsidR="006B70D3">
        <w:t xml:space="preserve">economic and legal </w:t>
      </w:r>
      <w:r w:rsidR="00BF6E96">
        <w:t>domin</w:t>
      </w:r>
      <w:r w:rsidR="00C401DB">
        <w:t>anc</w:t>
      </w:r>
      <w:r w:rsidR="00820679">
        <w:t>e</w:t>
      </w:r>
      <w:r w:rsidR="006666E1">
        <w:t>, a language accessible by wealthy commoners</w:t>
      </w:r>
      <w:r w:rsidR="006B7CF3">
        <w:t xml:space="preserve">. Its arena </w:t>
      </w:r>
      <w:r w:rsidR="001A07E6">
        <w:t>was</w:t>
      </w:r>
      <w:r w:rsidR="004F78B4">
        <w:t xml:space="preserve"> the </w:t>
      </w:r>
      <w:r w:rsidR="00C02D2E">
        <w:t xml:space="preserve">everyday </w:t>
      </w:r>
      <w:r w:rsidR="008D7C88">
        <w:t>interaction</w:t>
      </w:r>
      <w:r w:rsidR="004F78B4">
        <w:t xml:space="preserve">s </w:t>
      </w:r>
      <w:r w:rsidR="005578AF">
        <w:t>between a lord and client</w:t>
      </w:r>
      <w:r w:rsidR="00455720">
        <w:t xml:space="preserve">, </w:t>
      </w:r>
      <w:r w:rsidR="00ED587A">
        <w:t xml:space="preserve">between </w:t>
      </w:r>
      <w:r w:rsidR="00455720">
        <w:t xml:space="preserve">a lord </w:t>
      </w:r>
      <w:r w:rsidR="000D01AC">
        <w:t>and</w:t>
      </w:r>
      <w:r w:rsidR="00455720">
        <w:t xml:space="preserve"> a semi-freeman</w:t>
      </w:r>
      <w:r w:rsidR="00E735BF">
        <w:t xml:space="preserve">. </w:t>
      </w:r>
      <w:r w:rsidR="00100732">
        <w:t>In contrast, r</w:t>
      </w:r>
      <w:r w:rsidR="00E735BF">
        <w:t>ank</w:t>
      </w:r>
      <w:r w:rsidR="000A1E0D">
        <w:t xml:space="preserve"> </w:t>
      </w:r>
      <w:r w:rsidR="00F402F9">
        <w:t xml:space="preserve">belonged to </w:t>
      </w:r>
      <w:r w:rsidR="00100732">
        <w:t xml:space="preserve">the </w:t>
      </w:r>
      <w:r w:rsidR="00AA3CC8">
        <w:t>constructs</w:t>
      </w:r>
      <w:r w:rsidR="00100732">
        <w:t xml:space="preserve"> and categories of the laws of status</w:t>
      </w:r>
      <w:r w:rsidR="00A24CE9">
        <w:t>. F</w:t>
      </w:r>
      <w:r w:rsidR="00602F37">
        <w:t>ormalized actions and language</w:t>
      </w:r>
      <w:r w:rsidR="00922CDA">
        <w:t xml:space="preserve"> </w:t>
      </w:r>
      <w:r w:rsidR="007C5B97">
        <w:t xml:space="preserve">exclusive to the aristocracy </w:t>
      </w:r>
      <w:r w:rsidR="00922CDA">
        <w:t>manifest</w:t>
      </w:r>
      <w:r w:rsidR="00D23528">
        <w:t>ed</w:t>
      </w:r>
      <w:r w:rsidR="008A0140">
        <w:t xml:space="preserve"> in</w:t>
      </w:r>
      <w:r w:rsidR="00922CDA">
        <w:t xml:space="preserve"> </w:t>
      </w:r>
      <w:r w:rsidR="00DD36DA">
        <w:t xml:space="preserve">performative, ritualistic </w:t>
      </w:r>
      <w:r w:rsidR="00791121">
        <w:t>symbols of rank</w:t>
      </w:r>
      <w:r w:rsidR="00A85BED">
        <w:t xml:space="preserve"> within the systems of </w:t>
      </w:r>
      <w:r w:rsidR="000A6AFE">
        <w:t>an</w:t>
      </w:r>
      <w:r w:rsidR="00A85BED">
        <w:t xml:space="preserve"> </w:t>
      </w:r>
      <w:r w:rsidR="00564779">
        <w:t>un</w:t>
      </w:r>
      <w:r w:rsidR="000A6AFE">
        <w:t xml:space="preserve">equal hierarchy. </w:t>
      </w:r>
      <w:r w:rsidR="00B01B23">
        <w:t>To act outside</w:t>
      </w:r>
      <w:r w:rsidR="00F35AA8">
        <w:t xml:space="preserve"> </w:t>
      </w:r>
      <w:r w:rsidR="00757153">
        <w:t xml:space="preserve">the </w:t>
      </w:r>
      <w:r w:rsidR="00832B55">
        <w:t>ideological</w:t>
      </w:r>
      <w:r w:rsidR="000F1791">
        <w:t xml:space="preserve"> </w:t>
      </w:r>
      <w:r w:rsidR="00757153">
        <w:t xml:space="preserve">contours of a rank </w:t>
      </w:r>
      <w:r w:rsidR="000F0E0F">
        <w:t xml:space="preserve">warranted judgment. </w:t>
      </w:r>
      <w:r w:rsidR="00031337">
        <w:t>Labor reduced a king’s honor-price to that of a commoner</w:t>
      </w:r>
      <w:r w:rsidR="00460B21">
        <w:t>,</w:t>
      </w:r>
      <w:r w:rsidR="00F13C51">
        <w:t xml:space="preserve"> for example,</w:t>
      </w:r>
      <w:r w:rsidR="00460B21">
        <w:t xml:space="preserve"> </w:t>
      </w:r>
      <w:r w:rsidR="008A120A" w:rsidRPr="008A120A">
        <w:t>and the law delivered the same punishment for traveling without a retinue.</w:t>
      </w:r>
      <w:r w:rsidR="008A120A" w:rsidRPr="008A120A">
        <w:rPr>
          <w:vertAlign w:val="superscript"/>
        </w:rPr>
        <w:footnoteReference w:id="72"/>
      </w:r>
      <w:r w:rsidR="008A120A" w:rsidRPr="008A120A">
        <w:t xml:space="preserve"> It is an issue of moral quality befitting of the station, as neither material possession nor skill were sufficient requirements.</w:t>
      </w:r>
      <w:r w:rsidR="00023445">
        <w:t xml:space="preserve"> Rather</w:t>
      </w:r>
      <w:r w:rsidR="008A120A" w:rsidRPr="008A120A">
        <w:t xml:space="preserve"> </w:t>
      </w:r>
      <w:r w:rsidR="00023445">
        <w:t>s</w:t>
      </w:r>
      <w:r w:rsidR="008A120A" w:rsidRPr="008A120A">
        <w:t xml:space="preserve">tatus required a nobility of spirit constructed on the principles of “merit and integrity and purity,” as outlined by the </w:t>
      </w:r>
      <w:r w:rsidR="008A120A" w:rsidRPr="008A120A">
        <w:rPr>
          <w:i/>
          <w:iCs/>
        </w:rPr>
        <w:t>Little Grammar</w:t>
      </w:r>
      <w:r w:rsidR="008A120A" w:rsidRPr="008A120A">
        <w:t>.</w:t>
      </w:r>
      <w:r w:rsidR="008A120A" w:rsidRPr="008A120A">
        <w:rPr>
          <w:vertAlign w:val="superscript"/>
        </w:rPr>
        <w:footnoteReference w:id="73"/>
      </w:r>
      <w:r w:rsidR="00D9046A">
        <w:t xml:space="preserve"> </w:t>
      </w:r>
      <w:r w:rsidR="001D7CA2">
        <w:t xml:space="preserve">A person’s form and worthiness </w:t>
      </w:r>
      <w:r w:rsidR="00DE2286">
        <w:t xml:space="preserve">must </w:t>
      </w:r>
      <w:r w:rsidR="00D843C8">
        <w:t xml:space="preserve">match his honor-price. </w:t>
      </w:r>
      <w:r w:rsidR="00D843C8" w:rsidRPr="00D843C8">
        <w:t xml:space="preserve">A </w:t>
      </w:r>
      <w:r w:rsidR="00D843C8" w:rsidRPr="00D843C8">
        <w:lastRenderedPageBreak/>
        <w:t>dialogue between Cuchulainn and a charioteer reveals that a “warrior is not entitled to his honour-price if he is without arms; and it is the coward’s law that he deserves in that way.”</w:t>
      </w:r>
      <w:r w:rsidR="00D843C8" w:rsidRPr="00D843C8">
        <w:rPr>
          <w:vertAlign w:val="superscript"/>
        </w:rPr>
        <w:footnoteReference w:id="74"/>
      </w:r>
      <w:r w:rsidR="00D843C8" w:rsidRPr="00D843C8">
        <w:t xml:space="preserve"> </w:t>
      </w:r>
      <w:r w:rsidR="00043A7C">
        <w:t>Status</w:t>
      </w:r>
      <w:r w:rsidR="00D843C8" w:rsidRPr="00D843C8">
        <w:t xml:space="preserve"> denoted the potential to fulfill the functions and duties of a rank</w:t>
      </w:r>
      <w:r w:rsidR="003E442E">
        <w:t>. S</w:t>
      </w:r>
      <w:r w:rsidR="00D843C8" w:rsidRPr="00D843C8">
        <w:t>pecific actions, such as</w:t>
      </w:r>
      <w:r w:rsidR="00942B1D">
        <w:t xml:space="preserve"> “deeming” labor,</w:t>
      </w:r>
      <w:r w:rsidR="00D843C8" w:rsidRPr="00D843C8">
        <w:t xml:space="preserve"> satire</w:t>
      </w:r>
      <w:r w:rsidR="00942B1D">
        <w:t>,</w:t>
      </w:r>
      <w:r w:rsidR="00D843C8" w:rsidRPr="00D843C8">
        <w:t xml:space="preserve"> and the possession of weapons, </w:t>
      </w:r>
      <w:r w:rsidR="00393A72">
        <w:t xml:space="preserve">received responses </w:t>
      </w:r>
      <w:r w:rsidR="00DC54C7">
        <w:t xml:space="preserve">carved </w:t>
      </w:r>
      <w:r w:rsidR="00142AFC">
        <w:t xml:space="preserve">by </w:t>
      </w:r>
      <w:r w:rsidR="00B32A54">
        <w:t xml:space="preserve">intangible </w:t>
      </w:r>
      <w:r w:rsidR="00923B2E">
        <w:t>principles</w:t>
      </w:r>
      <w:r w:rsidR="00BC1505">
        <w:t xml:space="preserve"> of character</w:t>
      </w:r>
      <w:r w:rsidR="00923B2E">
        <w:t xml:space="preserve">. </w:t>
      </w:r>
      <w:r w:rsidR="005E1676" w:rsidRPr="005E1676">
        <w:t>Elements of social exchange were thus employed to reaffirm the commoner’s inferior status outside of the law-tracts and the weeds of contracts.</w:t>
      </w:r>
    </w:p>
    <w:p w14:paraId="5CF5D03A" w14:textId="1943C28D" w:rsidR="00590201" w:rsidRPr="00996387" w:rsidRDefault="00862D4B" w:rsidP="009632E7">
      <w:pPr>
        <w:spacing w:after="0" w:line="480" w:lineRule="auto"/>
        <w:ind w:firstLine="720"/>
      </w:pPr>
      <w:r>
        <w:t xml:space="preserve">Food </w:t>
      </w:r>
      <w:r w:rsidR="00E407EF">
        <w:t xml:space="preserve">functioned as one of the elite’s principal tools to </w:t>
      </w:r>
      <w:r w:rsidR="003542A0">
        <w:t xml:space="preserve">fabricate </w:t>
      </w:r>
      <w:r w:rsidR="00233C00">
        <w:t xml:space="preserve">the boundaries of the rank-status hierarchy. </w:t>
      </w:r>
      <w:r w:rsidR="00935E65">
        <w:t>Hospitality</w:t>
      </w:r>
      <w:r w:rsidR="00A93206">
        <w:t xml:space="preserve">’s </w:t>
      </w:r>
      <w:r w:rsidR="00093079">
        <w:t>role in</w:t>
      </w:r>
      <w:r w:rsidR="002F1B12">
        <w:t xml:space="preserve"> </w:t>
      </w:r>
      <w:r w:rsidR="00EB2498">
        <w:t xml:space="preserve">society </w:t>
      </w:r>
      <w:r w:rsidR="00EF054F">
        <w:t>extended beyond the demands of contracts</w:t>
      </w:r>
      <w:r w:rsidR="00552612">
        <w:t xml:space="preserve">. It was a </w:t>
      </w:r>
      <w:r w:rsidR="002F1B12">
        <w:t xml:space="preserve">central </w:t>
      </w:r>
      <w:r w:rsidR="00552612">
        <w:t>cultural institution accessible to every free individual, “ regardless of his rank or profession.”</w:t>
      </w:r>
      <w:r w:rsidR="00552612">
        <w:rPr>
          <w:rStyle w:val="FootnoteReference"/>
        </w:rPr>
        <w:footnoteReference w:id="75"/>
      </w:r>
      <w:r w:rsidR="00735E05">
        <w:t xml:space="preserve"> </w:t>
      </w:r>
      <w:r w:rsidR="002E1E29">
        <w:t xml:space="preserve">Large portions of </w:t>
      </w:r>
      <w:r w:rsidR="00735E05">
        <w:rPr>
          <w:i/>
          <w:iCs/>
        </w:rPr>
        <w:t xml:space="preserve">Branched Purchase </w:t>
      </w:r>
      <w:r w:rsidR="00A1501F">
        <w:t>feature</w:t>
      </w:r>
      <w:r w:rsidR="00383AFD">
        <w:t xml:space="preserve"> extensive explorations of the dietary entitlements of each grade and status</w:t>
      </w:r>
      <w:r w:rsidR="00627060">
        <w:t xml:space="preserve"> during social visits. </w:t>
      </w:r>
      <w:r w:rsidR="004D0494">
        <w:t>A strong farmer</w:t>
      </w:r>
      <w:r w:rsidR="00514F1E">
        <w:t xml:space="preserve">’s food-provisions </w:t>
      </w:r>
      <w:r w:rsidR="0074651D">
        <w:t>consisted</w:t>
      </w:r>
      <w:r w:rsidR="00514F1E">
        <w:t xml:space="preserve"> of milk</w:t>
      </w:r>
      <w:r w:rsidR="00353F8E">
        <w:t xml:space="preserve">, </w:t>
      </w:r>
      <w:r w:rsidR="00514F1E">
        <w:t xml:space="preserve">corn, butter on Sundays, </w:t>
      </w:r>
      <w:r w:rsidR="00E65850">
        <w:t xml:space="preserve">salted venison, seaweed, </w:t>
      </w:r>
      <w:r w:rsidR="00514F1E">
        <w:t>onions</w:t>
      </w:r>
      <w:r w:rsidR="00E65850">
        <w:t xml:space="preserve">, and </w:t>
      </w:r>
      <w:r w:rsidR="00514F1E">
        <w:t>salt</w:t>
      </w:r>
      <w:r w:rsidR="0092358F">
        <w:t xml:space="preserve">; </w:t>
      </w:r>
      <w:r w:rsidR="00B5719D">
        <w:t>the lowest</w:t>
      </w:r>
      <w:r w:rsidR="00564779">
        <w:t>-</w:t>
      </w:r>
      <w:r w:rsidR="00B5719D">
        <w:t>ranked commoner, the “man between two houses” (</w:t>
      </w:r>
      <w:r w:rsidR="00B5719D">
        <w:rPr>
          <w:i/>
          <w:iCs/>
        </w:rPr>
        <w:t>fer midboth</w:t>
      </w:r>
      <w:r w:rsidR="00B5719D">
        <w:t>)</w:t>
      </w:r>
      <w:r w:rsidR="00A60731">
        <w:t xml:space="preserve">, </w:t>
      </w:r>
      <w:r w:rsidR="00120F92">
        <w:t xml:space="preserve">received </w:t>
      </w:r>
      <w:r w:rsidR="001773D9">
        <w:t>milk and cheese.</w:t>
      </w:r>
      <w:r w:rsidR="001773D9">
        <w:rPr>
          <w:rStyle w:val="FootnoteReference"/>
        </w:rPr>
        <w:footnoteReference w:id="76"/>
      </w:r>
      <w:r w:rsidR="00D24260">
        <w:t xml:space="preserve"> </w:t>
      </w:r>
      <w:r w:rsidR="00BE26E7">
        <w:rPr>
          <w:i/>
          <w:iCs/>
        </w:rPr>
        <w:t xml:space="preserve">Branched Purchase </w:t>
      </w:r>
      <w:r w:rsidR="00BE26E7">
        <w:t>specifically denies this rank the right to request butter</w:t>
      </w:r>
      <w:r w:rsidR="00AB44CF">
        <w:t xml:space="preserve"> </w:t>
      </w:r>
      <w:r w:rsidR="00754436">
        <w:t>by virtue of his grade</w:t>
      </w:r>
      <w:r w:rsidR="000E4686">
        <w:t xml:space="preserve">, </w:t>
      </w:r>
      <w:r w:rsidR="00AB44CF">
        <w:t>a</w:t>
      </w:r>
      <w:r w:rsidR="00EB65C9">
        <w:t xml:space="preserve"> refusal not found in higher grades of commoner</w:t>
      </w:r>
      <w:r w:rsidR="004A0B4D">
        <w:t xml:space="preserve">s. </w:t>
      </w:r>
      <w:r w:rsidR="00577DD3">
        <w:t xml:space="preserve">Notes in the </w:t>
      </w:r>
      <w:r w:rsidR="00577DD3">
        <w:rPr>
          <w:i/>
          <w:iCs/>
        </w:rPr>
        <w:t>Martyrology of Óengus</w:t>
      </w:r>
      <w:r w:rsidR="00575CA8">
        <w:t xml:space="preserve"> </w:t>
      </w:r>
      <w:r w:rsidR="00D70BD2">
        <w:t xml:space="preserve">highlight </w:t>
      </w:r>
      <w:r w:rsidR="00B872CE">
        <w:t>a typical meal</w:t>
      </w:r>
      <w:r w:rsidR="00575CA8">
        <w:t xml:space="preserve">, </w:t>
      </w:r>
      <w:r w:rsidR="00B872CE">
        <w:t xml:space="preserve">as St. Columbia </w:t>
      </w:r>
      <w:r w:rsidR="000A1ED3">
        <w:t xml:space="preserve">requests a soup of </w:t>
      </w:r>
      <w:r w:rsidR="00746BF7">
        <w:t>“</w:t>
      </w:r>
      <w:r w:rsidR="000A1ED3">
        <w:t>nettle</w:t>
      </w:r>
      <w:r w:rsidR="00746BF7">
        <w:t xml:space="preserve">-broth without butter or milk” </w:t>
      </w:r>
      <w:r w:rsidR="000A1ED3">
        <w:t xml:space="preserve"> to replicate </w:t>
      </w:r>
      <w:r w:rsidR="00140BAF">
        <w:t xml:space="preserve">a dish belonging to a </w:t>
      </w:r>
      <w:r w:rsidR="000607DA">
        <w:t>commoner</w:t>
      </w:r>
      <w:r w:rsidR="00140BAF">
        <w:t xml:space="preserve"> wom</w:t>
      </w:r>
      <w:r w:rsidR="00F57D02">
        <w:t>a</w:t>
      </w:r>
      <w:r w:rsidR="00140BAF">
        <w:t>n.</w:t>
      </w:r>
      <w:r w:rsidR="003869DF">
        <w:rPr>
          <w:rStyle w:val="FootnoteReference"/>
        </w:rPr>
        <w:footnoteReference w:id="77"/>
      </w:r>
      <w:r w:rsidR="00140BAF">
        <w:t xml:space="preserve"> </w:t>
      </w:r>
      <w:r w:rsidR="00996387">
        <w:t xml:space="preserve">Another tale of St. Columbia, found in Adomnán’s </w:t>
      </w:r>
      <w:r w:rsidR="00996387">
        <w:rPr>
          <w:i/>
          <w:iCs/>
        </w:rPr>
        <w:t>Life of Columbia</w:t>
      </w:r>
      <w:r w:rsidR="00996387">
        <w:t xml:space="preserve">, </w:t>
      </w:r>
      <w:r w:rsidR="00175D99">
        <w:t xml:space="preserve">stresses the importance of wild animals in the commoner’s diet. </w:t>
      </w:r>
      <w:r w:rsidR="007F7179">
        <w:t>Columba blessed a stake for a commoner who hurt “neither man nor any cattle</w:t>
      </w:r>
      <w:r w:rsidR="00065DCA">
        <w:t>,</w:t>
      </w:r>
      <w:r w:rsidR="007F7179">
        <w:t>”</w:t>
      </w:r>
      <w:r w:rsidR="00065DCA">
        <w:t xml:space="preserve"> but would instead kill “only wild animals, and also fish.”</w:t>
      </w:r>
      <w:r w:rsidR="0047392F">
        <w:rPr>
          <w:rStyle w:val="FootnoteReference"/>
        </w:rPr>
        <w:footnoteReference w:id="78"/>
      </w:r>
      <w:r w:rsidR="00FC2A97">
        <w:t xml:space="preserve"> </w:t>
      </w:r>
      <w:r w:rsidR="006B61CD">
        <w:t xml:space="preserve">Set “in an out-of-the-way part of the district, </w:t>
      </w:r>
      <w:r w:rsidR="006B61CD">
        <w:lastRenderedPageBreak/>
        <w:t xml:space="preserve">frequented by wild creatures,” the commoner </w:t>
      </w:r>
      <w:r w:rsidR="00CE696C">
        <w:t>boasted a mass of venison and wild meat</w:t>
      </w:r>
      <w:r w:rsidR="00EF593F">
        <w:t xml:space="preserve"> </w:t>
      </w:r>
      <w:r w:rsidR="00EE79F2">
        <w:t xml:space="preserve">until the take was destroyed, leaving </w:t>
      </w:r>
      <w:r w:rsidR="007340EA">
        <w:t>him destitute and poor once again.</w:t>
      </w:r>
      <w:r w:rsidR="007340EA">
        <w:rPr>
          <w:rStyle w:val="FootnoteReference"/>
        </w:rPr>
        <w:footnoteReference w:id="79"/>
      </w:r>
    </w:p>
    <w:p w14:paraId="5ED3BC03" w14:textId="77777777" w:rsidR="00FA0E8F" w:rsidRDefault="00A539FA" w:rsidP="0016038D">
      <w:pPr>
        <w:spacing w:after="0" w:line="480" w:lineRule="auto"/>
        <w:ind w:firstLine="720"/>
      </w:pPr>
      <w:r>
        <w:t>As the grades progresse</w:t>
      </w:r>
      <w:r w:rsidR="00AF20DE">
        <w:t xml:space="preserve">d additional side dishes became available. </w:t>
      </w:r>
      <w:r w:rsidR="0063268E">
        <w:rPr>
          <w:i/>
          <w:iCs/>
        </w:rPr>
        <w:t xml:space="preserve">Branched Purchase </w:t>
      </w:r>
      <w:r w:rsidR="00EB3C5F">
        <w:t xml:space="preserve">grants the same fare of </w:t>
      </w:r>
      <w:r w:rsidR="0083624C">
        <w:t xml:space="preserve">the man between two houses to </w:t>
      </w:r>
      <w:r w:rsidR="002636D2">
        <w:t>the small farmer</w:t>
      </w:r>
      <w:r w:rsidR="009468C6">
        <w:t xml:space="preserve"> but with an added twelve-inch mug </w:t>
      </w:r>
      <w:r w:rsidR="000612DF">
        <w:t xml:space="preserve">of sour milk </w:t>
      </w:r>
      <w:r w:rsidR="009433E4">
        <w:t>and a “full-sized [loaf]” (</w:t>
      </w:r>
      <w:r w:rsidR="009433E4">
        <w:rPr>
          <w:i/>
          <w:iCs/>
        </w:rPr>
        <w:t>bairgen</w:t>
      </w:r>
      <w:r w:rsidR="009433E4">
        <w:t xml:space="preserve">) </w:t>
      </w:r>
      <w:r w:rsidR="000142DE">
        <w:t>or “two [loaves] of a woman’s baking</w:t>
      </w:r>
      <w:r w:rsidR="00254AA2">
        <w:t>.”</w:t>
      </w:r>
      <w:r w:rsidR="00254AA2">
        <w:rPr>
          <w:rStyle w:val="FootnoteReference"/>
        </w:rPr>
        <w:footnoteReference w:id="80"/>
      </w:r>
      <w:r w:rsidR="00092295">
        <w:t xml:space="preserve"> </w:t>
      </w:r>
      <w:r w:rsidR="008576EA">
        <w:t xml:space="preserve">According to the </w:t>
      </w:r>
      <w:r w:rsidR="008576EA">
        <w:rPr>
          <w:i/>
          <w:iCs/>
        </w:rPr>
        <w:t>Law of Base-Clientship</w:t>
      </w:r>
      <w:r w:rsidR="008576EA">
        <w:t xml:space="preserve">, </w:t>
      </w:r>
      <w:r w:rsidR="00EA2708">
        <w:t>the loaves of bread were as thick as “a man’s little finger</w:t>
      </w:r>
      <w:r w:rsidR="009D20B3">
        <w:t>,</w:t>
      </w:r>
      <w:r w:rsidR="00EA2708">
        <w:t>” nearly twelve inches in circumference</w:t>
      </w:r>
      <w:r w:rsidR="009D20B3">
        <w:t>, and made of oats or barley</w:t>
      </w:r>
      <w:r w:rsidR="00EA2708">
        <w:t>.</w:t>
      </w:r>
      <w:r w:rsidR="00EA2708">
        <w:rPr>
          <w:rStyle w:val="FootnoteReference"/>
        </w:rPr>
        <w:footnoteReference w:id="81"/>
      </w:r>
      <w:r w:rsidR="005B627A">
        <w:t xml:space="preserve"> </w:t>
      </w:r>
      <w:r w:rsidR="000A39C0">
        <w:t xml:space="preserve">Archeological evidence </w:t>
      </w:r>
      <w:r w:rsidR="00DF74C2">
        <w:t xml:space="preserve">suggests that barley and oats </w:t>
      </w:r>
      <w:r w:rsidR="00E80802">
        <w:t>were the most popular grains cultivated in early medieval Ireland</w:t>
      </w:r>
      <w:r w:rsidR="00F70290">
        <w:t>; wheat and rye</w:t>
      </w:r>
      <w:r w:rsidR="00F14482">
        <w:t xml:space="preserve">, on the other hand, </w:t>
      </w:r>
      <w:r w:rsidR="006C315B">
        <w:t xml:space="preserve">required </w:t>
      </w:r>
      <w:r w:rsidR="008C45DE">
        <w:t>rich soil</w:t>
      </w:r>
      <w:r w:rsidR="006C315B">
        <w:t xml:space="preserve"> and were </w:t>
      </w:r>
      <w:r w:rsidR="00CA3026">
        <w:t xml:space="preserve">therefore </w:t>
      </w:r>
      <w:r w:rsidR="003F5AC7">
        <w:t xml:space="preserve">considered </w:t>
      </w:r>
      <w:r w:rsidR="00B2387D">
        <w:t>luxuries</w:t>
      </w:r>
      <w:r w:rsidR="00CA3026">
        <w:t>.</w:t>
      </w:r>
      <w:r w:rsidR="00CA3026">
        <w:rPr>
          <w:rStyle w:val="FootnoteReference"/>
        </w:rPr>
        <w:footnoteReference w:id="82"/>
      </w:r>
      <w:r w:rsidR="00B2387D">
        <w:t xml:space="preserve"> </w:t>
      </w:r>
    </w:p>
    <w:p w14:paraId="0362472E" w14:textId="578B5032" w:rsidR="00A86A70" w:rsidRPr="008576EA" w:rsidRDefault="001B67B5" w:rsidP="0016038D">
      <w:pPr>
        <w:spacing w:after="0" w:line="480" w:lineRule="auto"/>
        <w:ind w:firstLine="720"/>
      </w:pPr>
      <w:r>
        <w:t>Restrictions on f</w:t>
      </w:r>
      <w:r w:rsidR="00ED3BEB">
        <w:t xml:space="preserve">oodstuffs </w:t>
      </w:r>
      <w:r w:rsidR="00417254">
        <w:t xml:space="preserve">of luxury </w:t>
      </w:r>
      <w:r w:rsidR="00B56A25">
        <w:t xml:space="preserve">status </w:t>
      </w:r>
      <w:r w:rsidR="008C7A5C">
        <w:t xml:space="preserve">illustrated </w:t>
      </w:r>
      <w:r w:rsidR="002F6693">
        <w:t xml:space="preserve">the relative </w:t>
      </w:r>
      <w:r w:rsidR="004A7A0B">
        <w:t xml:space="preserve">prestige </w:t>
      </w:r>
      <w:r w:rsidR="00AA0A52">
        <w:t xml:space="preserve">assigned to commoners and aristocrats. </w:t>
      </w:r>
      <w:r w:rsidR="00F815F6">
        <w:t>Meat from domesticated livestock belonged to the aristocracy and the highest grades of commoner</w:t>
      </w:r>
      <w:r w:rsidR="00F57D02">
        <w:t>s</w:t>
      </w:r>
      <w:r w:rsidR="00F815F6">
        <w:t xml:space="preserve">, though </w:t>
      </w:r>
      <w:r w:rsidR="002742A9">
        <w:t>the laws of status allocat</w:t>
      </w:r>
      <w:r w:rsidR="00254C87">
        <w:t>e</w:t>
      </w:r>
      <w:r w:rsidR="006D177F">
        <w:t>d</w:t>
      </w:r>
      <w:r w:rsidR="002742A9">
        <w:t xml:space="preserve"> only s</w:t>
      </w:r>
      <w:r w:rsidR="00CC7D83">
        <w:t>alt</w:t>
      </w:r>
      <w:r w:rsidR="002B1CC8">
        <w:t xml:space="preserve">ed meat </w:t>
      </w:r>
      <w:r w:rsidR="002742A9">
        <w:t xml:space="preserve">to the latter, suggesting fresh meat was exclusive to </w:t>
      </w:r>
      <w:r w:rsidR="0077784B">
        <w:t>aristocrats.</w:t>
      </w:r>
      <w:r w:rsidR="0077784B">
        <w:rPr>
          <w:rStyle w:val="FootnoteReference"/>
        </w:rPr>
        <w:footnoteReference w:id="83"/>
      </w:r>
      <w:r w:rsidR="00035929">
        <w:t xml:space="preserve"> </w:t>
      </w:r>
      <w:r w:rsidR="009C3003">
        <w:t xml:space="preserve">Food-renders </w:t>
      </w:r>
      <w:r w:rsidR="00305EC8">
        <w:t>further differentiate</w:t>
      </w:r>
      <w:r w:rsidR="00252F4B">
        <w:t xml:space="preserve"> between the types of lords in Irish society, </w:t>
      </w:r>
      <w:r w:rsidR="00D66B0D">
        <w:t xml:space="preserve">based on the entitlements assigned to a commoner lord and an aristocrat. </w:t>
      </w:r>
      <w:r w:rsidR="00E5110A">
        <w:t>A</w:t>
      </w:r>
      <w:r w:rsidR="00A20D2C">
        <w:t xml:space="preserve"> man of withdrawal</w:t>
      </w:r>
      <w:r w:rsidR="00E5110A">
        <w:t>, the rank given to the commoner who</w:t>
      </w:r>
      <w:r w:rsidR="008D6897">
        <w:t xml:space="preserve"> amassed enough wealth to begin lending, </w:t>
      </w:r>
      <w:r w:rsidR="001B7732">
        <w:t xml:space="preserve">received renders </w:t>
      </w:r>
      <w:r w:rsidR="009047DA">
        <w:t xml:space="preserve">of </w:t>
      </w:r>
      <w:r w:rsidR="00F106D3">
        <w:t>butter, seeds, and livestock</w:t>
      </w:r>
      <w:r w:rsidR="009C3003">
        <w:t xml:space="preserve">, </w:t>
      </w:r>
      <w:r w:rsidR="008E2E67">
        <w:t xml:space="preserve">and not the ale and salted and fresh meat </w:t>
      </w:r>
      <w:r w:rsidR="001045D5">
        <w:t xml:space="preserve">entitled to </w:t>
      </w:r>
      <w:r w:rsidR="00224642">
        <w:t>the aristocratic lords.</w:t>
      </w:r>
      <w:r w:rsidR="00A54DE0">
        <w:rPr>
          <w:rStyle w:val="FootnoteReference"/>
        </w:rPr>
        <w:footnoteReference w:id="84"/>
      </w:r>
      <w:r w:rsidR="00985329">
        <w:t xml:space="preserve"> </w:t>
      </w:r>
      <w:r w:rsidR="004D1922">
        <w:t xml:space="preserve">This distinction emphasizes the </w:t>
      </w:r>
      <w:r w:rsidR="004D1922">
        <w:lastRenderedPageBreak/>
        <w:t xml:space="preserve">disparity between the </w:t>
      </w:r>
      <w:r w:rsidR="00DB05AD">
        <w:t>ranks</w:t>
      </w:r>
      <w:r w:rsidR="00364862">
        <w:t xml:space="preserve">; commoners, no matter the </w:t>
      </w:r>
      <w:r w:rsidR="008D4347">
        <w:t xml:space="preserve">wealth or position in the clientship dynamic, </w:t>
      </w:r>
      <w:r w:rsidR="001D45DE">
        <w:t xml:space="preserve">could not </w:t>
      </w:r>
      <w:r w:rsidR="00212772">
        <w:t xml:space="preserve">enjoy the same privileges afforded to the higher order. </w:t>
      </w:r>
    </w:p>
    <w:p w14:paraId="5811FEA9" w14:textId="3E327606" w:rsidR="003B33CA" w:rsidRDefault="00001EE2" w:rsidP="008A120A">
      <w:pPr>
        <w:spacing w:after="0" w:line="480" w:lineRule="auto"/>
        <w:ind w:firstLine="720"/>
      </w:pPr>
      <w:r>
        <w:t>Feasts</w:t>
      </w:r>
      <w:r w:rsidR="00505B5C">
        <w:t xml:space="preserve"> </w:t>
      </w:r>
      <w:r w:rsidR="00AF4533">
        <w:t>transformed the r</w:t>
      </w:r>
      <w:r w:rsidR="003B33CA">
        <w:t xml:space="preserve">egulation of the </w:t>
      </w:r>
      <w:r w:rsidR="00F57D02">
        <w:t xml:space="preserve">lower-order’s </w:t>
      </w:r>
      <w:r w:rsidR="003B33CA">
        <w:t xml:space="preserve">diet </w:t>
      </w:r>
      <w:r w:rsidR="00AF4533">
        <w:t xml:space="preserve">into a visual </w:t>
      </w:r>
      <w:r w:rsidR="003F0B3A">
        <w:t>performance</w:t>
      </w:r>
      <w:r w:rsidR="00F87E21">
        <w:t>.</w:t>
      </w:r>
      <w:r w:rsidR="00D8471C">
        <w:t xml:space="preserve"> In social gatherings, </w:t>
      </w:r>
      <w:r w:rsidR="00C018D5">
        <w:t xml:space="preserve">not only was the </w:t>
      </w:r>
      <w:r w:rsidR="00D8471C">
        <w:t>consumption of meat</w:t>
      </w:r>
      <w:r w:rsidR="00C018D5">
        <w:t xml:space="preserve"> indicative of status, but a particular cut</w:t>
      </w:r>
      <w:r w:rsidR="00DF3CF3">
        <w:t xml:space="preserve"> correlated with a person’s rank.</w:t>
      </w:r>
      <w:r w:rsidR="00685EDA">
        <w:t xml:space="preserve"> </w:t>
      </w:r>
      <w:r w:rsidR="007A732C">
        <w:t xml:space="preserve">In the </w:t>
      </w:r>
      <w:r w:rsidR="00E63637" w:rsidRPr="007A732C">
        <w:rPr>
          <w:i/>
          <w:iCs/>
        </w:rPr>
        <w:t>Book of Leinster</w:t>
      </w:r>
      <w:r w:rsidR="00821F62">
        <w:t xml:space="preserve"> (c. 1160)</w:t>
      </w:r>
      <w:r w:rsidR="00E63637">
        <w:t xml:space="preserve">, a </w:t>
      </w:r>
      <w:r w:rsidR="00442963">
        <w:t xml:space="preserve">surviving image of </w:t>
      </w:r>
      <w:r w:rsidR="0048450F">
        <w:t xml:space="preserve">“The </w:t>
      </w:r>
      <w:r w:rsidR="00442963" w:rsidRPr="0048450F">
        <w:t>Seating of the House of the Mead-Circuit</w:t>
      </w:r>
      <w:r w:rsidR="00E9089B">
        <w:t>”</w:t>
      </w:r>
      <w:r w:rsidR="00442963">
        <w:t xml:space="preserve"> (</w:t>
      </w:r>
      <w:r w:rsidR="00442963">
        <w:rPr>
          <w:i/>
          <w:iCs/>
        </w:rPr>
        <w:t>Suidigud Tigi Midchúarda</w:t>
      </w:r>
      <w:r w:rsidR="00442963">
        <w:t>)</w:t>
      </w:r>
      <w:r w:rsidR="007D5738">
        <w:t xml:space="preserve"> </w:t>
      </w:r>
      <w:r w:rsidR="009554A3">
        <w:t xml:space="preserve">captures this principle, </w:t>
      </w:r>
      <w:r w:rsidR="0034177B">
        <w:t xml:space="preserve">depicting the arrangement of a king’s household around a banqueting hall. </w:t>
      </w:r>
      <w:r w:rsidR="00387E9B">
        <w:t>Grade and status governed a</w:t>
      </w:r>
      <w:r w:rsidR="0034177B">
        <w:t xml:space="preserve"> person’s position relative to the king </w:t>
      </w:r>
      <w:r w:rsidR="00F22FEB">
        <w:t xml:space="preserve">and </w:t>
      </w:r>
      <w:r w:rsidR="00387E9B">
        <w:t xml:space="preserve">the </w:t>
      </w:r>
      <w:r w:rsidR="00F22FEB">
        <w:t>quality of the</w:t>
      </w:r>
      <w:r w:rsidR="001C0DF3">
        <w:t>ir</w:t>
      </w:r>
      <w:r w:rsidR="003C1381">
        <w:t xml:space="preserve"> serving of</w:t>
      </w:r>
      <w:r w:rsidR="00F22FEB">
        <w:t xml:space="preserve"> meat</w:t>
      </w:r>
      <w:r w:rsidR="004C1B3B">
        <w:t>.</w:t>
      </w:r>
      <w:r w:rsidR="00D0696C">
        <w:rPr>
          <w:rStyle w:val="FootnoteReference"/>
        </w:rPr>
        <w:footnoteReference w:id="85"/>
      </w:r>
      <w:r w:rsidR="00F0742C">
        <w:t xml:space="preserve"> Research conducted by Finbar McCormick </w:t>
      </w:r>
      <w:r w:rsidR="00195BA8">
        <w:t xml:space="preserve">reveals </w:t>
      </w:r>
      <w:r w:rsidR="00B1117C">
        <w:t xml:space="preserve">that </w:t>
      </w:r>
      <w:r w:rsidR="009C0636">
        <w:t>cuts high on the back of</w:t>
      </w:r>
      <w:r w:rsidR="00F57D02">
        <w:t xml:space="preserve"> a</w:t>
      </w:r>
      <w:r w:rsidR="009C0636">
        <w:t xml:space="preserve"> cow </w:t>
      </w:r>
      <w:r w:rsidR="008A0AEF">
        <w:t>belonged to higher grades; a tenderloin went to a king, a rump steak to a queen, and the coccyx to the royal doorkeepers.</w:t>
      </w:r>
      <w:r w:rsidR="008A0AEF">
        <w:rPr>
          <w:rStyle w:val="FootnoteReference"/>
        </w:rPr>
        <w:footnoteReference w:id="86"/>
      </w:r>
      <w:r w:rsidR="00692D1C">
        <w:t xml:space="preserve"> </w:t>
      </w:r>
      <w:r w:rsidR="008F2E74">
        <w:t xml:space="preserve">After a day’s work on the farm, </w:t>
      </w:r>
      <w:r w:rsidR="00AF337F">
        <w:t xml:space="preserve">the difference between ranks might not have been significant, but </w:t>
      </w:r>
      <w:r w:rsidR="000810EB">
        <w:t xml:space="preserve">in public gatherings, like a feast, the </w:t>
      </w:r>
      <w:r w:rsidR="00F27E34">
        <w:t xml:space="preserve">publicization of an individual’s social status </w:t>
      </w:r>
      <w:r w:rsidR="00DD2B2C">
        <w:t xml:space="preserve">promised </w:t>
      </w:r>
      <w:r w:rsidR="006233B1">
        <w:t>material gain.</w:t>
      </w:r>
    </w:p>
    <w:p w14:paraId="2974F4F8" w14:textId="1B17EE2E" w:rsidR="008A3C26" w:rsidRDefault="002223F8" w:rsidP="008A3C26">
      <w:pPr>
        <w:spacing w:after="0" w:line="480" w:lineRule="auto"/>
        <w:ind w:firstLine="720"/>
      </w:pPr>
      <w:r>
        <w:t>The color of garments aided in</w:t>
      </w:r>
      <w:r w:rsidR="00465D47">
        <w:t xml:space="preserve"> expressions of rank.</w:t>
      </w:r>
      <w:r w:rsidR="006A2D9B">
        <w:t xml:space="preserve"> Early Irish literature </w:t>
      </w:r>
      <w:r w:rsidR="003B625C">
        <w:t xml:space="preserve">ascribed </w:t>
      </w:r>
      <w:r w:rsidR="00340956">
        <w:t xml:space="preserve">dun-colored garments </w:t>
      </w:r>
      <w:r w:rsidR="000E1652">
        <w:t xml:space="preserve">to the lower order. </w:t>
      </w:r>
      <w:r w:rsidR="00FD6BEC">
        <w:rPr>
          <w:i/>
          <w:iCs/>
        </w:rPr>
        <w:t xml:space="preserve">The Vision of Mac Conglinne </w:t>
      </w:r>
      <w:r w:rsidR="00163322">
        <w:t>(</w:t>
      </w:r>
      <w:r w:rsidR="00163322">
        <w:rPr>
          <w:i/>
          <w:iCs/>
        </w:rPr>
        <w:t>Aislinge Meic Con Glinne</w:t>
      </w:r>
      <w:r w:rsidR="00163322">
        <w:t>)</w:t>
      </w:r>
      <w:r w:rsidR="00CB207A">
        <w:t xml:space="preserve">, a twelfth-century </w:t>
      </w:r>
      <w:r w:rsidR="00083D4C">
        <w:t>narrative</w:t>
      </w:r>
      <w:r w:rsidR="00ED0E92">
        <w:t>, associates consumers of “small breads” with a “dun-colored soft cloak</w:t>
      </w:r>
      <w:r w:rsidR="002877B3">
        <w:t>.</w:t>
      </w:r>
      <w:r w:rsidR="00ED0E92">
        <w:t>”</w:t>
      </w:r>
      <w:r w:rsidR="002877B3">
        <w:rPr>
          <w:rStyle w:val="FootnoteReference"/>
        </w:rPr>
        <w:footnoteReference w:id="87"/>
      </w:r>
      <w:r w:rsidR="00153566">
        <w:t xml:space="preserve"> </w:t>
      </w:r>
      <w:r w:rsidR="00FE51C5">
        <w:t xml:space="preserve">A satire from </w:t>
      </w:r>
      <w:r w:rsidR="00C1317F">
        <w:t xml:space="preserve">a century prior </w:t>
      </w:r>
      <w:r w:rsidR="008A295D">
        <w:t xml:space="preserve">wields dun-colored </w:t>
      </w:r>
      <w:r w:rsidR="00974092">
        <w:t>clothing to mock their target: “He is confused: it is no shame. / He has begun to age calmly (and) quickly. / The hands of a thief…, / a sallow ploughman, a dun-coloured tunic.”</w:t>
      </w:r>
      <w:r w:rsidR="00974092">
        <w:rPr>
          <w:rStyle w:val="FootnoteReference"/>
        </w:rPr>
        <w:footnoteReference w:id="88"/>
      </w:r>
      <w:r w:rsidR="00D26786">
        <w:t xml:space="preserve"> </w:t>
      </w:r>
      <w:r w:rsidR="00A7751C">
        <w:t xml:space="preserve">This gray-brown color </w:t>
      </w:r>
      <w:r w:rsidR="00442B89">
        <w:t xml:space="preserve">stood in stark contrast to the </w:t>
      </w:r>
      <w:r w:rsidR="00442B89">
        <w:lastRenderedPageBreak/>
        <w:t xml:space="preserve">two colors attributed to </w:t>
      </w:r>
      <w:r w:rsidR="001F1056">
        <w:t>aristocrat</w:t>
      </w:r>
      <w:r w:rsidR="00F57D02">
        <w:t>s</w:t>
      </w:r>
      <w:r w:rsidR="001F1056">
        <w:t xml:space="preserve"> and kings, red and blue.</w:t>
      </w:r>
      <w:r w:rsidR="00865B8D">
        <w:t xml:space="preserve"> The eight</w:t>
      </w:r>
      <w:r w:rsidR="00F57D02">
        <w:t>h</w:t>
      </w:r>
      <w:r w:rsidR="00865B8D">
        <w:t xml:space="preserve">-century law tract </w:t>
      </w:r>
      <w:r w:rsidR="00C168FA">
        <w:rPr>
          <w:i/>
          <w:iCs/>
        </w:rPr>
        <w:t xml:space="preserve">Law of Fosterage-Fee </w:t>
      </w:r>
      <w:r w:rsidR="00C168FA">
        <w:t>(</w:t>
      </w:r>
      <w:r w:rsidR="00A956DD">
        <w:rPr>
          <w:i/>
          <w:iCs/>
        </w:rPr>
        <w:t>Cáin Íarraith</w:t>
      </w:r>
      <w:r w:rsidR="00C168FA">
        <w:t>)</w:t>
      </w:r>
      <w:r w:rsidR="004F4E2B">
        <w:t xml:space="preserve"> specifies that the sons of kings deserved </w:t>
      </w:r>
      <w:r w:rsidR="00E8442B">
        <w:t>garments</w:t>
      </w:r>
      <w:r w:rsidR="004F4E2B">
        <w:t xml:space="preserve"> of purple</w:t>
      </w:r>
      <w:r w:rsidR="00E8442B">
        <w:t>, blue, or scarlet.</w:t>
      </w:r>
      <w:r w:rsidR="00E8442B">
        <w:rPr>
          <w:rStyle w:val="FootnoteReference"/>
        </w:rPr>
        <w:footnoteReference w:id="89"/>
      </w:r>
      <w:r w:rsidR="00672234">
        <w:t xml:space="preserve"> The children of aristocrats</w:t>
      </w:r>
      <w:r w:rsidR="00F658FC">
        <w:t xml:space="preserve"> received clothes of red, green, or brown</w:t>
      </w:r>
      <w:r w:rsidR="004D4607">
        <w:t xml:space="preserve"> which, combined with the colors of </w:t>
      </w:r>
      <w:r w:rsidR="00C441F0">
        <w:t xml:space="preserve">royalty, comprised the </w:t>
      </w:r>
      <w:r w:rsidR="00124FD0">
        <w:t xml:space="preserve">colors used to describe garments in the </w:t>
      </w:r>
      <w:r w:rsidR="00124FD0">
        <w:rPr>
          <w:i/>
          <w:iCs/>
        </w:rPr>
        <w:t>Cattle-raid of Cualnge</w:t>
      </w:r>
      <w:r w:rsidR="00773166">
        <w:t>, as the status of warriors could “only be determined by the quality and color of their costumes.”</w:t>
      </w:r>
      <w:r w:rsidR="00773166">
        <w:rPr>
          <w:rStyle w:val="FootnoteReference"/>
        </w:rPr>
        <w:footnoteReference w:id="90"/>
      </w:r>
      <w:r w:rsidR="008A3C26">
        <w:t xml:space="preserve"> Clothes and color </w:t>
      </w:r>
      <w:r w:rsidR="005D44C9">
        <w:t xml:space="preserve">served as </w:t>
      </w:r>
      <w:r w:rsidR="008A3C26">
        <w:t>symbols of status</w:t>
      </w:r>
      <w:r w:rsidR="005D44C9">
        <w:t>, a form of short-hand communication that instantly transmitted an individual’s rank</w:t>
      </w:r>
      <w:r w:rsidR="004D6E00">
        <w:t>.</w:t>
      </w:r>
    </w:p>
    <w:p w14:paraId="00B18ED1" w14:textId="18A833C4" w:rsidR="00085127" w:rsidRDefault="004E7ED7" w:rsidP="00C6062B">
      <w:pPr>
        <w:spacing w:after="0" w:line="480" w:lineRule="auto"/>
        <w:ind w:firstLine="720"/>
      </w:pPr>
      <w:r>
        <w:t>In early medieval Irish society</w:t>
      </w:r>
      <w:r w:rsidR="00AB43AE">
        <w:t xml:space="preserve">, </w:t>
      </w:r>
      <w:r w:rsidR="00265B01">
        <w:t xml:space="preserve">expressions of </w:t>
      </w:r>
      <w:r w:rsidR="00AB43AE">
        <w:t>political authority and ranked status</w:t>
      </w:r>
      <w:r w:rsidR="00865393">
        <w:t xml:space="preserve"> </w:t>
      </w:r>
      <w:r w:rsidR="00575027">
        <w:t xml:space="preserve">were separate, though </w:t>
      </w:r>
      <w:r w:rsidR="000B410B">
        <w:t>relate</w:t>
      </w:r>
      <w:r w:rsidR="00972B5F">
        <w:t>d</w:t>
      </w:r>
      <w:r w:rsidR="007D7424">
        <w:t xml:space="preserve">, </w:t>
      </w:r>
      <w:r w:rsidR="00415D24">
        <w:t xml:space="preserve">methods of affirming the hierarchies of society. </w:t>
      </w:r>
      <w:r w:rsidR="009E4803">
        <w:t>Political authority</w:t>
      </w:r>
      <w:r w:rsidR="00294526">
        <w:t xml:space="preserve"> </w:t>
      </w:r>
      <w:r w:rsidR="00E42F05">
        <w:t>manifested in the interactions of clientship</w:t>
      </w:r>
      <w:r w:rsidR="00EA3AE3">
        <w:t>. Honor-price governed the relationship between a lord and client</w:t>
      </w:r>
      <w:r w:rsidR="0016578D">
        <w:t xml:space="preserve">, defining responsibilities and </w:t>
      </w:r>
      <w:r w:rsidR="008A0285">
        <w:t>an individual’s legal capacity</w:t>
      </w:r>
      <w:r w:rsidR="000A025C">
        <w:t xml:space="preserve">. Although the divisions of </w:t>
      </w:r>
      <w:r w:rsidR="00CE2F0B">
        <w:t>society</w:t>
      </w:r>
      <w:r w:rsidR="000A025C">
        <w:t xml:space="preserve"> within the laws of status </w:t>
      </w:r>
      <w:r w:rsidR="00B92F6D">
        <w:t>may be hyperbolic</w:t>
      </w:r>
      <w:r w:rsidR="00453F7F">
        <w:t xml:space="preserve">, </w:t>
      </w:r>
      <w:r w:rsidR="00867F06">
        <w:t>these social categories</w:t>
      </w:r>
      <w:r w:rsidR="00FC1173">
        <w:t xml:space="preserve"> </w:t>
      </w:r>
      <w:r w:rsidR="00B3000E">
        <w:t>possessed</w:t>
      </w:r>
      <w:r w:rsidR="00FC1173">
        <w:t xml:space="preserve"> concrete</w:t>
      </w:r>
      <w:r w:rsidR="00B3000E">
        <w:t xml:space="preserve"> materialization</w:t>
      </w:r>
      <w:r w:rsidR="00FF68FC">
        <w:t xml:space="preserve">, as the number of clients, a person’s honor-price, </w:t>
      </w:r>
      <w:r w:rsidR="001D2E3E">
        <w:t xml:space="preserve">and </w:t>
      </w:r>
      <w:r w:rsidR="00572FAA">
        <w:t xml:space="preserve">rents and dues </w:t>
      </w:r>
      <w:r w:rsidR="00356FB0">
        <w:t xml:space="preserve">were </w:t>
      </w:r>
      <w:r w:rsidR="00693784">
        <w:t xml:space="preserve">comprehensible manifestations </w:t>
      </w:r>
      <w:r w:rsidR="00B42703">
        <w:t>of authority.</w:t>
      </w:r>
      <w:r w:rsidR="006F494F">
        <w:t xml:space="preserve"> </w:t>
      </w:r>
      <w:r w:rsidR="002A3A7C">
        <w:t>Imbalances</w:t>
      </w:r>
      <w:r w:rsidR="00793437">
        <w:t xml:space="preserve"> within the systems of these relationships, in the contracts between low and high order</w:t>
      </w:r>
      <w:r w:rsidR="00981C64">
        <w:t xml:space="preserve">, </w:t>
      </w:r>
      <w:r w:rsidR="00616AFA">
        <w:t xml:space="preserve">set the trend of social mobility downwards, </w:t>
      </w:r>
      <w:r w:rsidR="00DB5682">
        <w:t xml:space="preserve">functioning as </w:t>
      </w:r>
      <w:r w:rsidR="000D05F3">
        <w:t>maintenance</w:t>
      </w:r>
      <w:r w:rsidR="007B592A">
        <w:t xml:space="preserve"> </w:t>
      </w:r>
      <w:r w:rsidR="00DB5682">
        <w:t xml:space="preserve">of </w:t>
      </w:r>
      <w:r w:rsidR="007B592A">
        <w:t xml:space="preserve">class divisions. </w:t>
      </w:r>
      <w:r w:rsidR="000D05F3">
        <w:t xml:space="preserve">These divisions, however, were not always apparent </w:t>
      </w:r>
      <w:r w:rsidR="00D32509">
        <w:t>in the everyday lives of</w:t>
      </w:r>
      <w:r w:rsidR="002034DB">
        <w:t xml:space="preserve"> the</w:t>
      </w:r>
      <w:r w:rsidR="00D32509">
        <w:t xml:space="preserve"> early Irish. </w:t>
      </w:r>
      <w:r w:rsidR="00085127" w:rsidRPr="00085127">
        <w:t xml:space="preserve">Early Ireland’s hierarchical system </w:t>
      </w:r>
      <w:r w:rsidR="000623FA">
        <w:t>refer</w:t>
      </w:r>
      <w:r w:rsidR="00FD739A">
        <w:t>s</w:t>
      </w:r>
      <w:r w:rsidR="000623FA">
        <w:t xml:space="preserve"> to rank </w:t>
      </w:r>
      <w:r w:rsidR="00085127" w:rsidRPr="00085127">
        <w:t>a</w:t>
      </w:r>
      <w:r w:rsidR="007322C3">
        <w:t>s a</w:t>
      </w:r>
      <w:r w:rsidR="00085127" w:rsidRPr="00085127">
        <w:t xml:space="preserve"> “perceived” construct perpetuated through expression</w:t>
      </w:r>
      <w:r w:rsidR="006549B7">
        <w:t>s</w:t>
      </w:r>
      <w:r w:rsidR="00085127" w:rsidRPr="00085127">
        <w:t xml:space="preserve"> of prestige and ritual performance</w:t>
      </w:r>
      <w:r w:rsidR="00F94BF0">
        <w:t xml:space="preserve">. </w:t>
      </w:r>
      <w:r w:rsidR="00D96B6C">
        <w:t xml:space="preserve">Regulations of food diets, </w:t>
      </w:r>
      <w:r w:rsidR="00BD773E">
        <w:t>expectations of duty</w:t>
      </w:r>
      <w:r w:rsidR="00237703">
        <w:t xml:space="preserve">, and appearances in social gatherings </w:t>
      </w:r>
      <w:r w:rsidR="00FF4F14">
        <w:t xml:space="preserve">framed the illusory construct of rank </w:t>
      </w:r>
      <w:r w:rsidR="00B128CA">
        <w:t xml:space="preserve">within the bounds of lived experiences. </w:t>
      </w:r>
    </w:p>
    <w:p w14:paraId="5607A67B" w14:textId="77777777" w:rsidR="00656BE8" w:rsidRDefault="00656BE8" w:rsidP="00656BE8">
      <w:pPr>
        <w:spacing w:after="0" w:line="480" w:lineRule="auto"/>
      </w:pPr>
    </w:p>
    <w:p w14:paraId="1C5B6BD9" w14:textId="133E3F1B" w:rsidR="001C2B76" w:rsidRDefault="001C2B76" w:rsidP="00656BE8">
      <w:pPr>
        <w:spacing w:after="0" w:line="480" w:lineRule="auto"/>
      </w:pPr>
      <w:r>
        <w:lastRenderedPageBreak/>
        <w:t>Appendix A</w:t>
      </w:r>
    </w:p>
    <w:tbl>
      <w:tblPr>
        <w:tblStyle w:val="TableGrid"/>
        <w:tblW w:w="0" w:type="auto"/>
        <w:tblLook w:val="04A0" w:firstRow="1" w:lastRow="0" w:firstColumn="1" w:lastColumn="0" w:noHBand="0" w:noVBand="1"/>
      </w:tblPr>
      <w:tblGrid>
        <w:gridCol w:w="3116"/>
        <w:gridCol w:w="3117"/>
        <w:gridCol w:w="3117"/>
      </w:tblGrid>
      <w:tr w:rsidR="001C2B76" w14:paraId="3DA2B741" w14:textId="77777777" w:rsidTr="00011B95">
        <w:tc>
          <w:tcPr>
            <w:tcW w:w="9350" w:type="dxa"/>
            <w:gridSpan w:val="3"/>
          </w:tcPr>
          <w:p w14:paraId="52A27657" w14:textId="629C8332" w:rsidR="001C2B76" w:rsidRDefault="001C2B76" w:rsidP="001C2B76">
            <w:pPr>
              <w:tabs>
                <w:tab w:val="left" w:pos="3016"/>
              </w:tabs>
              <w:spacing w:line="480" w:lineRule="auto"/>
              <w:jc w:val="center"/>
            </w:pPr>
            <w:r>
              <w:t>Table A1: Commoner Grades in Status-texts from Highest to Lowest</w:t>
            </w:r>
          </w:p>
        </w:tc>
      </w:tr>
      <w:tr w:rsidR="001C2B76" w14:paraId="7FD6B095" w14:textId="77777777" w:rsidTr="001C2B76">
        <w:tc>
          <w:tcPr>
            <w:tcW w:w="3116" w:type="dxa"/>
          </w:tcPr>
          <w:p w14:paraId="265D15AD" w14:textId="19784ECC" w:rsidR="001C2B76" w:rsidRPr="001C2B76" w:rsidRDefault="001C2B76" w:rsidP="001C2B76">
            <w:pPr>
              <w:spacing w:line="480" w:lineRule="auto"/>
              <w:jc w:val="center"/>
              <w:rPr>
                <w:b/>
                <w:bCs/>
              </w:rPr>
            </w:pPr>
            <w:r w:rsidRPr="001C2B76">
              <w:rPr>
                <w:b/>
                <w:bCs/>
                <w:i/>
                <w:iCs/>
              </w:rPr>
              <w:t>Branched Purchase</w:t>
            </w:r>
          </w:p>
        </w:tc>
        <w:tc>
          <w:tcPr>
            <w:tcW w:w="3117" w:type="dxa"/>
          </w:tcPr>
          <w:p w14:paraId="5C155840" w14:textId="0A6C37C5" w:rsidR="001C2B76" w:rsidRPr="001C2B76" w:rsidRDefault="001C2B76" w:rsidP="001C2B76">
            <w:pPr>
              <w:spacing w:line="480" w:lineRule="auto"/>
              <w:jc w:val="center"/>
              <w:rPr>
                <w:b/>
                <w:bCs/>
                <w:i/>
                <w:iCs/>
              </w:rPr>
            </w:pPr>
            <w:r w:rsidRPr="001C2B76">
              <w:rPr>
                <w:b/>
                <w:bCs/>
                <w:i/>
                <w:iCs/>
              </w:rPr>
              <w:t>Little Grammar</w:t>
            </w:r>
          </w:p>
        </w:tc>
        <w:tc>
          <w:tcPr>
            <w:tcW w:w="3117" w:type="dxa"/>
          </w:tcPr>
          <w:p w14:paraId="39E77740" w14:textId="1FE72EAE" w:rsidR="001C2B76" w:rsidRPr="001C2B76" w:rsidRDefault="00305A80" w:rsidP="001C2B76">
            <w:pPr>
              <w:spacing w:line="480" w:lineRule="auto"/>
              <w:jc w:val="center"/>
              <w:rPr>
                <w:b/>
                <w:bCs/>
                <w:i/>
                <w:iCs/>
              </w:rPr>
            </w:pPr>
            <w:r>
              <w:rPr>
                <w:b/>
                <w:bCs/>
                <w:i/>
                <w:iCs/>
              </w:rPr>
              <w:t>Rank Sections</w:t>
            </w:r>
          </w:p>
        </w:tc>
      </w:tr>
      <w:tr w:rsidR="009F1B5D" w14:paraId="7E735C65" w14:textId="77777777" w:rsidTr="001C2B76">
        <w:tc>
          <w:tcPr>
            <w:tcW w:w="3116" w:type="dxa"/>
          </w:tcPr>
          <w:p w14:paraId="6A413844" w14:textId="2BD87EBB" w:rsidR="009F1B5D" w:rsidRPr="00713EC7" w:rsidRDefault="009F1B5D" w:rsidP="009F1B5D">
            <w:pPr>
              <w:jc w:val="center"/>
            </w:pPr>
            <w:r w:rsidRPr="00171CDB">
              <w:rPr>
                <w:i/>
                <w:iCs/>
              </w:rPr>
              <w:t>aire coisring</w:t>
            </w:r>
            <w:r>
              <w:rPr>
                <w:i/>
                <w:iCs/>
              </w:rPr>
              <w:t xml:space="preserve"> </w:t>
            </w:r>
          </w:p>
        </w:tc>
        <w:tc>
          <w:tcPr>
            <w:tcW w:w="3117" w:type="dxa"/>
          </w:tcPr>
          <w:p w14:paraId="63187785" w14:textId="7CCE949C" w:rsidR="009F1B5D" w:rsidRPr="00171CDB" w:rsidRDefault="009F1B5D" w:rsidP="009F1B5D">
            <w:pPr>
              <w:spacing w:line="480" w:lineRule="auto"/>
              <w:jc w:val="center"/>
              <w:rPr>
                <w:i/>
                <w:iCs/>
              </w:rPr>
            </w:pPr>
            <w:r w:rsidRPr="00171CDB">
              <w:rPr>
                <w:i/>
                <w:iCs/>
              </w:rPr>
              <w:t>bóaire túise</w:t>
            </w:r>
          </w:p>
        </w:tc>
        <w:tc>
          <w:tcPr>
            <w:tcW w:w="3117" w:type="dxa"/>
          </w:tcPr>
          <w:p w14:paraId="3CAE1BF5" w14:textId="6C2691FC" w:rsidR="009F1B5D" w:rsidRPr="002D1733" w:rsidRDefault="009F1B5D" w:rsidP="009F1B5D">
            <w:pPr>
              <w:spacing w:line="480" w:lineRule="auto"/>
              <w:jc w:val="center"/>
              <w:rPr>
                <w:i/>
                <w:iCs/>
              </w:rPr>
            </w:pPr>
            <w:r w:rsidRPr="002D1733">
              <w:rPr>
                <w:i/>
                <w:iCs/>
              </w:rPr>
              <w:t>Ógflaithem</w:t>
            </w:r>
          </w:p>
        </w:tc>
      </w:tr>
      <w:tr w:rsidR="009F1B5D" w14:paraId="3E2EC311" w14:textId="77777777" w:rsidTr="001C2B76">
        <w:tc>
          <w:tcPr>
            <w:tcW w:w="3116" w:type="dxa"/>
          </w:tcPr>
          <w:p w14:paraId="2AAC7917" w14:textId="18B680BD" w:rsidR="009F1B5D" w:rsidRPr="00171CDB" w:rsidRDefault="009F1B5D" w:rsidP="009F1B5D">
            <w:pPr>
              <w:jc w:val="center"/>
              <w:rPr>
                <w:i/>
                <w:iCs/>
              </w:rPr>
            </w:pPr>
            <w:r w:rsidRPr="00171CDB">
              <w:rPr>
                <w:i/>
                <w:iCs/>
              </w:rPr>
              <w:t>fer fothlai</w:t>
            </w:r>
          </w:p>
        </w:tc>
        <w:tc>
          <w:tcPr>
            <w:tcW w:w="3117" w:type="dxa"/>
          </w:tcPr>
          <w:p w14:paraId="35AE3E7F" w14:textId="24CAA5D0" w:rsidR="009F1B5D" w:rsidRPr="00171CDB" w:rsidRDefault="009F1B5D" w:rsidP="009F1B5D">
            <w:pPr>
              <w:spacing w:line="480" w:lineRule="auto"/>
              <w:jc w:val="center"/>
              <w:rPr>
                <w:i/>
                <w:iCs/>
              </w:rPr>
            </w:pPr>
            <w:r>
              <w:rPr>
                <w:i/>
                <w:iCs/>
              </w:rPr>
              <w:t>Bóaire túise</w:t>
            </w:r>
          </w:p>
        </w:tc>
        <w:tc>
          <w:tcPr>
            <w:tcW w:w="3117" w:type="dxa"/>
          </w:tcPr>
          <w:p w14:paraId="78A0717D" w14:textId="358E91C7" w:rsidR="009F1B5D" w:rsidRPr="002D1733" w:rsidRDefault="009F1B5D" w:rsidP="009F1B5D">
            <w:pPr>
              <w:spacing w:line="480" w:lineRule="auto"/>
              <w:jc w:val="center"/>
              <w:rPr>
                <w:i/>
                <w:iCs/>
              </w:rPr>
            </w:pPr>
            <w:r>
              <w:rPr>
                <w:i/>
                <w:iCs/>
              </w:rPr>
              <w:t>l</w:t>
            </w:r>
            <w:r w:rsidRPr="002D1733">
              <w:rPr>
                <w:i/>
                <w:iCs/>
              </w:rPr>
              <w:t>ethflaithem</w:t>
            </w:r>
          </w:p>
        </w:tc>
      </w:tr>
      <w:tr w:rsidR="009F1B5D" w14:paraId="6A2B50C5" w14:textId="77777777" w:rsidTr="001C2B76">
        <w:tc>
          <w:tcPr>
            <w:tcW w:w="3116" w:type="dxa"/>
          </w:tcPr>
          <w:p w14:paraId="22FE4A5B" w14:textId="4F2A23C3" w:rsidR="009F1B5D" w:rsidRPr="00171CDB" w:rsidRDefault="009F1B5D" w:rsidP="009F1B5D">
            <w:pPr>
              <w:jc w:val="center"/>
              <w:rPr>
                <w:i/>
                <w:iCs/>
              </w:rPr>
            </w:pPr>
            <w:r w:rsidRPr="00171CDB">
              <w:rPr>
                <w:i/>
                <w:iCs/>
              </w:rPr>
              <w:t>mruigfer</w:t>
            </w:r>
          </w:p>
        </w:tc>
        <w:tc>
          <w:tcPr>
            <w:tcW w:w="3117" w:type="dxa"/>
          </w:tcPr>
          <w:p w14:paraId="10773D1C" w14:textId="2843D724" w:rsidR="009F1B5D" w:rsidRPr="00171CDB" w:rsidRDefault="009F1B5D" w:rsidP="009F1B5D">
            <w:pPr>
              <w:spacing w:line="480" w:lineRule="auto"/>
              <w:jc w:val="center"/>
              <w:rPr>
                <w:i/>
                <w:iCs/>
              </w:rPr>
            </w:pPr>
            <w:r w:rsidRPr="00171CDB">
              <w:rPr>
                <w:i/>
                <w:iCs/>
              </w:rPr>
              <w:t>bóaire tanaise</w:t>
            </w:r>
          </w:p>
        </w:tc>
        <w:tc>
          <w:tcPr>
            <w:tcW w:w="3117" w:type="dxa"/>
          </w:tcPr>
          <w:p w14:paraId="4970098D" w14:textId="48236C8C" w:rsidR="009F1B5D" w:rsidRPr="002D1733" w:rsidRDefault="009F1B5D" w:rsidP="009F1B5D">
            <w:pPr>
              <w:spacing w:line="480" w:lineRule="auto"/>
              <w:jc w:val="center"/>
              <w:rPr>
                <w:i/>
                <w:iCs/>
              </w:rPr>
            </w:pPr>
            <w:r>
              <w:rPr>
                <w:i/>
                <w:iCs/>
              </w:rPr>
              <w:t>f</w:t>
            </w:r>
            <w:r w:rsidRPr="002D1733">
              <w:rPr>
                <w:i/>
                <w:iCs/>
              </w:rPr>
              <w:t>laithem</w:t>
            </w:r>
          </w:p>
        </w:tc>
      </w:tr>
      <w:tr w:rsidR="009F1B5D" w14:paraId="0485A70D" w14:textId="77777777" w:rsidTr="001C2B76">
        <w:tc>
          <w:tcPr>
            <w:tcW w:w="3116" w:type="dxa"/>
          </w:tcPr>
          <w:p w14:paraId="1AC67AA6" w14:textId="1FE193F4" w:rsidR="009F1B5D" w:rsidRPr="00171CDB" w:rsidRDefault="009F1B5D" w:rsidP="009F1B5D">
            <w:pPr>
              <w:jc w:val="center"/>
              <w:rPr>
                <w:i/>
                <w:iCs/>
              </w:rPr>
            </w:pPr>
            <w:r w:rsidRPr="00171CDB">
              <w:rPr>
                <w:i/>
                <w:iCs/>
              </w:rPr>
              <w:t>bóaire febsa</w:t>
            </w:r>
          </w:p>
        </w:tc>
        <w:tc>
          <w:tcPr>
            <w:tcW w:w="3117" w:type="dxa"/>
          </w:tcPr>
          <w:p w14:paraId="4B5BE70E" w14:textId="4DA1417D" w:rsidR="009F1B5D" w:rsidRPr="00171CDB" w:rsidRDefault="009F1B5D" w:rsidP="009F1B5D">
            <w:pPr>
              <w:spacing w:line="480" w:lineRule="auto"/>
              <w:jc w:val="center"/>
              <w:rPr>
                <w:i/>
                <w:iCs/>
              </w:rPr>
            </w:pPr>
            <w:r w:rsidRPr="00171CDB">
              <w:rPr>
                <w:i/>
                <w:iCs/>
              </w:rPr>
              <w:t>mruigfer</w:t>
            </w:r>
          </w:p>
        </w:tc>
        <w:tc>
          <w:tcPr>
            <w:tcW w:w="3117" w:type="dxa"/>
          </w:tcPr>
          <w:p w14:paraId="1FBBD922" w14:textId="595041E4" w:rsidR="009F1B5D" w:rsidRPr="002D1733" w:rsidRDefault="009F1B5D" w:rsidP="009F1B5D">
            <w:pPr>
              <w:spacing w:line="480" w:lineRule="auto"/>
              <w:jc w:val="center"/>
              <w:rPr>
                <w:i/>
                <w:iCs/>
              </w:rPr>
            </w:pPr>
            <w:r>
              <w:rPr>
                <w:i/>
                <w:iCs/>
              </w:rPr>
              <w:t>b</w:t>
            </w:r>
            <w:r w:rsidRPr="002D1733">
              <w:rPr>
                <w:i/>
                <w:iCs/>
              </w:rPr>
              <w:t>óaire tanaisel</w:t>
            </w:r>
          </w:p>
        </w:tc>
      </w:tr>
      <w:tr w:rsidR="009F1B5D" w14:paraId="1FC7BB7B" w14:textId="77777777" w:rsidTr="001C2B76">
        <w:tc>
          <w:tcPr>
            <w:tcW w:w="3116" w:type="dxa"/>
          </w:tcPr>
          <w:p w14:paraId="16664BF5" w14:textId="75890549" w:rsidR="009F1B5D" w:rsidRPr="00171CDB" w:rsidRDefault="009F1B5D" w:rsidP="009F1B5D">
            <w:pPr>
              <w:jc w:val="center"/>
              <w:rPr>
                <w:i/>
                <w:iCs/>
              </w:rPr>
            </w:pPr>
            <w:r w:rsidRPr="00171CDB">
              <w:rPr>
                <w:i/>
                <w:iCs/>
              </w:rPr>
              <w:t>aithech ara threba a deich</w:t>
            </w:r>
          </w:p>
        </w:tc>
        <w:tc>
          <w:tcPr>
            <w:tcW w:w="3117" w:type="dxa"/>
          </w:tcPr>
          <w:p w14:paraId="6D7CAC40" w14:textId="3FAF1564" w:rsidR="009F1B5D" w:rsidRPr="00171CDB" w:rsidRDefault="008873F6" w:rsidP="009F1B5D">
            <w:pPr>
              <w:spacing w:line="480" w:lineRule="auto"/>
              <w:jc w:val="center"/>
              <w:rPr>
                <w:i/>
                <w:iCs/>
              </w:rPr>
            </w:pPr>
            <w:r>
              <w:rPr>
                <w:i/>
                <w:iCs/>
              </w:rPr>
              <w:t>f</w:t>
            </w:r>
            <w:r w:rsidR="009F1B5D" w:rsidRPr="00171CDB">
              <w:rPr>
                <w:i/>
                <w:iCs/>
              </w:rPr>
              <w:t>er midboth</w:t>
            </w:r>
          </w:p>
        </w:tc>
        <w:tc>
          <w:tcPr>
            <w:tcW w:w="3117" w:type="dxa"/>
          </w:tcPr>
          <w:p w14:paraId="62E90092" w14:textId="5482726A" w:rsidR="009F1B5D" w:rsidRPr="002D1733" w:rsidRDefault="009F1B5D" w:rsidP="009F1B5D">
            <w:pPr>
              <w:spacing w:line="480" w:lineRule="auto"/>
              <w:jc w:val="center"/>
              <w:rPr>
                <w:i/>
                <w:iCs/>
              </w:rPr>
            </w:pPr>
            <w:r>
              <w:rPr>
                <w:i/>
                <w:iCs/>
              </w:rPr>
              <w:t>b</w:t>
            </w:r>
            <w:r w:rsidRPr="002D1733">
              <w:rPr>
                <w:i/>
                <w:iCs/>
              </w:rPr>
              <w:t>óaire túisel</w:t>
            </w:r>
          </w:p>
        </w:tc>
      </w:tr>
      <w:tr w:rsidR="009F1B5D" w14:paraId="083B2258" w14:textId="77777777" w:rsidTr="001C2B76">
        <w:tc>
          <w:tcPr>
            <w:tcW w:w="3116" w:type="dxa"/>
          </w:tcPr>
          <w:p w14:paraId="4C701A60" w14:textId="3E839215" w:rsidR="009F1B5D" w:rsidRPr="00171CDB" w:rsidRDefault="009F1B5D" w:rsidP="009F1B5D">
            <w:pPr>
              <w:jc w:val="center"/>
              <w:rPr>
                <w:i/>
                <w:iCs/>
              </w:rPr>
            </w:pPr>
            <w:r w:rsidRPr="00171CDB">
              <w:rPr>
                <w:i/>
                <w:iCs/>
              </w:rPr>
              <w:t>ócaire</w:t>
            </w:r>
          </w:p>
        </w:tc>
        <w:tc>
          <w:tcPr>
            <w:tcW w:w="3117" w:type="dxa"/>
          </w:tcPr>
          <w:p w14:paraId="03B0B3AA" w14:textId="2890CD08" w:rsidR="009F1B5D" w:rsidRPr="00171CDB" w:rsidRDefault="009F1B5D" w:rsidP="009F1B5D">
            <w:pPr>
              <w:spacing w:line="480" w:lineRule="auto"/>
              <w:jc w:val="center"/>
              <w:rPr>
                <w:i/>
                <w:iCs/>
              </w:rPr>
            </w:pPr>
            <w:r w:rsidRPr="00171CDB">
              <w:rPr>
                <w:i/>
                <w:iCs/>
              </w:rPr>
              <w:t>gairid</w:t>
            </w:r>
          </w:p>
        </w:tc>
        <w:tc>
          <w:tcPr>
            <w:tcW w:w="3117" w:type="dxa"/>
          </w:tcPr>
          <w:p w14:paraId="2CE92B9E" w14:textId="6F07F600" w:rsidR="009F1B5D" w:rsidRPr="002D1733" w:rsidRDefault="009F1B5D" w:rsidP="009F1B5D">
            <w:pPr>
              <w:spacing w:line="480" w:lineRule="auto"/>
              <w:jc w:val="center"/>
              <w:rPr>
                <w:i/>
                <w:iCs/>
              </w:rPr>
            </w:pPr>
            <w:r>
              <w:rPr>
                <w:i/>
                <w:iCs/>
              </w:rPr>
              <w:t>t</w:t>
            </w:r>
            <w:r w:rsidRPr="002D1733">
              <w:rPr>
                <w:i/>
                <w:iCs/>
              </w:rPr>
              <w:t>ánaise bóaire</w:t>
            </w:r>
          </w:p>
        </w:tc>
      </w:tr>
      <w:tr w:rsidR="009F1B5D" w14:paraId="0845AF43" w14:textId="77777777" w:rsidTr="001C2B76">
        <w:tc>
          <w:tcPr>
            <w:tcW w:w="3116" w:type="dxa"/>
          </w:tcPr>
          <w:p w14:paraId="72D82C44" w14:textId="77777777" w:rsidR="009F1B5D" w:rsidRDefault="009F1B5D" w:rsidP="009F1B5D">
            <w:pPr>
              <w:jc w:val="center"/>
              <w:rPr>
                <w:i/>
                <w:iCs/>
              </w:rPr>
            </w:pPr>
            <w:r>
              <w:t xml:space="preserve">first </w:t>
            </w:r>
            <w:r w:rsidRPr="00171CDB">
              <w:rPr>
                <w:i/>
                <w:iCs/>
              </w:rPr>
              <w:t>fer midboth</w:t>
            </w:r>
          </w:p>
          <w:p w14:paraId="04A41163" w14:textId="1983BB78" w:rsidR="009F1B5D" w:rsidRPr="0068475E" w:rsidRDefault="009F1B5D" w:rsidP="009F1B5D">
            <w:pPr>
              <w:jc w:val="center"/>
            </w:pPr>
            <w:r>
              <w:t xml:space="preserve">second </w:t>
            </w:r>
            <w:r>
              <w:rPr>
                <w:i/>
                <w:iCs/>
              </w:rPr>
              <w:t>fer midboth</w:t>
            </w:r>
          </w:p>
        </w:tc>
        <w:tc>
          <w:tcPr>
            <w:tcW w:w="3117" w:type="dxa"/>
          </w:tcPr>
          <w:p w14:paraId="253BBF95" w14:textId="56167316" w:rsidR="009F1B5D" w:rsidRPr="00171CDB" w:rsidRDefault="009F1B5D" w:rsidP="009F1B5D">
            <w:pPr>
              <w:spacing w:line="480" w:lineRule="auto"/>
              <w:jc w:val="center"/>
              <w:rPr>
                <w:i/>
                <w:iCs/>
              </w:rPr>
            </w:pPr>
            <w:r w:rsidRPr="00171CDB">
              <w:rPr>
                <w:i/>
                <w:iCs/>
              </w:rPr>
              <w:t>flescach</w:t>
            </w:r>
          </w:p>
        </w:tc>
        <w:tc>
          <w:tcPr>
            <w:tcW w:w="3117" w:type="dxa"/>
          </w:tcPr>
          <w:p w14:paraId="00318EF3" w14:textId="1F5C8143" w:rsidR="009F1B5D" w:rsidRPr="002D1733" w:rsidRDefault="009F1B5D" w:rsidP="009F1B5D">
            <w:pPr>
              <w:spacing w:line="480" w:lineRule="auto"/>
              <w:jc w:val="center"/>
              <w:rPr>
                <w:i/>
                <w:iCs/>
              </w:rPr>
            </w:pPr>
            <w:r w:rsidRPr="002D1733">
              <w:rPr>
                <w:i/>
                <w:iCs/>
              </w:rPr>
              <w:t>úaithne</w:t>
            </w:r>
          </w:p>
        </w:tc>
      </w:tr>
      <w:tr w:rsidR="009F1B5D" w14:paraId="2C00134E" w14:textId="77777777" w:rsidTr="001C2B76">
        <w:tc>
          <w:tcPr>
            <w:tcW w:w="3116" w:type="dxa"/>
          </w:tcPr>
          <w:p w14:paraId="1CACA6A6" w14:textId="77777777" w:rsidR="009F1B5D" w:rsidRDefault="009F1B5D" w:rsidP="009F1B5D">
            <w:pPr>
              <w:jc w:val="center"/>
            </w:pPr>
          </w:p>
        </w:tc>
        <w:tc>
          <w:tcPr>
            <w:tcW w:w="3117" w:type="dxa"/>
          </w:tcPr>
          <w:p w14:paraId="2681EDD9" w14:textId="364A0243" w:rsidR="009F1B5D" w:rsidRPr="00171CDB" w:rsidRDefault="009F1B5D" w:rsidP="009F1B5D">
            <w:pPr>
              <w:spacing w:line="480" w:lineRule="auto"/>
              <w:jc w:val="center"/>
              <w:rPr>
                <w:i/>
                <w:iCs/>
              </w:rPr>
            </w:pPr>
            <w:r w:rsidRPr="00171CDB">
              <w:rPr>
                <w:i/>
                <w:iCs/>
              </w:rPr>
              <w:t>inol</w:t>
            </w:r>
          </w:p>
        </w:tc>
        <w:tc>
          <w:tcPr>
            <w:tcW w:w="3117" w:type="dxa"/>
          </w:tcPr>
          <w:p w14:paraId="618E5281" w14:textId="074B6933" w:rsidR="009F1B5D" w:rsidRPr="002D1733" w:rsidRDefault="009F1B5D" w:rsidP="009F1B5D">
            <w:pPr>
              <w:spacing w:line="480" w:lineRule="auto"/>
              <w:jc w:val="center"/>
              <w:rPr>
                <w:i/>
                <w:iCs/>
              </w:rPr>
            </w:pPr>
            <w:r w:rsidRPr="002D1733">
              <w:rPr>
                <w:i/>
                <w:iCs/>
              </w:rPr>
              <w:t>seirthid</w:t>
            </w:r>
          </w:p>
        </w:tc>
      </w:tr>
    </w:tbl>
    <w:p w14:paraId="287F4249" w14:textId="6FD7D235" w:rsidR="00E63DC5" w:rsidRDefault="00E63DC5" w:rsidP="0035346F">
      <w:pPr>
        <w:spacing w:after="0" w:line="480" w:lineRule="auto"/>
      </w:pPr>
    </w:p>
    <w:p w14:paraId="45A84113" w14:textId="77777777" w:rsidR="00E63DC5" w:rsidRDefault="00E63DC5">
      <w:r>
        <w:br w:type="page"/>
      </w:r>
    </w:p>
    <w:p w14:paraId="6939B811" w14:textId="7976880E" w:rsidR="00E63DC5" w:rsidRPr="00E63DC5" w:rsidRDefault="00E63DC5" w:rsidP="00E63DC5">
      <w:pPr>
        <w:spacing w:after="0" w:line="480" w:lineRule="auto"/>
      </w:pPr>
      <w:r w:rsidRPr="00E63DC5">
        <w:lastRenderedPageBreak/>
        <w:t xml:space="preserve">Appendix </w:t>
      </w:r>
      <w:r>
        <w:t>B</w:t>
      </w:r>
    </w:p>
    <w:tbl>
      <w:tblPr>
        <w:tblStyle w:val="TableGrid"/>
        <w:tblW w:w="0" w:type="auto"/>
        <w:tblLook w:val="04A0" w:firstRow="1" w:lastRow="0" w:firstColumn="1" w:lastColumn="0" w:noHBand="0" w:noVBand="1"/>
      </w:tblPr>
      <w:tblGrid>
        <w:gridCol w:w="3116"/>
        <w:gridCol w:w="3117"/>
        <w:gridCol w:w="3117"/>
      </w:tblGrid>
      <w:tr w:rsidR="00F15C65" w:rsidRPr="00F15C65" w14:paraId="2471371F" w14:textId="77777777" w:rsidTr="002C2B99">
        <w:tc>
          <w:tcPr>
            <w:tcW w:w="9350" w:type="dxa"/>
            <w:gridSpan w:val="3"/>
          </w:tcPr>
          <w:p w14:paraId="5DE7E60C" w14:textId="3E8F2793" w:rsidR="00F15C65" w:rsidRPr="00F15C65" w:rsidRDefault="00F15C65" w:rsidP="00F15C65">
            <w:pPr>
              <w:spacing w:line="480" w:lineRule="auto"/>
            </w:pPr>
            <w:r w:rsidRPr="00F15C65">
              <w:t xml:space="preserve">Table </w:t>
            </w:r>
            <w:r>
              <w:t>B1</w:t>
            </w:r>
            <w:r w:rsidRPr="00F15C65">
              <w:t xml:space="preserve">: </w:t>
            </w:r>
            <w:r>
              <w:t>Aristocratic</w:t>
            </w:r>
            <w:r w:rsidRPr="00F15C65">
              <w:t xml:space="preserve"> Grades in Status-texts from Highest to Lowest</w:t>
            </w:r>
          </w:p>
        </w:tc>
      </w:tr>
      <w:tr w:rsidR="00F15C65" w:rsidRPr="00F15C65" w14:paraId="572140B9" w14:textId="77777777" w:rsidTr="002C2B99">
        <w:tc>
          <w:tcPr>
            <w:tcW w:w="3116" w:type="dxa"/>
          </w:tcPr>
          <w:p w14:paraId="265C7528" w14:textId="77777777" w:rsidR="00F15C65" w:rsidRPr="00F15C65" w:rsidRDefault="00F15C65" w:rsidP="00F15C65">
            <w:pPr>
              <w:spacing w:line="480" w:lineRule="auto"/>
              <w:rPr>
                <w:b/>
                <w:bCs/>
              </w:rPr>
            </w:pPr>
            <w:r w:rsidRPr="00F15C65">
              <w:rPr>
                <w:b/>
                <w:bCs/>
                <w:i/>
                <w:iCs/>
              </w:rPr>
              <w:t>Branched Purchase</w:t>
            </w:r>
          </w:p>
        </w:tc>
        <w:tc>
          <w:tcPr>
            <w:tcW w:w="3117" w:type="dxa"/>
          </w:tcPr>
          <w:p w14:paraId="440751A7" w14:textId="77777777" w:rsidR="00F15C65" w:rsidRPr="00F15C65" w:rsidRDefault="00F15C65" w:rsidP="00F15C65">
            <w:pPr>
              <w:spacing w:line="480" w:lineRule="auto"/>
              <w:rPr>
                <w:b/>
                <w:bCs/>
                <w:i/>
                <w:iCs/>
              </w:rPr>
            </w:pPr>
            <w:r w:rsidRPr="00F15C65">
              <w:rPr>
                <w:b/>
                <w:bCs/>
                <w:i/>
                <w:iCs/>
              </w:rPr>
              <w:t>Little Grammar</w:t>
            </w:r>
          </w:p>
        </w:tc>
        <w:tc>
          <w:tcPr>
            <w:tcW w:w="3117" w:type="dxa"/>
          </w:tcPr>
          <w:p w14:paraId="67D45081" w14:textId="77777777" w:rsidR="00F15C65" w:rsidRPr="00F15C65" w:rsidRDefault="00F15C65" w:rsidP="00F15C65">
            <w:pPr>
              <w:spacing w:line="480" w:lineRule="auto"/>
              <w:rPr>
                <w:b/>
                <w:bCs/>
                <w:i/>
                <w:iCs/>
              </w:rPr>
            </w:pPr>
            <w:r w:rsidRPr="00F15C65">
              <w:rPr>
                <w:b/>
                <w:bCs/>
                <w:i/>
                <w:iCs/>
              </w:rPr>
              <w:t>Rank Sections</w:t>
            </w:r>
          </w:p>
        </w:tc>
      </w:tr>
      <w:tr w:rsidR="00CD3559" w:rsidRPr="00F15C65" w14:paraId="6629A29D" w14:textId="77777777" w:rsidTr="002C2B99">
        <w:tc>
          <w:tcPr>
            <w:tcW w:w="3116" w:type="dxa"/>
          </w:tcPr>
          <w:p w14:paraId="31BCED92" w14:textId="7336195C" w:rsidR="00CD3559" w:rsidRPr="00F15C65" w:rsidRDefault="00CD3559" w:rsidP="00CD3559">
            <w:pPr>
              <w:spacing w:line="480" w:lineRule="auto"/>
            </w:pPr>
            <w:r>
              <w:rPr>
                <w:i/>
                <w:iCs/>
              </w:rPr>
              <w:t>Rí bunaid cech cinn</w:t>
            </w:r>
          </w:p>
        </w:tc>
        <w:tc>
          <w:tcPr>
            <w:tcW w:w="3117" w:type="dxa"/>
          </w:tcPr>
          <w:p w14:paraId="37F2D740" w14:textId="1F5B8570" w:rsidR="00CD3559" w:rsidRPr="00F15C65" w:rsidRDefault="00727D88" w:rsidP="00CD3559">
            <w:pPr>
              <w:spacing w:line="480" w:lineRule="auto"/>
              <w:rPr>
                <w:i/>
                <w:iCs/>
              </w:rPr>
            </w:pPr>
            <w:r>
              <w:rPr>
                <w:i/>
                <w:iCs/>
              </w:rPr>
              <w:t>Ollam úas rígaib</w:t>
            </w:r>
          </w:p>
        </w:tc>
        <w:tc>
          <w:tcPr>
            <w:tcW w:w="3117" w:type="dxa"/>
          </w:tcPr>
          <w:p w14:paraId="7A388A96" w14:textId="7AD964B7" w:rsidR="00CD3559" w:rsidRPr="00F15C65" w:rsidRDefault="00CD3559" w:rsidP="00CD3559">
            <w:pPr>
              <w:spacing w:line="480" w:lineRule="auto"/>
              <w:rPr>
                <w:i/>
                <w:iCs/>
              </w:rPr>
            </w:pPr>
            <w:r>
              <w:rPr>
                <w:i/>
                <w:iCs/>
              </w:rPr>
              <w:t>Tríath</w:t>
            </w:r>
          </w:p>
        </w:tc>
      </w:tr>
      <w:tr w:rsidR="00CD3559" w:rsidRPr="00F15C65" w14:paraId="77D3F092" w14:textId="77777777" w:rsidTr="002C2B99">
        <w:tc>
          <w:tcPr>
            <w:tcW w:w="3116" w:type="dxa"/>
          </w:tcPr>
          <w:p w14:paraId="66504044" w14:textId="7BD24437" w:rsidR="00CD3559" w:rsidRPr="00F15C65" w:rsidRDefault="00CD3559" w:rsidP="00CD3559">
            <w:pPr>
              <w:spacing w:line="480" w:lineRule="auto"/>
              <w:rPr>
                <w:i/>
                <w:iCs/>
              </w:rPr>
            </w:pPr>
            <w:r>
              <w:rPr>
                <w:i/>
                <w:iCs/>
              </w:rPr>
              <w:t>Rí buiden</w:t>
            </w:r>
          </w:p>
        </w:tc>
        <w:tc>
          <w:tcPr>
            <w:tcW w:w="3117" w:type="dxa"/>
          </w:tcPr>
          <w:p w14:paraId="2FBE6BBD" w14:textId="3A383F7D" w:rsidR="00CD3559" w:rsidRPr="00F15C65" w:rsidRDefault="00727D88" w:rsidP="00CD3559">
            <w:pPr>
              <w:spacing w:line="480" w:lineRule="auto"/>
              <w:rPr>
                <w:i/>
                <w:iCs/>
              </w:rPr>
            </w:pPr>
            <w:r>
              <w:rPr>
                <w:i/>
                <w:iCs/>
              </w:rPr>
              <w:t>Rí ruirech</w:t>
            </w:r>
          </w:p>
        </w:tc>
        <w:tc>
          <w:tcPr>
            <w:tcW w:w="3117" w:type="dxa"/>
          </w:tcPr>
          <w:p w14:paraId="3737EEE1" w14:textId="5DF15818" w:rsidR="00CD3559" w:rsidRPr="00F15C65" w:rsidRDefault="00CD3559" w:rsidP="00CD3559">
            <w:pPr>
              <w:spacing w:line="480" w:lineRule="auto"/>
              <w:rPr>
                <w:i/>
                <w:iCs/>
              </w:rPr>
            </w:pPr>
            <w:r>
              <w:rPr>
                <w:i/>
                <w:iCs/>
              </w:rPr>
              <w:t>Rí ríg</w:t>
            </w:r>
          </w:p>
        </w:tc>
      </w:tr>
      <w:tr w:rsidR="00CD3559" w:rsidRPr="00F15C65" w14:paraId="5B5F2E22" w14:textId="77777777" w:rsidTr="002C2B99">
        <w:tc>
          <w:tcPr>
            <w:tcW w:w="3116" w:type="dxa"/>
          </w:tcPr>
          <w:p w14:paraId="18C11225" w14:textId="47A159F6" w:rsidR="00CD3559" w:rsidRPr="00F15C65" w:rsidRDefault="00CD3559" w:rsidP="00CD3559">
            <w:pPr>
              <w:spacing w:line="480" w:lineRule="auto"/>
              <w:rPr>
                <w:i/>
                <w:iCs/>
              </w:rPr>
            </w:pPr>
            <w:r>
              <w:rPr>
                <w:i/>
                <w:iCs/>
              </w:rPr>
              <w:t>Rí benn</w:t>
            </w:r>
          </w:p>
        </w:tc>
        <w:tc>
          <w:tcPr>
            <w:tcW w:w="3117" w:type="dxa"/>
          </w:tcPr>
          <w:p w14:paraId="41E1C7B8" w14:textId="71BD6B12" w:rsidR="00CD3559" w:rsidRPr="00F15C65" w:rsidRDefault="00727D88" w:rsidP="00CD3559">
            <w:pPr>
              <w:spacing w:line="480" w:lineRule="auto"/>
              <w:rPr>
                <w:i/>
                <w:iCs/>
              </w:rPr>
            </w:pPr>
            <w:r>
              <w:rPr>
                <w:i/>
                <w:iCs/>
              </w:rPr>
              <w:t>Rí oentúaithe</w:t>
            </w:r>
          </w:p>
        </w:tc>
        <w:tc>
          <w:tcPr>
            <w:tcW w:w="3117" w:type="dxa"/>
          </w:tcPr>
          <w:p w14:paraId="0DB7B31E" w14:textId="42CFE2BA" w:rsidR="00CD3559" w:rsidRPr="00F15C65" w:rsidRDefault="00CD3559" w:rsidP="00CD3559">
            <w:pPr>
              <w:spacing w:line="480" w:lineRule="auto"/>
              <w:rPr>
                <w:i/>
                <w:iCs/>
              </w:rPr>
            </w:pPr>
            <w:r>
              <w:rPr>
                <w:i/>
                <w:iCs/>
              </w:rPr>
              <w:t>Rí túaithe</w:t>
            </w:r>
          </w:p>
        </w:tc>
      </w:tr>
      <w:tr w:rsidR="00CD3559" w:rsidRPr="00F15C65" w14:paraId="02EC74AC" w14:textId="77777777" w:rsidTr="002C2B99">
        <w:tc>
          <w:tcPr>
            <w:tcW w:w="3116" w:type="dxa"/>
          </w:tcPr>
          <w:p w14:paraId="6D79BCF1" w14:textId="2116BA67" w:rsidR="00CD3559" w:rsidRPr="00F15C65" w:rsidRDefault="00CD3559" w:rsidP="00CD3559">
            <w:pPr>
              <w:spacing w:line="480" w:lineRule="auto"/>
              <w:rPr>
                <w:i/>
                <w:iCs/>
              </w:rPr>
            </w:pPr>
            <w:r>
              <w:rPr>
                <w:i/>
                <w:iCs/>
              </w:rPr>
              <w:t>Tánaise ríg</w:t>
            </w:r>
          </w:p>
        </w:tc>
        <w:tc>
          <w:tcPr>
            <w:tcW w:w="3117" w:type="dxa"/>
          </w:tcPr>
          <w:p w14:paraId="72526DA6" w14:textId="05DDEE83" w:rsidR="00CD3559" w:rsidRPr="00F15C65" w:rsidRDefault="00727D88" w:rsidP="00CD3559">
            <w:pPr>
              <w:spacing w:line="480" w:lineRule="auto"/>
              <w:rPr>
                <w:i/>
                <w:iCs/>
              </w:rPr>
            </w:pPr>
            <w:r>
              <w:rPr>
                <w:i/>
                <w:iCs/>
              </w:rPr>
              <w:t>Aire forgaill</w:t>
            </w:r>
          </w:p>
        </w:tc>
        <w:tc>
          <w:tcPr>
            <w:tcW w:w="3117" w:type="dxa"/>
          </w:tcPr>
          <w:p w14:paraId="5F455C22" w14:textId="762433B5" w:rsidR="00CD3559" w:rsidRPr="00F15C65" w:rsidRDefault="00CD3559" w:rsidP="00CD3559">
            <w:pPr>
              <w:spacing w:line="480" w:lineRule="auto"/>
              <w:rPr>
                <w:i/>
                <w:iCs/>
              </w:rPr>
            </w:pPr>
            <w:r>
              <w:rPr>
                <w:i/>
                <w:iCs/>
              </w:rPr>
              <w:t>Aire ard</w:t>
            </w:r>
          </w:p>
        </w:tc>
      </w:tr>
      <w:tr w:rsidR="00CD3559" w:rsidRPr="00F15C65" w14:paraId="5BC1C6B2" w14:textId="77777777" w:rsidTr="002C2B99">
        <w:tc>
          <w:tcPr>
            <w:tcW w:w="3116" w:type="dxa"/>
          </w:tcPr>
          <w:p w14:paraId="4444A8AD" w14:textId="2AEDD7BC" w:rsidR="00CD3559" w:rsidRPr="00F15C65" w:rsidRDefault="00CD3559" w:rsidP="00CD3559">
            <w:pPr>
              <w:spacing w:line="480" w:lineRule="auto"/>
              <w:rPr>
                <w:i/>
                <w:iCs/>
              </w:rPr>
            </w:pPr>
            <w:r>
              <w:rPr>
                <w:i/>
                <w:iCs/>
              </w:rPr>
              <w:t>Aire forgaill</w:t>
            </w:r>
          </w:p>
        </w:tc>
        <w:tc>
          <w:tcPr>
            <w:tcW w:w="3117" w:type="dxa"/>
          </w:tcPr>
          <w:p w14:paraId="1907C58D" w14:textId="529094AD" w:rsidR="00CD3559" w:rsidRPr="00F15C65" w:rsidRDefault="00727D88" w:rsidP="00CD3559">
            <w:pPr>
              <w:spacing w:line="480" w:lineRule="auto"/>
              <w:rPr>
                <w:i/>
                <w:iCs/>
              </w:rPr>
            </w:pPr>
            <w:r>
              <w:rPr>
                <w:i/>
                <w:iCs/>
              </w:rPr>
              <w:t>Aire ard</w:t>
            </w:r>
          </w:p>
        </w:tc>
        <w:tc>
          <w:tcPr>
            <w:tcW w:w="3117" w:type="dxa"/>
          </w:tcPr>
          <w:p w14:paraId="5A326E64" w14:textId="74D3BFDC" w:rsidR="00CD3559" w:rsidRPr="00F15C65" w:rsidRDefault="00CD3559" w:rsidP="00CD3559">
            <w:pPr>
              <w:spacing w:line="480" w:lineRule="auto"/>
              <w:rPr>
                <w:i/>
                <w:iCs/>
              </w:rPr>
            </w:pPr>
            <w:r>
              <w:rPr>
                <w:i/>
                <w:iCs/>
              </w:rPr>
              <w:t>Aire túise</w:t>
            </w:r>
          </w:p>
        </w:tc>
      </w:tr>
      <w:tr w:rsidR="00CD3559" w:rsidRPr="00F15C65" w14:paraId="41B3E0DE" w14:textId="77777777" w:rsidTr="002C2B99">
        <w:tc>
          <w:tcPr>
            <w:tcW w:w="3116" w:type="dxa"/>
          </w:tcPr>
          <w:p w14:paraId="33F088BC" w14:textId="420333AB" w:rsidR="00CD3559" w:rsidRPr="00F15C65" w:rsidRDefault="00CD3559" w:rsidP="00CD3559">
            <w:pPr>
              <w:spacing w:line="480" w:lineRule="auto"/>
              <w:rPr>
                <w:i/>
                <w:iCs/>
              </w:rPr>
            </w:pPr>
            <w:r>
              <w:rPr>
                <w:i/>
                <w:iCs/>
              </w:rPr>
              <w:t>Aire túise</w:t>
            </w:r>
          </w:p>
        </w:tc>
        <w:tc>
          <w:tcPr>
            <w:tcW w:w="3117" w:type="dxa"/>
          </w:tcPr>
          <w:p w14:paraId="2DBA679E" w14:textId="560CF823" w:rsidR="00CD3559" w:rsidRPr="00F15C65" w:rsidRDefault="00727D88" w:rsidP="00CD3559">
            <w:pPr>
              <w:spacing w:line="480" w:lineRule="auto"/>
              <w:rPr>
                <w:i/>
                <w:iCs/>
              </w:rPr>
            </w:pPr>
            <w:r>
              <w:rPr>
                <w:i/>
                <w:iCs/>
              </w:rPr>
              <w:t>Aire túise</w:t>
            </w:r>
          </w:p>
        </w:tc>
        <w:tc>
          <w:tcPr>
            <w:tcW w:w="3117" w:type="dxa"/>
          </w:tcPr>
          <w:p w14:paraId="6325F1A3" w14:textId="7DA36EE1" w:rsidR="00CD3559" w:rsidRPr="00F15C65" w:rsidRDefault="00CD3559" w:rsidP="00CD3559">
            <w:pPr>
              <w:spacing w:line="480" w:lineRule="auto"/>
              <w:rPr>
                <w:i/>
                <w:iCs/>
              </w:rPr>
            </w:pPr>
            <w:r>
              <w:rPr>
                <w:i/>
                <w:iCs/>
              </w:rPr>
              <w:t>Aire déso</w:t>
            </w:r>
          </w:p>
        </w:tc>
      </w:tr>
      <w:tr w:rsidR="00CD3559" w:rsidRPr="00F15C65" w14:paraId="4C643EF7" w14:textId="77777777" w:rsidTr="002C2B99">
        <w:tc>
          <w:tcPr>
            <w:tcW w:w="3116" w:type="dxa"/>
          </w:tcPr>
          <w:p w14:paraId="550F1D2B" w14:textId="6B0F88BA" w:rsidR="00CD3559" w:rsidRPr="00F15C65" w:rsidRDefault="00CD3559" w:rsidP="00CD3559">
            <w:pPr>
              <w:spacing w:line="480" w:lineRule="auto"/>
            </w:pPr>
            <w:r>
              <w:rPr>
                <w:i/>
                <w:iCs/>
              </w:rPr>
              <w:t>Aire ard</w:t>
            </w:r>
          </w:p>
        </w:tc>
        <w:tc>
          <w:tcPr>
            <w:tcW w:w="3117" w:type="dxa"/>
          </w:tcPr>
          <w:p w14:paraId="3FDEE28C" w14:textId="0068C035" w:rsidR="00CD3559" w:rsidRPr="00F15C65" w:rsidRDefault="00727D88" w:rsidP="00CD3559">
            <w:pPr>
              <w:spacing w:line="480" w:lineRule="auto"/>
              <w:rPr>
                <w:i/>
                <w:iCs/>
              </w:rPr>
            </w:pPr>
            <w:r>
              <w:rPr>
                <w:i/>
                <w:iCs/>
              </w:rPr>
              <w:t>Aire échta</w:t>
            </w:r>
          </w:p>
        </w:tc>
        <w:tc>
          <w:tcPr>
            <w:tcW w:w="3117" w:type="dxa"/>
          </w:tcPr>
          <w:p w14:paraId="64A5EC39" w14:textId="6A9A83F9" w:rsidR="00CD3559" w:rsidRPr="00F15C65" w:rsidRDefault="00CD3559" w:rsidP="00CD3559">
            <w:pPr>
              <w:spacing w:line="480" w:lineRule="auto"/>
              <w:rPr>
                <w:i/>
                <w:iCs/>
              </w:rPr>
            </w:pPr>
            <w:r>
              <w:rPr>
                <w:i/>
                <w:iCs/>
              </w:rPr>
              <w:t>Aire fine</w:t>
            </w:r>
          </w:p>
        </w:tc>
      </w:tr>
      <w:tr w:rsidR="00CD3559" w:rsidRPr="00F15C65" w14:paraId="41C0C4CF" w14:textId="77777777" w:rsidTr="002C2B99">
        <w:tc>
          <w:tcPr>
            <w:tcW w:w="3116" w:type="dxa"/>
          </w:tcPr>
          <w:p w14:paraId="3CD07807" w14:textId="4DFD3843" w:rsidR="00CD3559" w:rsidRPr="00F15C65" w:rsidRDefault="00CD3559" w:rsidP="00CD3559">
            <w:pPr>
              <w:spacing w:line="480" w:lineRule="auto"/>
            </w:pPr>
            <w:r>
              <w:rPr>
                <w:i/>
                <w:iCs/>
              </w:rPr>
              <w:t>Aire échta</w:t>
            </w:r>
          </w:p>
        </w:tc>
        <w:tc>
          <w:tcPr>
            <w:tcW w:w="3117" w:type="dxa"/>
          </w:tcPr>
          <w:p w14:paraId="24996668" w14:textId="6005AC72" w:rsidR="00CD3559" w:rsidRPr="00F15C65" w:rsidRDefault="00727D88" w:rsidP="00CD3559">
            <w:pPr>
              <w:spacing w:line="480" w:lineRule="auto"/>
              <w:rPr>
                <w:i/>
                <w:iCs/>
              </w:rPr>
            </w:pPr>
            <w:r>
              <w:rPr>
                <w:i/>
                <w:iCs/>
              </w:rPr>
              <w:t>Aire déso</w:t>
            </w:r>
          </w:p>
        </w:tc>
        <w:tc>
          <w:tcPr>
            <w:tcW w:w="3117" w:type="dxa"/>
          </w:tcPr>
          <w:p w14:paraId="2BFA70A9" w14:textId="73333FA8" w:rsidR="00CD3559" w:rsidRPr="00F15C65" w:rsidRDefault="00CD3559" w:rsidP="00CD3559">
            <w:pPr>
              <w:spacing w:line="480" w:lineRule="auto"/>
              <w:rPr>
                <w:i/>
                <w:iCs/>
              </w:rPr>
            </w:pPr>
          </w:p>
        </w:tc>
      </w:tr>
      <w:tr w:rsidR="00CD3559" w:rsidRPr="00F15C65" w14:paraId="2211EFE4" w14:textId="77777777" w:rsidTr="002C2B99">
        <w:tc>
          <w:tcPr>
            <w:tcW w:w="3116" w:type="dxa"/>
          </w:tcPr>
          <w:p w14:paraId="3EFC3DE9" w14:textId="06644360" w:rsidR="00CD3559" w:rsidRPr="00F15C65" w:rsidRDefault="00CD3559" w:rsidP="00CD3559">
            <w:pPr>
              <w:spacing w:line="480" w:lineRule="auto"/>
            </w:pPr>
            <w:r>
              <w:rPr>
                <w:i/>
                <w:iCs/>
              </w:rPr>
              <w:t>Aire déso</w:t>
            </w:r>
          </w:p>
        </w:tc>
        <w:tc>
          <w:tcPr>
            <w:tcW w:w="3117" w:type="dxa"/>
          </w:tcPr>
          <w:p w14:paraId="6DDFEE75" w14:textId="3E688162" w:rsidR="00CD3559" w:rsidRDefault="00CD3559" w:rsidP="00CD3559">
            <w:pPr>
              <w:spacing w:line="480" w:lineRule="auto"/>
              <w:rPr>
                <w:i/>
                <w:iCs/>
              </w:rPr>
            </w:pPr>
          </w:p>
        </w:tc>
        <w:tc>
          <w:tcPr>
            <w:tcW w:w="3117" w:type="dxa"/>
          </w:tcPr>
          <w:p w14:paraId="42CBDE0A" w14:textId="77777777" w:rsidR="00CD3559" w:rsidRPr="00F15C65" w:rsidRDefault="00CD3559" w:rsidP="00CD3559">
            <w:pPr>
              <w:spacing w:line="480" w:lineRule="auto"/>
              <w:rPr>
                <w:i/>
                <w:iCs/>
              </w:rPr>
            </w:pPr>
          </w:p>
        </w:tc>
      </w:tr>
    </w:tbl>
    <w:p w14:paraId="3D4DE1AF" w14:textId="77777777" w:rsidR="0035346F" w:rsidRDefault="0035346F" w:rsidP="0035346F">
      <w:pPr>
        <w:spacing w:after="0" w:line="480" w:lineRule="auto"/>
      </w:pPr>
    </w:p>
    <w:p w14:paraId="759CAEE8" w14:textId="10C5AFC7" w:rsidR="0035346F" w:rsidRDefault="0035346F">
      <w:r>
        <w:br w:type="page"/>
      </w:r>
    </w:p>
    <w:p w14:paraId="65ADDF97" w14:textId="6ED555D6" w:rsidR="0035346F" w:rsidRDefault="0035346F" w:rsidP="0035346F">
      <w:pPr>
        <w:spacing w:after="0" w:line="480" w:lineRule="auto"/>
        <w:jc w:val="center"/>
      </w:pPr>
      <w:r>
        <w:lastRenderedPageBreak/>
        <w:t>Bibliography</w:t>
      </w:r>
    </w:p>
    <w:p w14:paraId="21FAAD2D" w14:textId="77777777" w:rsidR="0035346F" w:rsidRDefault="0035346F" w:rsidP="0035346F">
      <w:pPr>
        <w:spacing w:after="0"/>
      </w:pPr>
      <w:r w:rsidRPr="00C83145">
        <w:t xml:space="preserve">Documents </w:t>
      </w:r>
    </w:p>
    <w:p w14:paraId="28D24EA5" w14:textId="5E9DDBF4" w:rsidR="0035346F" w:rsidRDefault="0035346F" w:rsidP="0035346F">
      <w:pPr>
        <w:spacing w:after="0"/>
      </w:pPr>
    </w:p>
    <w:p w14:paraId="690BF8CE" w14:textId="3192A4CD" w:rsidR="00865778" w:rsidRPr="00865778" w:rsidRDefault="00865778" w:rsidP="00865778">
      <w:pPr>
        <w:spacing w:after="0" w:line="240" w:lineRule="auto"/>
        <w:ind w:left="720" w:hanging="720"/>
      </w:pPr>
      <w:r>
        <w:t>Adomnan</w:t>
      </w:r>
      <w:r w:rsidR="00EB7188">
        <w:t>.</w:t>
      </w:r>
      <w:r>
        <w:t xml:space="preserve"> </w:t>
      </w:r>
      <w:r>
        <w:rPr>
          <w:i/>
          <w:iCs/>
        </w:rPr>
        <w:t>Adomnan’s Life of Columbia</w:t>
      </w:r>
      <w:r>
        <w:t>. Translated by Marjorie Ogilvie Anderson and Alan Orr Anderson. Oxford: Clarendon Press, 1991.</w:t>
      </w:r>
    </w:p>
    <w:p w14:paraId="50B6846E" w14:textId="77777777" w:rsidR="00865778" w:rsidRDefault="00865778" w:rsidP="0035346F">
      <w:pPr>
        <w:spacing w:after="0"/>
      </w:pPr>
    </w:p>
    <w:p w14:paraId="6E0931C7" w14:textId="50F14007" w:rsidR="0035346F" w:rsidRDefault="00D1318B" w:rsidP="00614211">
      <w:pPr>
        <w:spacing w:after="0"/>
        <w:ind w:left="720" w:hanging="720"/>
      </w:pPr>
      <w:r w:rsidRPr="00D1318B">
        <w:rPr>
          <w:i/>
          <w:iCs/>
        </w:rPr>
        <w:t>Aislinge Meic Con Glinne</w:t>
      </w:r>
      <w:r w:rsidRPr="00D1318B">
        <w:t xml:space="preserve">: </w:t>
      </w:r>
      <w:r w:rsidRPr="00D1318B">
        <w:rPr>
          <w:i/>
          <w:iCs/>
        </w:rPr>
        <w:t>The Vision of Mac Conglinne</w:t>
      </w:r>
      <w:r w:rsidRPr="00D1318B">
        <w:t xml:space="preserve">, </w:t>
      </w:r>
      <w:r w:rsidRPr="00D1318B">
        <w:rPr>
          <w:i/>
          <w:iCs/>
        </w:rPr>
        <w:t>a Middle-Irish Wonder Tale</w:t>
      </w:r>
      <w:r w:rsidR="00D42786">
        <w:t>. Edited</w:t>
      </w:r>
      <w:r w:rsidRPr="00D1318B">
        <w:t xml:space="preserve"> and trans</w:t>
      </w:r>
      <w:r w:rsidR="00D42786">
        <w:t>lated by</w:t>
      </w:r>
      <w:r w:rsidRPr="00D1318B">
        <w:t xml:space="preserve"> Kuno Meyer</w:t>
      </w:r>
      <w:r w:rsidR="00614211">
        <w:t>.</w:t>
      </w:r>
      <w:r w:rsidRPr="00D1318B">
        <w:t xml:space="preserve"> London: Nutt, 1892</w:t>
      </w:r>
      <w:r w:rsidR="00614211">
        <w:t>.</w:t>
      </w:r>
    </w:p>
    <w:p w14:paraId="689EB3CB" w14:textId="77777777" w:rsidR="0019611E" w:rsidRDefault="0019611E" w:rsidP="00D34BB6">
      <w:pPr>
        <w:spacing w:after="0"/>
      </w:pPr>
    </w:p>
    <w:p w14:paraId="464C7711" w14:textId="48DFAC9D" w:rsidR="002B18F8" w:rsidRDefault="0042628A" w:rsidP="0035346F">
      <w:pPr>
        <w:spacing w:after="0"/>
        <w:ind w:left="720" w:hanging="720"/>
      </w:pPr>
      <w:r w:rsidRPr="001713B5">
        <w:rPr>
          <w:i/>
          <w:iCs/>
        </w:rPr>
        <w:t>Book of Leinster, formerly Lebar na N</w:t>
      </w:r>
      <w:r w:rsidR="00F8621F">
        <w:rPr>
          <w:i/>
          <w:iCs/>
        </w:rPr>
        <w:t>ú</w:t>
      </w:r>
      <w:r w:rsidRPr="001713B5">
        <w:rPr>
          <w:i/>
          <w:iCs/>
        </w:rPr>
        <w:t>achongb</w:t>
      </w:r>
      <w:r w:rsidR="00F8621F">
        <w:rPr>
          <w:i/>
          <w:iCs/>
        </w:rPr>
        <w:t>ál</w:t>
      </w:r>
      <w:r w:rsidRPr="001713B5">
        <w:rPr>
          <w:i/>
          <w:iCs/>
        </w:rPr>
        <w:t>a</w:t>
      </w:r>
      <w:r w:rsidRPr="0042628A">
        <w:t>, ed. Richard Best, Osborn Bergin, M.A.</w:t>
      </w:r>
      <w:r w:rsidR="00A95798">
        <w:t xml:space="preserve"> </w:t>
      </w:r>
      <w:r w:rsidRPr="0042628A">
        <w:t>O'Brien and Anne O'Sullivan</w:t>
      </w:r>
      <w:r w:rsidR="00487DB3">
        <w:t xml:space="preserve">. 6 vols. </w:t>
      </w:r>
      <w:r w:rsidRPr="0042628A">
        <w:t>Dublin</w:t>
      </w:r>
      <w:r w:rsidR="00487DB3">
        <w:t xml:space="preserve">: </w:t>
      </w:r>
      <w:r w:rsidRPr="0042628A">
        <w:t>1954-1983.</w:t>
      </w:r>
    </w:p>
    <w:p w14:paraId="0471A23D" w14:textId="77777777" w:rsidR="0042628A" w:rsidRDefault="0042628A" w:rsidP="0035346F">
      <w:pPr>
        <w:spacing w:after="0"/>
        <w:ind w:left="720" w:hanging="720"/>
      </w:pPr>
    </w:p>
    <w:p w14:paraId="03E51408" w14:textId="77777777" w:rsidR="002B18F8" w:rsidRPr="002B18F8" w:rsidRDefault="002B18F8" w:rsidP="002B18F8">
      <w:pPr>
        <w:spacing w:after="0"/>
        <w:ind w:left="720" w:hanging="720"/>
      </w:pPr>
      <w:r w:rsidRPr="002B18F8">
        <w:rPr>
          <w:i/>
          <w:iCs/>
        </w:rPr>
        <w:t>Cáin Aigillne</w:t>
      </w:r>
      <w:r w:rsidRPr="002B18F8">
        <w:t xml:space="preserve">. In </w:t>
      </w:r>
      <w:r w:rsidRPr="002B18F8">
        <w:rPr>
          <w:i/>
          <w:iCs/>
        </w:rPr>
        <w:t>Ancient Laws of Ireland</w:t>
      </w:r>
      <w:r w:rsidRPr="002B18F8">
        <w:t>, edited by William Neilson Hancock, Thaddeus O 'Mahony, Alexander George Richey and Robert Atkinson, 222-341. 6 vols. Dublin: H. M. Stationery Office, 1865.</w:t>
      </w:r>
    </w:p>
    <w:p w14:paraId="6293EC93" w14:textId="77777777" w:rsidR="0035346F" w:rsidRPr="005255BC" w:rsidRDefault="0035346F" w:rsidP="0035346F">
      <w:pPr>
        <w:spacing w:after="0"/>
      </w:pPr>
    </w:p>
    <w:p w14:paraId="5FE79C0A" w14:textId="77777777" w:rsidR="0035346F" w:rsidRDefault="0035346F" w:rsidP="0035346F">
      <w:pPr>
        <w:spacing w:after="0"/>
        <w:ind w:left="720" w:hanging="720"/>
      </w:pPr>
      <w:r>
        <w:rPr>
          <w:i/>
          <w:iCs/>
        </w:rPr>
        <w:t>Críth Gablach</w:t>
      </w:r>
      <w:r>
        <w:t xml:space="preserve">. In “Ancient Irish Law: Law of Status or Franchise.” </w:t>
      </w:r>
      <w:r w:rsidRPr="001022A2">
        <w:rPr>
          <w:i/>
          <w:iCs/>
        </w:rPr>
        <w:t>Proceedings of the Royal Irish Academy</w:t>
      </w:r>
      <w:r w:rsidRPr="001022A2">
        <w:t xml:space="preserve"> 36 C</w:t>
      </w:r>
      <w:r>
        <w:t xml:space="preserve">. Translated by Eoin MacNeill, 281-311. Dublin: Hodges, Figgis, &amp; Co., 1837. </w:t>
      </w:r>
      <w:r w:rsidRPr="001022A2">
        <w:t>https://ia800502.us.archive.org/7/items/proceedingsofro36roya/proceedingsofro36roya.pdf.</w:t>
      </w:r>
    </w:p>
    <w:p w14:paraId="535A2743" w14:textId="77777777" w:rsidR="0035346F" w:rsidRPr="00650CAD" w:rsidRDefault="0035346F" w:rsidP="0035346F">
      <w:pPr>
        <w:spacing w:after="0"/>
        <w:ind w:left="720" w:hanging="720"/>
      </w:pPr>
    </w:p>
    <w:p w14:paraId="44A12A4E" w14:textId="77777777" w:rsidR="0035346F" w:rsidRDefault="0035346F" w:rsidP="0035346F">
      <w:pPr>
        <w:spacing w:after="0"/>
        <w:ind w:left="720" w:hanging="720"/>
      </w:pPr>
      <w:r>
        <w:rPr>
          <w:i/>
          <w:iCs/>
        </w:rPr>
        <w:t>Uraicecht Becc</w:t>
      </w:r>
      <w:r>
        <w:t xml:space="preserve">. In “Ancient Irish Law: Law of Status or Franchise.” </w:t>
      </w:r>
      <w:r w:rsidRPr="001022A2">
        <w:rPr>
          <w:i/>
          <w:iCs/>
        </w:rPr>
        <w:t>Proceedings of the Royal Irish Academy</w:t>
      </w:r>
      <w:r w:rsidRPr="001022A2">
        <w:t xml:space="preserve"> 36 C</w:t>
      </w:r>
      <w:r>
        <w:t>.</w:t>
      </w:r>
      <w:r w:rsidRPr="001022A2">
        <w:t xml:space="preserve"> </w:t>
      </w:r>
      <w:r>
        <w:t xml:space="preserve">Translated by Eoin MacNeill, 272-281. Dublin: Hodges, Figgis, &amp; Co., 1837.  </w:t>
      </w:r>
      <w:r w:rsidRPr="001022A2">
        <w:t>https://ia800502.us.archive.org/7/items/proceedingsofro36roya/proceedingsofro36roya.pdf.</w:t>
      </w:r>
    </w:p>
    <w:p w14:paraId="75E0BA90" w14:textId="77777777" w:rsidR="0035346F" w:rsidRDefault="0035346F" w:rsidP="0035346F">
      <w:pPr>
        <w:spacing w:after="0"/>
        <w:ind w:left="720" w:hanging="720"/>
      </w:pPr>
    </w:p>
    <w:p w14:paraId="49622A69" w14:textId="64A47D21" w:rsidR="0035346F" w:rsidRDefault="0035346F" w:rsidP="0035346F">
      <w:pPr>
        <w:spacing w:after="0"/>
        <w:ind w:left="720" w:hanging="720"/>
      </w:pPr>
      <w:bookmarkStart w:id="2" w:name="_Hlk56991019"/>
      <w:r w:rsidRPr="00423418">
        <w:rPr>
          <w:i/>
          <w:iCs/>
        </w:rPr>
        <w:t>Míadṡlechtae</w:t>
      </w:r>
      <w:r>
        <w:t xml:space="preserve">. In </w:t>
      </w:r>
      <w:r w:rsidRPr="00423418">
        <w:t xml:space="preserve">"Míadṡlechtae: An Old Irish Law Text on Status." </w:t>
      </w:r>
      <w:r>
        <w:t>Translated by Gerald Manning. PhD diss</w:t>
      </w:r>
      <w:r w:rsidRPr="00423418">
        <w:t>, Trinity College, 2005. http://www.tara.tcd.ie/handle/2262/78481.</w:t>
      </w:r>
    </w:p>
    <w:p w14:paraId="51D8613C" w14:textId="77777777" w:rsidR="00953008" w:rsidRDefault="00953008" w:rsidP="00953008">
      <w:pPr>
        <w:spacing w:after="0"/>
        <w:ind w:left="720" w:hanging="720"/>
      </w:pPr>
    </w:p>
    <w:p w14:paraId="58BD00AC" w14:textId="6A7CD3DB" w:rsidR="00953008" w:rsidRPr="00953008" w:rsidRDefault="00953008" w:rsidP="00953008">
      <w:pPr>
        <w:spacing w:after="0"/>
        <w:ind w:left="720" w:hanging="720"/>
      </w:pPr>
      <w:r w:rsidRPr="00953008">
        <w:t xml:space="preserve">Óengus mac Óengobann. </w:t>
      </w:r>
      <w:r w:rsidRPr="00953008">
        <w:rPr>
          <w:i/>
          <w:iCs/>
        </w:rPr>
        <w:t>Félire Óengusso</w:t>
      </w:r>
      <w:r w:rsidRPr="00953008">
        <w:t>. Quoted in F. J. Byrne, “Early Irish Society: 1</w:t>
      </w:r>
      <w:r w:rsidRPr="00953008">
        <w:rPr>
          <w:vertAlign w:val="superscript"/>
        </w:rPr>
        <w:t>st</w:t>
      </w:r>
      <w:r w:rsidRPr="00953008">
        <w:t>-9</w:t>
      </w:r>
      <w:r w:rsidRPr="00953008">
        <w:rPr>
          <w:vertAlign w:val="superscript"/>
        </w:rPr>
        <w:t>th</w:t>
      </w:r>
      <w:r w:rsidRPr="00953008">
        <w:t xml:space="preserve"> Century,” in </w:t>
      </w:r>
      <w:r w:rsidRPr="00953008">
        <w:rPr>
          <w:i/>
          <w:iCs/>
        </w:rPr>
        <w:t>The Course of Irish History</w:t>
      </w:r>
      <w:r w:rsidRPr="00953008">
        <w:t xml:space="preserve"> (Lanhma: Roberts Rinehard Publishers, 2011), 41.</w:t>
      </w:r>
    </w:p>
    <w:bookmarkEnd w:id="2"/>
    <w:p w14:paraId="1DCAA32F" w14:textId="77777777" w:rsidR="0097533D" w:rsidRDefault="0097533D" w:rsidP="0035346F">
      <w:pPr>
        <w:spacing w:after="0"/>
      </w:pPr>
    </w:p>
    <w:p w14:paraId="17BFCFA5" w14:textId="038A4FFD" w:rsidR="00AD7773" w:rsidRPr="00AD7773" w:rsidRDefault="00567158" w:rsidP="00642401">
      <w:pPr>
        <w:spacing w:after="0"/>
        <w:ind w:left="720" w:hanging="720"/>
      </w:pPr>
      <w:r>
        <w:t xml:space="preserve">Óengus mac Óengobann. </w:t>
      </w:r>
      <w:r>
        <w:rPr>
          <w:i/>
          <w:iCs/>
        </w:rPr>
        <w:t xml:space="preserve">Félire Óengusso </w:t>
      </w:r>
      <w:r w:rsidR="00AD7773">
        <w:rPr>
          <w:i/>
          <w:iCs/>
        </w:rPr>
        <w:t xml:space="preserve">Celi De: </w:t>
      </w:r>
      <w:r w:rsidR="00AD7773" w:rsidRPr="00AD7773">
        <w:rPr>
          <w:i/>
          <w:iCs/>
        </w:rPr>
        <w:t>the Martyrology of Oengus the Culdee</w:t>
      </w:r>
      <w:r w:rsidR="00642401">
        <w:t>,</w:t>
      </w:r>
      <w:r w:rsidR="00AD7773" w:rsidRPr="00AD7773">
        <w:t xml:space="preserve"> ed</w:t>
      </w:r>
      <w:r w:rsidR="00642401">
        <w:t>ited by</w:t>
      </w:r>
      <w:r w:rsidR="00AD7773" w:rsidRPr="00AD7773">
        <w:t xml:space="preserve"> Whitley Stokes</w:t>
      </w:r>
      <w:r w:rsidR="00642401">
        <w:t>.</w:t>
      </w:r>
      <w:r w:rsidR="00AD7773" w:rsidRPr="00AD7773">
        <w:t xml:space="preserve"> London: Henry Bradshaw Society, 1905</w:t>
      </w:r>
      <w:r w:rsidR="00642401">
        <w:t>.</w:t>
      </w:r>
    </w:p>
    <w:p w14:paraId="0C2E25C9" w14:textId="77777777" w:rsidR="00AD7773" w:rsidRDefault="00AD7773" w:rsidP="0035346F">
      <w:pPr>
        <w:spacing w:after="0"/>
      </w:pPr>
    </w:p>
    <w:p w14:paraId="10E55614" w14:textId="1E9FA6A8" w:rsidR="0035346F" w:rsidRPr="00C83145" w:rsidRDefault="0035346F" w:rsidP="0035346F">
      <w:pPr>
        <w:spacing w:after="0"/>
      </w:pPr>
      <w:r w:rsidRPr="00C83145">
        <w:t>Secondary Sources</w:t>
      </w:r>
    </w:p>
    <w:p w14:paraId="4923F264" w14:textId="77777777" w:rsidR="0035346F" w:rsidRDefault="0035346F" w:rsidP="0035346F">
      <w:pPr>
        <w:spacing w:after="0"/>
      </w:pPr>
    </w:p>
    <w:p w14:paraId="1997F1A7" w14:textId="1E86AA26" w:rsidR="0035346F" w:rsidRDefault="0035346F" w:rsidP="003C2872">
      <w:pPr>
        <w:spacing w:after="0"/>
        <w:ind w:left="720" w:hanging="720"/>
      </w:pPr>
      <w:r>
        <w:t xml:space="preserve">Aitchison, N. B. “Kingship, Society, and Sacrality: Rank, Power, and Ideology in Early Medieval Ireland.” </w:t>
      </w:r>
      <w:r w:rsidRPr="00710951">
        <w:rPr>
          <w:i/>
          <w:iCs/>
        </w:rPr>
        <w:t>Traditio</w:t>
      </w:r>
      <w:r w:rsidRPr="00710951">
        <w:t xml:space="preserve"> 49 (1994): 45-75. </w:t>
      </w:r>
    </w:p>
    <w:p w14:paraId="251AE4F0" w14:textId="77777777" w:rsidR="0035346F" w:rsidRDefault="0035346F" w:rsidP="0035346F">
      <w:pPr>
        <w:spacing w:after="0"/>
      </w:pPr>
    </w:p>
    <w:p w14:paraId="13CD9525" w14:textId="77777777" w:rsidR="0035346F" w:rsidRDefault="0035346F" w:rsidP="0035346F">
      <w:pPr>
        <w:spacing w:after="0"/>
        <w:ind w:left="720" w:hanging="720"/>
      </w:pPr>
      <w:r w:rsidRPr="007A012C">
        <w:t xml:space="preserve">Boyle, James W. "Lest the Lowliest Be Forgotten: Locating the Impoverished in Early Medieval Ireland." </w:t>
      </w:r>
      <w:r w:rsidRPr="004C6ECF">
        <w:rPr>
          <w:i/>
          <w:iCs/>
        </w:rPr>
        <w:t xml:space="preserve">International Journal of Historical Archaeology </w:t>
      </w:r>
      <w:r w:rsidRPr="004A2BE7">
        <w:t>8,</w:t>
      </w:r>
      <w:r w:rsidRPr="007A012C">
        <w:t xml:space="preserve"> no. 2 (2004): 85-99.</w:t>
      </w:r>
    </w:p>
    <w:p w14:paraId="7FB181BF" w14:textId="77777777" w:rsidR="0035346F" w:rsidRDefault="0035346F" w:rsidP="0035346F">
      <w:pPr>
        <w:spacing w:after="0"/>
      </w:pPr>
    </w:p>
    <w:p w14:paraId="57CB802F" w14:textId="77777777" w:rsidR="0035346F" w:rsidRDefault="0035346F" w:rsidP="0035346F">
      <w:pPr>
        <w:spacing w:after="0"/>
        <w:ind w:left="720" w:hanging="720"/>
      </w:pPr>
      <w:r w:rsidRPr="00840883">
        <w:t xml:space="preserve">Byrne, F. J. "Early Irish Society: 1st-9th Century." Edited by T. W. Moody, F. X. Martin, Dermot Keogh, and Patrick Kiely. In </w:t>
      </w:r>
      <w:r w:rsidRPr="00840883">
        <w:rPr>
          <w:i/>
          <w:iCs/>
        </w:rPr>
        <w:t>The Course of Irish History</w:t>
      </w:r>
      <w:r w:rsidRPr="00840883">
        <w:t>, 38-58. Lanham, MD: Roberts Rinehart Publishers, 2011.</w:t>
      </w:r>
      <w:r w:rsidRPr="007A012C">
        <w:t xml:space="preserve"> </w:t>
      </w:r>
    </w:p>
    <w:p w14:paraId="5787162C" w14:textId="77777777" w:rsidR="0035346F" w:rsidRDefault="0035346F" w:rsidP="0035346F">
      <w:pPr>
        <w:spacing w:after="0"/>
      </w:pPr>
    </w:p>
    <w:p w14:paraId="746A78E3" w14:textId="77777777" w:rsidR="0035346F" w:rsidRDefault="0035346F" w:rsidP="0035346F">
      <w:pPr>
        <w:spacing w:after="0"/>
        <w:ind w:left="720" w:hanging="720"/>
      </w:pPr>
      <w:r>
        <w:t xml:space="preserve">Charles-Edwards, T. M. </w:t>
      </w:r>
      <w:r>
        <w:rPr>
          <w:i/>
          <w:iCs/>
        </w:rPr>
        <w:t>Early Irish and Welsh Kinship</w:t>
      </w:r>
      <w:r>
        <w:t>. New York: Oxford University Press, 1993.</w:t>
      </w:r>
    </w:p>
    <w:p w14:paraId="619C0B20" w14:textId="77777777" w:rsidR="0035346F" w:rsidRDefault="0035346F" w:rsidP="0035346F">
      <w:pPr>
        <w:spacing w:after="0"/>
      </w:pPr>
    </w:p>
    <w:p w14:paraId="3A63B4A6" w14:textId="77777777" w:rsidR="0035346F" w:rsidRDefault="0035346F" w:rsidP="0035346F">
      <w:pPr>
        <w:spacing w:after="0"/>
        <w:ind w:left="720" w:hanging="720"/>
      </w:pPr>
      <w:r w:rsidRPr="00A54411">
        <w:t xml:space="preserve">Charles-Edwards, T. M. "Kinship, Status and the Origins of the Hide." </w:t>
      </w:r>
      <w:r w:rsidRPr="00A54411">
        <w:rPr>
          <w:i/>
          <w:iCs/>
        </w:rPr>
        <w:t>Past &amp; Present</w:t>
      </w:r>
      <w:r w:rsidRPr="00A54411">
        <w:t xml:space="preserve">, no. 56 (1972): 3-33. </w:t>
      </w:r>
    </w:p>
    <w:p w14:paraId="1E161EF8" w14:textId="77777777" w:rsidR="0035346F" w:rsidRDefault="0035346F" w:rsidP="0035346F">
      <w:pPr>
        <w:spacing w:after="0"/>
        <w:ind w:left="720" w:hanging="720"/>
      </w:pPr>
    </w:p>
    <w:p w14:paraId="51AEE1B1" w14:textId="77777777" w:rsidR="0035346F" w:rsidRDefault="0035346F" w:rsidP="0035346F">
      <w:pPr>
        <w:spacing w:after="0"/>
        <w:ind w:left="720" w:hanging="720"/>
      </w:pPr>
      <w:r w:rsidRPr="0010569D">
        <w:t xml:space="preserve">Cróinín, Dáibhí Ó. </w:t>
      </w:r>
      <w:r w:rsidRPr="0010569D">
        <w:rPr>
          <w:i/>
          <w:iCs/>
        </w:rPr>
        <w:t>Early Medieval Ireland: 400-1200</w:t>
      </w:r>
      <w:r w:rsidRPr="0010569D">
        <w:t>. New York: Routledge, 2017.</w:t>
      </w:r>
    </w:p>
    <w:p w14:paraId="3D1515B9" w14:textId="77777777" w:rsidR="0035346F" w:rsidRDefault="0035346F" w:rsidP="0035346F">
      <w:pPr>
        <w:spacing w:after="0"/>
        <w:ind w:left="720" w:hanging="720"/>
      </w:pPr>
    </w:p>
    <w:p w14:paraId="6CEF2C8D" w14:textId="77777777" w:rsidR="0035346F" w:rsidRPr="00954944" w:rsidRDefault="0035346F" w:rsidP="0035346F">
      <w:pPr>
        <w:spacing w:after="0"/>
        <w:ind w:left="720" w:hanging="720"/>
      </w:pPr>
      <w:r w:rsidRPr="00954944">
        <w:t xml:space="preserve">Gerriets, Marilyn. "The Organization of Exchange in Early Christian Ireland." </w:t>
      </w:r>
      <w:r w:rsidRPr="00954944">
        <w:rPr>
          <w:i/>
          <w:iCs/>
        </w:rPr>
        <w:t>The Journal of Economic History</w:t>
      </w:r>
      <w:r w:rsidRPr="00954944">
        <w:t xml:space="preserve"> 41, no. 1 (1981): 171-76. </w:t>
      </w:r>
    </w:p>
    <w:p w14:paraId="2E8D0EF7" w14:textId="77777777" w:rsidR="0035346F" w:rsidRDefault="0035346F" w:rsidP="0035346F">
      <w:pPr>
        <w:spacing w:after="0"/>
      </w:pPr>
    </w:p>
    <w:p w14:paraId="7483E960" w14:textId="77777777" w:rsidR="0035346F" w:rsidRDefault="0035346F" w:rsidP="0035346F">
      <w:pPr>
        <w:spacing w:after="0"/>
        <w:ind w:left="720" w:hanging="720"/>
      </w:pPr>
      <w:r w:rsidRPr="004C6ECF">
        <w:t xml:space="preserve">Gibson, D. Blair. </w:t>
      </w:r>
      <w:r w:rsidRPr="004C6ECF">
        <w:rPr>
          <w:i/>
          <w:iCs/>
        </w:rPr>
        <w:t>From Chiefdom to State in Early Ireland</w:t>
      </w:r>
      <w:r w:rsidRPr="004C6ECF">
        <w:t>. Cambridge: Cambridge University Press, 2012.</w:t>
      </w:r>
    </w:p>
    <w:p w14:paraId="039D0B4E" w14:textId="77777777" w:rsidR="0035346F" w:rsidRPr="00531AA5" w:rsidRDefault="0035346F" w:rsidP="0035346F">
      <w:pPr>
        <w:spacing w:after="0"/>
      </w:pPr>
    </w:p>
    <w:p w14:paraId="3AC75387" w14:textId="77777777" w:rsidR="0035346F" w:rsidRDefault="0035346F" w:rsidP="0035346F">
      <w:pPr>
        <w:spacing w:after="0"/>
        <w:ind w:left="720" w:hanging="720"/>
      </w:pPr>
      <w:r w:rsidRPr="00531AA5">
        <w:t>Grigg, Julianna. “The Nemed</w:t>
      </w:r>
      <w:r w:rsidRPr="00531AA5">
        <w:rPr>
          <w:i/>
          <w:iCs/>
        </w:rPr>
        <w:t>, Uraicecht Becc</w:t>
      </w:r>
      <w:r w:rsidRPr="00531AA5">
        <w:t xml:space="preserve"> and Early Irish Governance.” In </w:t>
      </w:r>
      <w:r w:rsidRPr="00531AA5">
        <w:rPr>
          <w:i/>
          <w:iCs/>
        </w:rPr>
        <w:t>The Land Beneath the Sea: Essays in Honour of Anders Ahlqvist’s Contribution to Celtic Studies in Australia</w:t>
      </w:r>
      <w:r w:rsidRPr="00531AA5">
        <w:t>, edited by P. O’Neill</w:t>
      </w:r>
      <w:r>
        <w:t>,</w:t>
      </w:r>
      <w:r w:rsidRPr="00531AA5">
        <w:t xml:space="preserve"> 87-101. Sydney Series in Celtic Studies 14. Sydney: University of Sydney</w:t>
      </w:r>
      <w:r>
        <w:t>, 2013.</w:t>
      </w:r>
    </w:p>
    <w:p w14:paraId="51E4C04C" w14:textId="77777777" w:rsidR="0035346F" w:rsidRPr="00CE612D" w:rsidRDefault="0035346F" w:rsidP="0035346F">
      <w:pPr>
        <w:spacing w:after="0"/>
      </w:pPr>
    </w:p>
    <w:p w14:paraId="4FB20B3C" w14:textId="77777777" w:rsidR="0035346F" w:rsidRPr="00CE612D" w:rsidRDefault="0035346F" w:rsidP="0035346F">
      <w:pPr>
        <w:spacing w:after="0"/>
        <w:ind w:left="720" w:hanging="720"/>
      </w:pPr>
      <w:r w:rsidRPr="00CE612D">
        <w:t xml:space="preserve">Kelly, Fergus, ed. </w:t>
      </w:r>
      <w:r w:rsidRPr="00CE612D">
        <w:rPr>
          <w:i/>
          <w:iCs/>
        </w:rPr>
        <w:t>A Guide to Early Irish Law</w:t>
      </w:r>
      <w:r w:rsidRPr="00CE612D">
        <w:t>. Dublin: Dublin Institute for Advanced Studies, 1988.</w:t>
      </w:r>
    </w:p>
    <w:p w14:paraId="1B4BAC3C" w14:textId="419B9D7A" w:rsidR="0035346F" w:rsidRDefault="0035346F" w:rsidP="0035346F">
      <w:pPr>
        <w:spacing w:after="0"/>
      </w:pPr>
      <w:r>
        <w:tab/>
      </w:r>
    </w:p>
    <w:p w14:paraId="411B2A6D" w14:textId="77777777" w:rsidR="0035346F" w:rsidRDefault="0035346F" w:rsidP="0035346F">
      <w:pPr>
        <w:spacing w:after="0"/>
        <w:ind w:left="720" w:hanging="720"/>
      </w:pPr>
      <w:r w:rsidRPr="00F35ACA">
        <w:t xml:space="preserve">Kelly, Fergus. </w:t>
      </w:r>
      <w:r w:rsidRPr="00F35ACA">
        <w:rPr>
          <w:i/>
          <w:iCs/>
        </w:rPr>
        <w:t>Early Irish Farming: A Study Based Mainly on the Law-texts of the 7th and 8th Centuries AD</w:t>
      </w:r>
      <w:r w:rsidRPr="00F35ACA">
        <w:t>. 2nd ed. Dublin: Dublin Institute for Advanced Studies, 1997.</w:t>
      </w:r>
    </w:p>
    <w:p w14:paraId="7271E642" w14:textId="77777777" w:rsidR="0035346F" w:rsidRDefault="0035346F" w:rsidP="0035346F">
      <w:pPr>
        <w:spacing w:after="0"/>
      </w:pPr>
    </w:p>
    <w:p w14:paraId="169B76D4" w14:textId="77777777" w:rsidR="0035346F" w:rsidRDefault="0035346F" w:rsidP="0035346F">
      <w:pPr>
        <w:spacing w:after="0"/>
        <w:ind w:left="720" w:hanging="720"/>
      </w:pPr>
      <w:r>
        <w:t xml:space="preserve">Latvio, Riitta. “Status and Exchange in Early Irish Laws.” </w:t>
      </w:r>
      <w:r>
        <w:rPr>
          <w:i/>
          <w:iCs/>
        </w:rPr>
        <w:t>Studia Celtica Fennica</w:t>
      </w:r>
      <w:r>
        <w:t>, no. 2 (2005): 67-96.</w:t>
      </w:r>
    </w:p>
    <w:p w14:paraId="37163CF6" w14:textId="77777777" w:rsidR="0035346F" w:rsidRDefault="0035346F" w:rsidP="0035346F">
      <w:pPr>
        <w:spacing w:after="0"/>
      </w:pPr>
    </w:p>
    <w:p w14:paraId="6B2D8155" w14:textId="5812729A" w:rsidR="0035346F" w:rsidRDefault="0035346F" w:rsidP="0035346F">
      <w:pPr>
        <w:spacing w:after="0"/>
        <w:ind w:left="720" w:hanging="720"/>
      </w:pPr>
      <w:r w:rsidRPr="00CE612D">
        <w:t xml:space="preserve">MacNeill, Eoin. "Ancient Irish Law: Law of Status or Franchise." </w:t>
      </w:r>
      <w:r w:rsidRPr="00CE612D">
        <w:rPr>
          <w:i/>
          <w:iCs/>
        </w:rPr>
        <w:t>Proceedings of the Royal Irish Academy</w:t>
      </w:r>
      <w:r w:rsidRPr="00CE612D">
        <w:t xml:space="preserve"> 36 C (</w:t>
      </w:r>
      <w:r>
        <w:t>1923</w:t>
      </w:r>
      <w:r w:rsidRPr="00CE612D">
        <w:t>): 265-316. https://ia800502.us.archive.org/7/items/proceedingsofro36roya/proceedingsofro36roya.pdf.</w:t>
      </w:r>
    </w:p>
    <w:p w14:paraId="56C36DD0" w14:textId="1DA32454" w:rsidR="00E81402" w:rsidRDefault="00E81402" w:rsidP="0035346F">
      <w:pPr>
        <w:spacing w:after="0"/>
        <w:ind w:left="720" w:hanging="720"/>
      </w:pPr>
    </w:p>
    <w:p w14:paraId="16B56B7B" w14:textId="2E659E16" w:rsidR="00E81402" w:rsidRDefault="00E81402" w:rsidP="0035346F">
      <w:pPr>
        <w:spacing w:after="0"/>
        <w:ind w:left="720" w:hanging="720"/>
      </w:pPr>
      <w:r w:rsidRPr="00E81402">
        <w:lastRenderedPageBreak/>
        <w:t>McCormick,</w:t>
      </w:r>
      <w:r>
        <w:t xml:space="preserve"> </w:t>
      </w:r>
      <w:r w:rsidRPr="00E81402">
        <w:t>Finbar</w:t>
      </w:r>
      <w:r>
        <w:t>.</w:t>
      </w:r>
      <w:r w:rsidRPr="00E81402">
        <w:t xml:space="preserve"> “The Distribution of Meat in a Hierarchical Society: the Irish Evidence</w:t>
      </w:r>
      <w:r>
        <w:t>.</w:t>
      </w:r>
      <w:r w:rsidRPr="00E81402">
        <w:t xml:space="preserve">” </w:t>
      </w:r>
      <w:r>
        <w:t>I</w:t>
      </w:r>
      <w:r w:rsidRPr="00E81402">
        <w:t xml:space="preserve">n </w:t>
      </w:r>
      <w:r w:rsidRPr="00E81402">
        <w:rPr>
          <w:i/>
          <w:iCs/>
        </w:rPr>
        <w:t>Consuming Passions and Patterns of Consumption</w:t>
      </w:r>
      <w:r w:rsidR="00E84CCC">
        <w:t>,</w:t>
      </w:r>
      <w:r w:rsidRPr="00E81402">
        <w:t xml:space="preserve"> ed</w:t>
      </w:r>
      <w:r w:rsidR="00E84CCC">
        <w:t>ited</w:t>
      </w:r>
      <w:r w:rsidRPr="00E81402">
        <w:t xml:space="preserve"> by Preston Miracle and Nicky Milner</w:t>
      </w:r>
      <w:r w:rsidR="00AC7F9F">
        <w:t xml:space="preserve">, </w:t>
      </w:r>
      <w:r w:rsidR="00AC7F9F" w:rsidRPr="00AC7F9F">
        <w:t>25-31</w:t>
      </w:r>
      <w:r w:rsidR="00E84CCC">
        <w:t>.</w:t>
      </w:r>
      <w:r w:rsidRPr="00E81402">
        <w:t xml:space="preserve"> Cambridge: McDonald Institute for Archaeological Research, 2002</w:t>
      </w:r>
      <w:r w:rsidR="00AC7F9F">
        <w:t>.</w:t>
      </w:r>
    </w:p>
    <w:p w14:paraId="4171CF46" w14:textId="77777777" w:rsidR="00E81402" w:rsidRDefault="00E81402" w:rsidP="00970553">
      <w:pPr>
        <w:spacing w:after="0"/>
      </w:pPr>
    </w:p>
    <w:p w14:paraId="6CEBD593" w14:textId="77777777" w:rsidR="00B7289B" w:rsidRPr="00B7289B" w:rsidRDefault="00B7289B" w:rsidP="00B7289B">
      <w:pPr>
        <w:spacing w:after="0"/>
        <w:ind w:left="720" w:hanging="720"/>
      </w:pPr>
      <w:r w:rsidRPr="00B7289B">
        <w:t xml:space="preserve">Monk, Michael A., John Tierney, and Martha Hannon. "Archaeobotanical Studies in Early Medieval Munster." Edited by John Seehan. In </w:t>
      </w:r>
      <w:r w:rsidRPr="00B7289B">
        <w:rPr>
          <w:i/>
          <w:iCs/>
        </w:rPr>
        <w:t>Early Medieval Munster: Archaeology, History and Society</w:t>
      </w:r>
      <w:r w:rsidRPr="00B7289B">
        <w:t>, edited by Michael A. Monk, 65-75. Cork: Cork University Press, 1998.</w:t>
      </w:r>
    </w:p>
    <w:p w14:paraId="6BDA93ED" w14:textId="77777777" w:rsidR="0035346F" w:rsidRDefault="0035346F" w:rsidP="0035346F">
      <w:pPr>
        <w:spacing w:after="0"/>
      </w:pPr>
    </w:p>
    <w:p w14:paraId="3B69CAEE" w14:textId="77777777" w:rsidR="0035346F" w:rsidRDefault="0035346F" w:rsidP="0035346F">
      <w:pPr>
        <w:spacing w:after="0"/>
        <w:ind w:left="720" w:hanging="720"/>
      </w:pPr>
      <w:r w:rsidRPr="00893058">
        <w:t xml:space="preserve">Patterson, Nerys Thomas. </w:t>
      </w:r>
      <w:r w:rsidRPr="00893058">
        <w:rPr>
          <w:i/>
          <w:iCs/>
        </w:rPr>
        <w:t>Cattle-lords and Clansmen: The Social Structure of Early Ireland</w:t>
      </w:r>
      <w:r w:rsidRPr="00893058">
        <w:t>. Notre Dame: University of Notre Dame Press, 1994.</w:t>
      </w:r>
    </w:p>
    <w:p w14:paraId="649AF296" w14:textId="77777777" w:rsidR="0035346F" w:rsidRDefault="0035346F" w:rsidP="0035346F">
      <w:pPr>
        <w:spacing w:after="0"/>
        <w:ind w:left="720" w:hanging="720"/>
      </w:pPr>
    </w:p>
    <w:p w14:paraId="27595470" w14:textId="7B2326DD" w:rsidR="0035346F" w:rsidRPr="00531AA5" w:rsidRDefault="0035346F" w:rsidP="0035346F">
      <w:pPr>
        <w:spacing w:after="0"/>
        <w:ind w:left="720" w:hanging="720"/>
      </w:pPr>
      <w:r w:rsidRPr="00531AA5">
        <w:t xml:space="preserve">Peters, Cherie N. "’He Is Not Entitled to Butter’: The Diet of Peasants and Commoners in Early Medieval Ireland." In </w:t>
      </w:r>
      <w:r w:rsidRPr="00531AA5">
        <w:rPr>
          <w:i/>
          <w:iCs/>
        </w:rPr>
        <w:t>Food and Drink in Ireland</w:t>
      </w:r>
      <w:r w:rsidRPr="00531AA5">
        <w:t xml:space="preserve">, edited by Elizabeth FitzPatrick and James Kelly, 79-111. </w:t>
      </w:r>
      <w:r w:rsidR="009720D3">
        <w:t xml:space="preserve">Dublin: </w:t>
      </w:r>
      <w:r w:rsidRPr="00531AA5">
        <w:t>Royal Irish Academy, 2016.</w:t>
      </w:r>
    </w:p>
    <w:p w14:paraId="29090E67" w14:textId="6250A2C7" w:rsidR="0035346F" w:rsidRDefault="0035346F" w:rsidP="0035346F">
      <w:pPr>
        <w:spacing w:after="0"/>
        <w:ind w:left="720" w:hanging="720"/>
      </w:pPr>
    </w:p>
    <w:p w14:paraId="4A818B3A" w14:textId="57EEB9AD" w:rsidR="00116A11" w:rsidRDefault="00116A11" w:rsidP="0035346F">
      <w:pPr>
        <w:spacing w:after="0"/>
        <w:ind w:left="720" w:hanging="720"/>
      </w:pPr>
      <w:r w:rsidRPr="00116A11">
        <w:t>Peters,</w:t>
      </w:r>
      <w:r>
        <w:t xml:space="preserve"> Cherie</w:t>
      </w:r>
      <w:r w:rsidR="000A3E43">
        <w:t xml:space="preserve"> N</w:t>
      </w:r>
      <w:r>
        <w:t>.</w:t>
      </w:r>
      <w:r w:rsidRPr="00116A11">
        <w:t xml:space="preserve"> “Legal Position and Living Conditions of Peasants and Commoners in Early Medieval Ireland, c. 680-c. 1170” PhD. diss., Trinity College Dublin, 2014</w:t>
      </w:r>
      <w:r w:rsidR="0051773F">
        <w:t>.</w:t>
      </w:r>
    </w:p>
    <w:p w14:paraId="7C9D4713" w14:textId="77777777" w:rsidR="0035346F" w:rsidRPr="00710951" w:rsidRDefault="0035346F" w:rsidP="0035346F">
      <w:pPr>
        <w:spacing w:after="0"/>
        <w:rPr>
          <w:i/>
          <w:iCs/>
        </w:rPr>
      </w:pPr>
    </w:p>
    <w:p w14:paraId="094AD26E" w14:textId="77777777" w:rsidR="0035346F" w:rsidRDefault="0035346F" w:rsidP="0035346F">
      <w:pPr>
        <w:spacing w:after="0" w:line="480" w:lineRule="auto"/>
      </w:pPr>
    </w:p>
    <w:p w14:paraId="00615B58" w14:textId="77777777" w:rsidR="007F5B65" w:rsidRDefault="007F5B65" w:rsidP="007F5B65">
      <w:pPr>
        <w:spacing w:after="0" w:line="480" w:lineRule="auto"/>
      </w:pPr>
    </w:p>
    <w:sectPr w:rsidR="007F5B65" w:rsidSect="00F22717">
      <w:headerReference w:type="default" r:id="rId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6DA391" w14:textId="77777777" w:rsidR="00EC782C" w:rsidRDefault="00EC782C" w:rsidP="00151943">
      <w:pPr>
        <w:spacing w:after="0" w:line="240" w:lineRule="auto"/>
      </w:pPr>
      <w:r>
        <w:separator/>
      </w:r>
    </w:p>
  </w:endnote>
  <w:endnote w:type="continuationSeparator" w:id="0">
    <w:p w14:paraId="36BABA2E" w14:textId="77777777" w:rsidR="00EC782C" w:rsidRDefault="00EC782C" w:rsidP="001519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F84428" w14:textId="77777777" w:rsidR="00EC782C" w:rsidRDefault="00EC782C" w:rsidP="00151943">
      <w:pPr>
        <w:spacing w:after="0" w:line="240" w:lineRule="auto"/>
      </w:pPr>
      <w:r>
        <w:separator/>
      </w:r>
    </w:p>
  </w:footnote>
  <w:footnote w:type="continuationSeparator" w:id="0">
    <w:p w14:paraId="56EA67C9" w14:textId="77777777" w:rsidR="00EC782C" w:rsidRDefault="00EC782C" w:rsidP="00151943">
      <w:pPr>
        <w:spacing w:after="0" w:line="240" w:lineRule="auto"/>
      </w:pPr>
      <w:r>
        <w:continuationSeparator/>
      </w:r>
    </w:p>
  </w:footnote>
  <w:footnote w:id="1">
    <w:p w14:paraId="324B3BFD" w14:textId="00E8C928" w:rsidR="002C2B99" w:rsidRPr="00456746" w:rsidRDefault="002C2B99">
      <w:pPr>
        <w:pStyle w:val="FootnoteText"/>
      </w:pPr>
      <w:r>
        <w:rPr>
          <w:rStyle w:val="FootnoteReference"/>
        </w:rPr>
        <w:footnoteRef/>
      </w:r>
      <w:r>
        <w:t xml:space="preserve"> Óengus mac Óengobann, </w:t>
      </w:r>
      <w:r>
        <w:rPr>
          <w:i/>
          <w:iCs/>
        </w:rPr>
        <w:t>Félire Óengusso</w:t>
      </w:r>
      <w:r>
        <w:t>, quoted in F. J. Byrne, “Early Irish Society: 1</w:t>
      </w:r>
      <w:r w:rsidRPr="00456746">
        <w:rPr>
          <w:vertAlign w:val="superscript"/>
        </w:rPr>
        <w:t>st</w:t>
      </w:r>
      <w:r>
        <w:t>-9</w:t>
      </w:r>
      <w:r w:rsidRPr="00456746">
        <w:rPr>
          <w:vertAlign w:val="superscript"/>
        </w:rPr>
        <w:t>th</w:t>
      </w:r>
      <w:r>
        <w:t xml:space="preserve"> Century,” in </w:t>
      </w:r>
      <w:r>
        <w:rPr>
          <w:i/>
          <w:iCs/>
        </w:rPr>
        <w:t>The Course of Irish History</w:t>
      </w:r>
      <w:r>
        <w:t xml:space="preserve"> (Lanhma: Roberts Rinehard Publishers, 2011), 41. </w:t>
      </w:r>
    </w:p>
  </w:footnote>
  <w:footnote w:id="2">
    <w:p w14:paraId="0F249C21" w14:textId="115BD5C2" w:rsidR="002C2B99" w:rsidRPr="0019453A" w:rsidRDefault="002C2B99">
      <w:pPr>
        <w:pStyle w:val="FootnoteText"/>
      </w:pPr>
      <w:r>
        <w:rPr>
          <w:rStyle w:val="FootnoteReference"/>
        </w:rPr>
        <w:footnoteRef/>
      </w:r>
      <w:r>
        <w:t xml:space="preserve"> Óengus, </w:t>
      </w:r>
      <w:r>
        <w:rPr>
          <w:i/>
          <w:iCs/>
        </w:rPr>
        <w:t>Félire Óengusso</w:t>
      </w:r>
      <w:r>
        <w:t>, 41.</w:t>
      </w:r>
    </w:p>
  </w:footnote>
  <w:footnote w:id="3">
    <w:p w14:paraId="578B0D8E" w14:textId="373865A2" w:rsidR="002C2B99" w:rsidRPr="001D787D" w:rsidRDefault="002C2B99" w:rsidP="009B6B6F">
      <w:pPr>
        <w:pStyle w:val="FootnoteText"/>
      </w:pPr>
      <w:r>
        <w:rPr>
          <w:rStyle w:val="FootnoteReference"/>
        </w:rPr>
        <w:footnoteRef/>
      </w:r>
      <w:r>
        <w:t xml:space="preserve"> N. B. Aitchison, “Kingship, Society, and Sacrality: Rank, Power, and Ideology in Early Medieval Ireland,”</w:t>
      </w:r>
      <w:r>
        <w:rPr>
          <w:i/>
          <w:iCs/>
        </w:rPr>
        <w:t xml:space="preserve"> Traditio</w:t>
      </w:r>
      <w:r>
        <w:t xml:space="preserve"> 49 (1994): 46; Eoin MacNeill, </w:t>
      </w:r>
      <w:r>
        <w:rPr>
          <w:i/>
          <w:iCs/>
        </w:rPr>
        <w:t xml:space="preserve">Celtic Ireland </w:t>
      </w:r>
      <w:r>
        <w:t xml:space="preserve">(Dublin: 1921), 113-14.  Both articles hold the translation of </w:t>
      </w:r>
      <w:r>
        <w:rPr>
          <w:i/>
          <w:iCs/>
        </w:rPr>
        <w:t>túath</w:t>
      </w:r>
      <w:r>
        <w:t xml:space="preserve"> as “tribe” inaccurate, as this interpretation </w:t>
      </w:r>
      <w:r w:rsidRPr="004D76BD">
        <w:t>throughout past historiography and popular conception</w:t>
      </w:r>
      <w:r>
        <w:t xml:space="preserve"> </w:t>
      </w:r>
      <w:r w:rsidRPr="004D76BD">
        <w:t>undermine</w:t>
      </w:r>
      <w:r>
        <w:t>s</w:t>
      </w:r>
      <w:r w:rsidRPr="004D76BD">
        <w:t xml:space="preserve"> the scope of</w:t>
      </w:r>
      <w:r>
        <w:t xml:space="preserve"> early medieval</w:t>
      </w:r>
      <w:r w:rsidRPr="004D76BD">
        <w:t xml:space="preserve"> </w:t>
      </w:r>
      <w:r>
        <w:t xml:space="preserve">Ireland’s sociopolitical organization. </w:t>
      </w:r>
    </w:p>
  </w:footnote>
  <w:footnote w:id="4">
    <w:p w14:paraId="484F7561" w14:textId="43FEF9B5" w:rsidR="002C2B99" w:rsidRPr="007A29C4" w:rsidRDefault="002C2B99">
      <w:pPr>
        <w:pStyle w:val="FootnoteText"/>
      </w:pPr>
      <w:r>
        <w:rPr>
          <w:rStyle w:val="FootnoteReference"/>
        </w:rPr>
        <w:footnoteRef/>
      </w:r>
      <w:r>
        <w:t xml:space="preserve"> Chris Wickham, </w:t>
      </w:r>
      <w:r>
        <w:rPr>
          <w:i/>
          <w:iCs/>
        </w:rPr>
        <w:t>Framing the Early Middle Ages</w:t>
      </w:r>
      <w:r>
        <w:t xml:space="preserve"> (New York: Oxford University Press, 2005), 357-358.</w:t>
      </w:r>
    </w:p>
  </w:footnote>
  <w:footnote w:id="5">
    <w:p w14:paraId="62C1CB6F" w14:textId="29DAD646" w:rsidR="002C2B99" w:rsidRPr="00683A9A" w:rsidRDefault="002C2B99">
      <w:pPr>
        <w:pStyle w:val="FootnoteText"/>
      </w:pPr>
      <w:r>
        <w:rPr>
          <w:rStyle w:val="FootnoteReference"/>
        </w:rPr>
        <w:footnoteRef/>
      </w:r>
      <w:r>
        <w:t xml:space="preserve"> Thomas Charles-Edwards, </w:t>
      </w:r>
      <w:r>
        <w:rPr>
          <w:i/>
          <w:iCs/>
        </w:rPr>
        <w:t>Early Irish and Welsh Kinship</w:t>
      </w:r>
      <w:r>
        <w:t xml:space="preserve"> (New York: Oxford University Press, 1993), 3.</w:t>
      </w:r>
    </w:p>
  </w:footnote>
  <w:footnote w:id="6">
    <w:p w14:paraId="0CC019D8" w14:textId="10CCE4F7" w:rsidR="002C2B99" w:rsidRPr="00D10363" w:rsidRDefault="002C2B99">
      <w:pPr>
        <w:pStyle w:val="FootnoteText"/>
      </w:pPr>
      <w:r>
        <w:rPr>
          <w:rStyle w:val="FootnoteReference"/>
        </w:rPr>
        <w:footnoteRef/>
      </w:r>
      <w:r>
        <w:t xml:space="preserve"> </w:t>
      </w:r>
      <w:r w:rsidRPr="00D10363">
        <w:t xml:space="preserve">Charles-Edwards, </w:t>
      </w:r>
      <w:r w:rsidRPr="00D10363">
        <w:rPr>
          <w:i/>
          <w:iCs/>
        </w:rPr>
        <w:t xml:space="preserve">Early Irish </w:t>
      </w:r>
      <w:r>
        <w:rPr>
          <w:i/>
          <w:iCs/>
        </w:rPr>
        <w:t>Kinship</w:t>
      </w:r>
      <w:r>
        <w:t xml:space="preserve">, 471. </w:t>
      </w:r>
    </w:p>
  </w:footnote>
  <w:footnote w:id="7">
    <w:p w14:paraId="4089A1D9" w14:textId="5E770C00" w:rsidR="002C2B99" w:rsidRPr="00367EB3" w:rsidRDefault="002C2B99">
      <w:pPr>
        <w:pStyle w:val="FootnoteText"/>
      </w:pPr>
      <w:r>
        <w:rPr>
          <w:rStyle w:val="FootnoteReference"/>
        </w:rPr>
        <w:footnoteRef/>
      </w:r>
      <w:r>
        <w:t xml:space="preserve"> Charles-Edwards, </w:t>
      </w:r>
      <w:r>
        <w:rPr>
          <w:i/>
          <w:iCs/>
        </w:rPr>
        <w:t xml:space="preserve">Early Irish Kinship, </w:t>
      </w:r>
      <w:r>
        <w:t>336.</w:t>
      </w:r>
    </w:p>
  </w:footnote>
  <w:footnote w:id="8">
    <w:p w14:paraId="4AFE5F43" w14:textId="1814328C" w:rsidR="002C2B99" w:rsidRPr="001A3C1D" w:rsidRDefault="002C2B99">
      <w:pPr>
        <w:pStyle w:val="FootnoteText"/>
      </w:pPr>
      <w:r>
        <w:rPr>
          <w:rStyle w:val="FootnoteReference"/>
        </w:rPr>
        <w:footnoteRef/>
      </w:r>
      <w:r>
        <w:t xml:space="preserve"> Charles-Edwards, </w:t>
      </w:r>
      <w:r>
        <w:rPr>
          <w:i/>
          <w:iCs/>
        </w:rPr>
        <w:t>Early Irish Kinship</w:t>
      </w:r>
      <w:r>
        <w:t>, 460.</w:t>
      </w:r>
    </w:p>
  </w:footnote>
  <w:footnote w:id="9">
    <w:p w14:paraId="2864D42D" w14:textId="5E88F9BE" w:rsidR="002C2B99" w:rsidRPr="00056790" w:rsidRDefault="002C2B99">
      <w:pPr>
        <w:pStyle w:val="FootnoteText"/>
      </w:pPr>
      <w:r>
        <w:rPr>
          <w:rStyle w:val="FootnoteReference"/>
        </w:rPr>
        <w:footnoteRef/>
      </w:r>
      <w:r>
        <w:t xml:space="preserve"> Charles-Edwards, </w:t>
      </w:r>
      <w:r>
        <w:rPr>
          <w:i/>
          <w:iCs/>
        </w:rPr>
        <w:t xml:space="preserve">Early Irish Kinship, </w:t>
      </w:r>
      <w:r>
        <w:t>357.</w:t>
      </w:r>
    </w:p>
  </w:footnote>
  <w:footnote w:id="10">
    <w:p w14:paraId="27EC23B2" w14:textId="77777777" w:rsidR="002C2B99" w:rsidRPr="00BC084F" w:rsidRDefault="002C2B99" w:rsidP="003E3035">
      <w:pPr>
        <w:pStyle w:val="FootnoteText"/>
      </w:pPr>
      <w:r>
        <w:rPr>
          <w:rStyle w:val="FootnoteReference"/>
        </w:rPr>
        <w:footnoteRef/>
      </w:r>
      <w:r>
        <w:t xml:space="preserve"> Nerys Thomas Patterson, </w:t>
      </w:r>
      <w:r>
        <w:rPr>
          <w:i/>
          <w:iCs/>
        </w:rPr>
        <w:t xml:space="preserve">Cattle-lords and Clansmen: The Social Structure of Early Ireland </w:t>
      </w:r>
      <w:r>
        <w:t>(Notre Dame: University of Notre Dame Press, 1994), 30.</w:t>
      </w:r>
    </w:p>
  </w:footnote>
  <w:footnote w:id="11">
    <w:p w14:paraId="46DDF4E7" w14:textId="6FFD427E" w:rsidR="002C2B99" w:rsidRPr="00926F6C" w:rsidRDefault="002C2B99">
      <w:pPr>
        <w:pStyle w:val="FootnoteText"/>
      </w:pPr>
      <w:r>
        <w:rPr>
          <w:rStyle w:val="FootnoteReference"/>
        </w:rPr>
        <w:footnoteRef/>
      </w:r>
      <w:r>
        <w:t xml:space="preserve"> Patterson, </w:t>
      </w:r>
      <w:r>
        <w:rPr>
          <w:i/>
          <w:iCs/>
        </w:rPr>
        <w:t>Cattle-Lords and Clansmen</w:t>
      </w:r>
      <w:r>
        <w:t>, 152.</w:t>
      </w:r>
    </w:p>
  </w:footnote>
  <w:footnote w:id="12">
    <w:p w14:paraId="26965948" w14:textId="73E2D6F3" w:rsidR="002C2B99" w:rsidRPr="00720617" w:rsidRDefault="002C2B99" w:rsidP="00D20D45">
      <w:pPr>
        <w:pStyle w:val="FootnoteText"/>
      </w:pPr>
      <w:r>
        <w:rPr>
          <w:rStyle w:val="FootnoteReference"/>
        </w:rPr>
        <w:footnoteRef/>
      </w:r>
      <w:r>
        <w:t xml:space="preserve"> </w:t>
      </w:r>
      <w:r w:rsidRPr="00883535">
        <w:t>Aitchison, “Kingship, Society, and Sacrality,”</w:t>
      </w:r>
      <w:r w:rsidRPr="00883535">
        <w:rPr>
          <w:i/>
          <w:iCs/>
        </w:rPr>
        <w:t xml:space="preserve"> </w:t>
      </w:r>
      <w:r>
        <w:t xml:space="preserve">48; Eoin MacNeill, “Ancient Irish Law: The Law of Status or Franchise,” </w:t>
      </w:r>
      <w:r>
        <w:rPr>
          <w:i/>
          <w:iCs/>
        </w:rPr>
        <w:t>Proceedings of the Royal Irish Academy</w:t>
      </w:r>
      <w:r>
        <w:t xml:space="preserve"> 36C (</w:t>
      </w:r>
      <w:r w:rsidRPr="003829FF">
        <w:t xml:space="preserve">Dublin: Hodges, Figgis, &amp; Co., </w:t>
      </w:r>
      <w:r>
        <w:t xml:space="preserve">1923), 265-272.  For readability, the English titles of the </w:t>
      </w:r>
      <w:r>
        <w:rPr>
          <w:i/>
          <w:iCs/>
        </w:rPr>
        <w:t>Críth Gablach</w:t>
      </w:r>
      <w:r>
        <w:t xml:space="preserve"> and the </w:t>
      </w:r>
      <w:r>
        <w:rPr>
          <w:i/>
          <w:iCs/>
        </w:rPr>
        <w:t>Uraicecht Becc</w:t>
      </w:r>
      <w:r>
        <w:t xml:space="preserve">, translated by Eoin MacNeill, will be used instead of the original Irish. </w:t>
      </w:r>
    </w:p>
  </w:footnote>
  <w:footnote w:id="13">
    <w:p w14:paraId="59011B5F" w14:textId="456488C8" w:rsidR="002C2B99" w:rsidRDefault="002C2B99">
      <w:pPr>
        <w:pStyle w:val="FootnoteText"/>
      </w:pPr>
      <w:r>
        <w:rPr>
          <w:rStyle w:val="FootnoteReference"/>
        </w:rPr>
        <w:footnoteRef/>
      </w:r>
      <w:r>
        <w:t xml:space="preserve"> </w:t>
      </w:r>
      <w:r w:rsidRPr="001E1C13">
        <w:t xml:space="preserve">Dáibhí Ó Cróinín, </w:t>
      </w:r>
      <w:r w:rsidRPr="001E1C13">
        <w:rPr>
          <w:i/>
          <w:iCs/>
        </w:rPr>
        <w:t>Early Medieval Ireland: 400-1200</w:t>
      </w:r>
      <w:r w:rsidRPr="001E1C13">
        <w:t xml:space="preserve"> (New York: Routledge, 2017),</w:t>
      </w:r>
      <w:r>
        <w:t xml:space="preserve"> 112.</w:t>
      </w:r>
    </w:p>
  </w:footnote>
  <w:footnote w:id="14">
    <w:p w14:paraId="05A9A3C2" w14:textId="4C2C5F14" w:rsidR="002C2B99" w:rsidRPr="00623794" w:rsidRDefault="002C2B99">
      <w:pPr>
        <w:pStyle w:val="FootnoteText"/>
      </w:pPr>
      <w:r>
        <w:rPr>
          <w:rStyle w:val="FootnoteReference"/>
        </w:rPr>
        <w:footnoteRef/>
      </w:r>
      <w:r>
        <w:t xml:space="preserve"> Cróinín, </w:t>
      </w:r>
      <w:r>
        <w:rPr>
          <w:i/>
          <w:iCs/>
        </w:rPr>
        <w:t>Early Medieval Ireland</w:t>
      </w:r>
      <w:r>
        <w:t>, 119.</w:t>
      </w:r>
    </w:p>
  </w:footnote>
  <w:footnote w:id="15">
    <w:p w14:paraId="3E829683" w14:textId="32D4ECA8" w:rsidR="002C2B99" w:rsidRPr="007B6689" w:rsidRDefault="002C2B99">
      <w:pPr>
        <w:pStyle w:val="FootnoteText"/>
      </w:pPr>
      <w:r>
        <w:rPr>
          <w:rStyle w:val="FootnoteReference"/>
        </w:rPr>
        <w:footnoteRef/>
      </w:r>
      <w:r>
        <w:t xml:space="preserve"> Cróinín, </w:t>
      </w:r>
      <w:r>
        <w:rPr>
          <w:i/>
          <w:iCs/>
        </w:rPr>
        <w:t>Early Medieval Ireland</w:t>
      </w:r>
      <w:r>
        <w:t>, 116.</w:t>
      </w:r>
    </w:p>
  </w:footnote>
  <w:footnote w:id="16">
    <w:p w14:paraId="480F940C" w14:textId="04DF2C31" w:rsidR="002C2B99" w:rsidRDefault="002C2B99">
      <w:pPr>
        <w:pStyle w:val="FootnoteText"/>
      </w:pPr>
      <w:r>
        <w:rPr>
          <w:rStyle w:val="FootnoteReference"/>
        </w:rPr>
        <w:footnoteRef/>
      </w:r>
      <w:r>
        <w:t xml:space="preserve"> </w:t>
      </w:r>
      <w:r w:rsidRPr="00325730">
        <w:t xml:space="preserve">Fergus Kelly, </w:t>
      </w:r>
      <w:r w:rsidRPr="00325730">
        <w:rPr>
          <w:i/>
          <w:iCs/>
        </w:rPr>
        <w:t>A Guide to Early Irish Law</w:t>
      </w:r>
      <w:r w:rsidRPr="00325730">
        <w:t xml:space="preserve"> (Dublin: Dublin Institute for Advanced Studies, 1998), </w:t>
      </w:r>
      <w:r>
        <w:t>7.</w:t>
      </w:r>
    </w:p>
  </w:footnote>
  <w:footnote w:id="17">
    <w:p w14:paraId="617B0461" w14:textId="2D635F6A" w:rsidR="002C2B99" w:rsidRPr="009D04E9" w:rsidRDefault="002C2B99">
      <w:pPr>
        <w:pStyle w:val="FootnoteText"/>
      </w:pPr>
      <w:r>
        <w:rPr>
          <w:rStyle w:val="FootnoteReference"/>
        </w:rPr>
        <w:footnoteRef/>
      </w:r>
      <w:r>
        <w:t xml:space="preserve"> Kelly, </w:t>
      </w:r>
      <w:r>
        <w:rPr>
          <w:i/>
          <w:iCs/>
        </w:rPr>
        <w:t>Early Irish Law</w:t>
      </w:r>
      <w:r>
        <w:t>, 233.</w:t>
      </w:r>
    </w:p>
  </w:footnote>
  <w:footnote w:id="18">
    <w:p w14:paraId="534C354A" w14:textId="66CC4F45" w:rsidR="002C2B99" w:rsidRPr="00352071" w:rsidRDefault="002C2B99">
      <w:pPr>
        <w:pStyle w:val="FootnoteText"/>
      </w:pPr>
      <w:r>
        <w:rPr>
          <w:rStyle w:val="FootnoteReference"/>
        </w:rPr>
        <w:footnoteRef/>
      </w:r>
      <w:r>
        <w:t xml:space="preserve"> </w:t>
      </w:r>
      <w:r>
        <w:rPr>
          <w:i/>
          <w:iCs/>
        </w:rPr>
        <w:t>Críth Gablach</w:t>
      </w:r>
      <w:r>
        <w:t xml:space="preserve">, in “Ancient Irish Law,” ed. and trans. Eoin MacNeill, 282. </w:t>
      </w:r>
    </w:p>
  </w:footnote>
  <w:footnote w:id="19">
    <w:p w14:paraId="1332E4D5" w14:textId="175300CA" w:rsidR="002C2B99" w:rsidRPr="005E60F5" w:rsidRDefault="002C2B99">
      <w:pPr>
        <w:pStyle w:val="FootnoteText"/>
      </w:pPr>
      <w:r>
        <w:rPr>
          <w:rStyle w:val="FootnoteReference"/>
        </w:rPr>
        <w:footnoteRef/>
      </w:r>
      <w:r>
        <w:t xml:space="preserve"> </w:t>
      </w:r>
      <w:r>
        <w:rPr>
          <w:i/>
          <w:iCs/>
        </w:rPr>
        <w:t>Uraicecht Becc</w:t>
      </w:r>
      <w:r>
        <w:t>, i</w:t>
      </w:r>
      <w:r w:rsidRPr="00F16530">
        <w:t xml:space="preserve">n “Ancient Irish Law,” ed. and trans. Eoin MacNeill, </w:t>
      </w:r>
      <w:r>
        <w:t>273.</w:t>
      </w:r>
    </w:p>
  </w:footnote>
  <w:footnote w:id="20">
    <w:p w14:paraId="2E21C0F8" w14:textId="62DD996F" w:rsidR="002C2B99" w:rsidRPr="00EA60E3" w:rsidRDefault="002C2B99">
      <w:pPr>
        <w:pStyle w:val="FootnoteText"/>
      </w:pPr>
      <w:r>
        <w:rPr>
          <w:rStyle w:val="FootnoteReference"/>
        </w:rPr>
        <w:footnoteRef/>
      </w:r>
      <w:r>
        <w:t xml:space="preserve"> </w:t>
      </w:r>
      <w:r>
        <w:rPr>
          <w:i/>
          <w:iCs/>
        </w:rPr>
        <w:t>Uraicecht Becc</w:t>
      </w:r>
      <w:r>
        <w:t>,</w:t>
      </w:r>
      <w:r w:rsidRPr="00A24F44">
        <w:rPr>
          <w:sz w:val="24"/>
          <w:szCs w:val="22"/>
        </w:rPr>
        <w:t xml:space="preserve"> </w:t>
      </w:r>
      <w:r w:rsidRPr="00A24F44">
        <w:t>in “Ancient Irish Law,” ed. and trans. Eoin MacNeill</w:t>
      </w:r>
      <w:r>
        <w:t xml:space="preserve">, 272. </w:t>
      </w:r>
    </w:p>
  </w:footnote>
  <w:footnote w:id="21">
    <w:p w14:paraId="3CE4AF10" w14:textId="2D984B3C" w:rsidR="002C2B99" w:rsidRDefault="002C2B99">
      <w:pPr>
        <w:pStyle w:val="FootnoteText"/>
      </w:pPr>
      <w:r>
        <w:rPr>
          <w:rStyle w:val="FootnoteReference"/>
        </w:rPr>
        <w:footnoteRef/>
      </w:r>
      <w:r>
        <w:t xml:space="preserve"> </w:t>
      </w:r>
      <w:r w:rsidRPr="00961B67">
        <w:t xml:space="preserve">Cróinín, </w:t>
      </w:r>
      <w:r w:rsidRPr="00961B67">
        <w:rPr>
          <w:i/>
          <w:iCs/>
        </w:rPr>
        <w:t>Early Medieval Ireland</w:t>
      </w:r>
      <w:r w:rsidRPr="00961B67">
        <w:t>, 118; Aitchison, “Kingship, Society, and Sacrality,”</w:t>
      </w:r>
      <w:r w:rsidRPr="00961B67">
        <w:rPr>
          <w:i/>
          <w:iCs/>
        </w:rPr>
        <w:t xml:space="preserve"> </w:t>
      </w:r>
      <w:r w:rsidRPr="00961B67">
        <w:t>48; Riitta Latvio, “Status and Exchange in Early Irish Laws,</w:t>
      </w:r>
      <w:r>
        <w:t>”</w:t>
      </w:r>
      <w:r w:rsidRPr="00961B67">
        <w:t xml:space="preserve"> </w:t>
      </w:r>
      <w:r w:rsidRPr="00961B67">
        <w:rPr>
          <w:i/>
          <w:iCs/>
        </w:rPr>
        <w:t>Studia Celtica Fennica</w:t>
      </w:r>
      <w:r w:rsidRPr="00961B67">
        <w:t xml:space="preserve"> no. 2 (2005): 68.</w:t>
      </w:r>
    </w:p>
  </w:footnote>
  <w:footnote w:id="22">
    <w:p w14:paraId="7A343EE4" w14:textId="6449E024" w:rsidR="002C2B99" w:rsidRPr="00531A87" w:rsidRDefault="002C2B99">
      <w:pPr>
        <w:pStyle w:val="FootnoteText"/>
      </w:pPr>
      <w:r>
        <w:rPr>
          <w:rStyle w:val="FootnoteReference"/>
        </w:rPr>
        <w:footnoteRef/>
      </w:r>
      <w:r>
        <w:t xml:space="preserve"> The institution of sick-maintenance, for example, which demanded the perpetrator nurse his victim back to health, diluted into a single payment based on the victim’s rank: “Sick-maintenance does not exist to-day, in this time, but only the payment of his worthy means to everyone according to his dignity, including physician’s hire and linen and food provisions and the price of the disfigurement, injury, or defect; but there is a common due for every order of the orders of the </w:t>
      </w:r>
      <w:r>
        <w:rPr>
          <w:i/>
          <w:iCs/>
        </w:rPr>
        <w:t xml:space="preserve">túath </w:t>
      </w:r>
      <w:r>
        <w:t xml:space="preserve">in the law of sick-maintenance.” </w:t>
      </w:r>
      <w:r w:rsidRPr="00C75682">
        <w:rPr>
          <w:i/>
          <w:iCs/>
        </w:rPr>
        <w:t>Críth Gablach</w:t>
      </w:r>
      <w:r w:rsidRPr="00C75682">
        <w:t xml:space="preserve">, </w:t>
      </w:r>
      <w:r>
        <w:t xml:space="preserve">284. </w:t>
      </w:r>
    </w:p>
  </w:footnote>
  <w:footnote w:id="23">
    <w:p w14:paraId="304D0FAA" w14:textId="1734B1D9" w:rsidR="002C2B99" w:rsidRPr="00BD5BB0" w:rsidRDefault="002C2B99">
      <w:pPr>
        <w:pStyle w:val="FootnoteText"/>
      </w:pPr>
      <w:r>
        <w:rPr>
          <w:rStyle w:val="FootnoteReference"/>
        </w:rPr>
        <w:footnoteRef/>
      </w:r>
      <w:r>
        <w:t xml:space="preserve"> </w:t>
      </w:r>
      <w:r>
        <w:rPr>
          <w:i/>
          <w:iCs/>
        </w:rPr>
        <w:t>Críth Gablach</w:t>
      </w:r>
      <w:r>
        <w:t xml:space="preserve">, ed. D. A. Binchy, Mediaeval and Modern Irish Series 11 (Dublin, 1941), xix; Kelly, </w:t>
      </w:r>
      <w:r>
        <w:rPr>
          <w:i/>
          <w:iCs/>
        </w:rPr>
        <w:t>A Guide to Early Irish Law</w:t>
      </w:r>
      <w:r>
        <w:t xml:space="preserve">, 9.  </w:t>
      </w:r>
    </w:p>
  </w:footnote>
  <w:footnote w:id="24">
    <w:p w14:paraId="14B335B0" w14:textId="681E3BE6" w:rsidR="002C2B99" w:rsidRPr="00DA5AA3" w:rsidRDefault="002C2B99">
      <w:pPr>
        <w:pStyle w:val="FootnoteText"/>
      </w:pPr>
      <w:r>
        <w:rPr>
          <w:rStyle w:val="FootnoteReference"/>
        </w:rPr>
        <w:footnoteRef/>
      </w:r>
      <w:r>
        <w:t xml:space="preserve"> MacNeill, “Ancient Irish Law,” 265-66.  </w:t>
      </w:r>
    </w:p>
  </w:footnote>
  <w:footnote w:id="25">
    <w:p w14:paraId="1D1780D0" w14:textId="28BF6631" w:rsidR="002C2B99" w:rsidRDefault="002C2B99">
      <w:pPr>
        <w:pStyle w:val="FootnoteText"/>
      </w:pPr>
      <w:r>
        <w:rPr>
          <w:rStyle w:val="FootnoteReference"/>
        </w:rPr>
        <w:footnoteRef/>
      </w:r>
      <w:r>
        <w:t xml:space="preserve"> </w:t>
      </w:r>
      <w:r w:rsidRPr="00243D8C">
        <w:rPr>
          <w:i/>
          <w:iCs/>
        </w:rPr>
        <w:t>Míadṡlechtae</w:t>
      </w:r>
      <w:r>
        <w:t>,</w:t>
      </w:r>
      <w:r w:rsidRPr="00243D8C">
        <w:t xml:space="preserve"> </w:t>
      </w:r>
      <w:r>
        <w:t>t</w:t>
      </w:r>
      <w:r w:rsidRPr="00243D8C">
        <w:t>rans</w:t>
      </w:r>
      <w:r>
        <w:t xml:space="preserve">. </w:t>
      </w:r>
      <w:r w:rsidRPr="00243D8C">
        <w:t>Gerald Manning</w:t>
      </w:r>
      <w:r>
        <w:t xml:space="preserve">, </w:t>
      </w:r>
      <w:r w:rsidRPr="00243D8C">
        <w:t xml:space="preserve">"Míadṡlechtae: An Old Irish Law Text on Status" </w:t>
      </w:r>
      <w:r>
        <w:t xml:space="preserve">(PhD diss., </w:t>
      </w:r>
      <w:r w:rsidRPr="00243D8C">
        <w:t>Trinity College, 2005</w:t>
      </w:r>
      <w:r>
        <w:t xml:space="preserve">), </w:t>
      </w:r>
      <w:r w:rsidRPr="00243D8C">
        <w:t>http://www.tara.tcd.ie/handle/2262/78481</w:t>
      </w:r>
      <w:r>
        <w:t>, 33.</w:t>
      </w:r>
    </w:p>
  </w:footnote>
  <w:footnote w:id="26">
    <w:p w14:paraId="4A47383E" w14:textId="77777777" w:rsidR="002C2B99" w:rsidRPr="0095096C" w:rsidRDefault="002C2B99" w:rsidP="005C247D">
      <w:pPr>
        <w:pStyle w:val="FootnoteText"/>
        <w:rPr>
          <w:i/>
          <w:iCs/>
        </w:rPr>
      </w:pPr>
      <w:r>
        <w:rPr>
          <w:rStyle w:val="FootnoteReference"/>
        </w:rPr>
        <w:footnoteRef/>
      </w:r>
      <w:r>
        <w:t xml:space="preserve"> </w:t>
      </w:r>
      <w:r w:rsidRPr="00B248CA">
        <w:t>Latvio, “Status and Exchange in Early Irish Laws,” 70</w:t>
      </w:r>
      <w:r>
        <w:t>.</w:t>
      </w:r>
    </w:p>
  </w:footnote>
  <w:footnote w:id="27">
    <w:p w14:paraId="17868808" w14:textId="7C69640E" w:rsidR="002C2B99" w:rsidRDefault="002C2B99">
      <w:pPr>
        <w:pStyle w:val="FootnoteText"/>
      </w:pPr>
      <w:r>
        <w:rPr>
          <w:rStyle w:val="FootnoteReference"/>
        </w:rPr>
        <w:footnoteRef/>
      </w:r>
      <w:r>
        <w:t xml:space="preserve"> </w:t>
      </w:r>
      <w:r w:rsidRPr="005C247D">
        <w:t>Aitchison, “Kingship, Society, and Sacrality,” 52</w:t>
      </w:r>
      <w:r>
        <w:t>.</w:t>
      </w:r>
    </w:p>
  </w:footnote>
  <w:footnote w:id="28">
    <w:p w14:paraId="68A26CE1" w14:textId="72F76F6C" w:rsidR="002C2B99" w:rsidRDefault="002C2B99">
      <w:pPr>
        <w:pStyle w:val="FootnoteText"/>
      </w:pPr>
      <w:r>
        <w:rPr>
          <w:rStyle w:val="FootnoteReference"/>
        </w:rPr>
        <w:footnoteRef/>
      </w:r>
      <w:r>
        <w:t xml:space="preserve"> Aitchison, “Kingship, Society, and Sacrality,” 52.</w:t>
      </w:r>
    </w:p>
  </w:footnote>
  <w:footnote w:id="29">
    <w:p w14:paraId="2B640470" w14:textId="64FEFEBE" w:rsidR="002C2B99" w:rsidRDefault="002C2B99">
      <w:pPr>
        <w:pStyle w:val="FootnoteText"/>
      </w:pPr>
      <w:r>
        <w:rPr>
          <w:rStyle w:val="FootnoteReference"/>
        </w:rPr>
        <w:footnoteRef/>
      </w:r>
      <w:r>
        <w:t xml:space="preserve"> Latvio, “Status and Exchange in Early Irish Law,” 70.</w:t>
      </w:r>
    </w:p>
  </w:footnote>
  <w:footnote w:id="30">
    <w:p w14:paraId="0B3D5AD5" w14:textId="66A701EC" w:rsidR="002C2B99" w:rsidRPr="00490B6A" w:rsidRDefault="002C2B99">
      <w:pPr>
        <w:pStyle w:val="FootnoteText"/>
      </w:pPr>
      <w:r>
        <w:rPr>
          <w:rStyle w:val="FootnoteReference"/>
        </w:rPr>
        <w:footnoteRef/>
      </w:r>
      <w:r>
        <w:t xml:space="preserve"> Kelly</w:t>
      </w:r>
      <w:r>
        <w:rPr>
          <w:i/>
          <w:iCs/>
        </w:rPr>
        <w:t>, Early Irish Law</w:t>
      </w:r>
      <w:r>
        <w:t>, 9.</w:t>
      </w:r>
    </w:p>
  </w:footnote>
  <w:footnote w:id="31">
    <w:p w14:paraId="4E9942B9" w14:textId="08FAB6AD" w:rsidR="002C2B99" w:rsidRPr="000B2951" w:rsidRDefault="002C2B99">
      <w:pPr>
        <w:pStyle w:val="FootnoteText"/>
      </w:pPr>
      <w:r>
        <w:rPr>
          <w:rStyle w:val="FootnoteReference"/>
        </w:rPr>
        <w:footnoteRef/>
      </w:r>
      <w:r>
        <w:t xml:space="preserve"> Kelly, </w:t>
      </w:r>
      <w:r>
        <w:rPr>
          <w:i/>
          <w:iCs/>
        </w:rPr>
        <w:t>Early Irish Law</w:t>
      </w:r>
      <w:r>
        <w:t xml:space="preserve">, 7-8; </w:t>
      </w:r>
      <w:r w:rsidRPr="000B2951">
        <w:t>Aitchison, “Kingship, Society, and Sacrality,”</w:t>
      </w:r>
      <w:r w:rsidRPr="000B2951">
        <w:rPr>
          <w:i/>
          <w:iCs/>
        </w:rPr>
        <w:t xml:space="preserve"> </w:t>
      </w:r>
      <w:r w:rsidRPr="000B2951">
        <w:t>4</w:t>
      </w:r>
      <w:r>
        <w:t>9.</w:t>
      </w:r>
    </w:p>
  </w:footnote>
  <w:footnote w:id="32">
    <w:p w14:paraId="24006ED1" w14:textId="2EF7A718" w:rsidR="002C2B99" w:rsidRPr="0055435D" w:rsidRDefault="002C2B99">
      <w:pPr>
        <w:pStyle w:val="FootnoteText"/>
      </w:pPr>
      <w:r>
        <w:rPr>
          <w:rStyle w:val="FootnoteReference"/>
        </w:rPr>
        <w:footnoteRef/>
      </w:r>
      <w:r>
        <w:t xml:space="preserve"> Thomas Charles-Edwards, “Kinship, Status and the Origins of the Hide,” </w:t>
      </w:r>
      <w:r>
        <w:rPr>
          <w:i/>
          <w:iCs/>
        </w:rPr>
        <w:t xml:space="preserve">Past &amp; Present </w:t>
      </w:r>
      <w:r>
        <w:t xml:space="preserve">56 (1972): 9; </w:t>
      </w:r>
      <w:r>
        <w:rPr>
          <w:i/>
          <w:iCs/>
        </w:rPr>
        <w:t>Críth Gablach</w:t>
      </w:r>
      <w:r>
        <w:t>, ed. D.A. Binchy, 78.</w:t>
      </w:r>
    </w:p>
  </w:footnote>
  <w:footnote w:id="33">
    <w:p w14:paraId="7542D30B" w14:textId="63824F5D" w:rsidR="002C2B99" w:rsidRPr="00764936" w:rsidRDefault="002C2B99">
      <w:pPr>
        <w:pStyle w:val="FootnoteText"/>
      </w:pPr>
      <w:r>
        <w:rPr>
          <w:rStyle w:val="FootnoteReference"/>
        </w:rPr>
        <w:footnoteRef/>
      </w:r>
      <w:r>
        <w:t xml:space="preserve"> </w:t>
      </w:r>
      <w:r>
        <w:rPr>
          <w:i/>
          <w:iCs/>
        </w:rPr>
        <w:t>Críth Gablach</w:t>
      </w:r>
      <w:r>
        <w:t>, in “Ancient Irish Law,” ed. and trans. Eoin MacNeill, 290-291.</w:t>
      </w:r>
    </w:p>
  </w:footnote>
  <w:footnote w:id="34">
    <w:p w14:paraId="3634E63D" w14:textId="51684E80" w:rsidR="002C2B99" w:rsidRPr="000F0999" w:rsidRDefault="002C2B99">
      <w:pPr>
        <w:pStyle w:val="FootnoteText"/>
      </w:pPr>
      <w:r>
        <w:rPr>
          <w:rStyle w:val="FootnoteReference"/>
        </w:rPr>
        <w:footnoteRef/>
      </w:r>
      <w:r>
        <w:t xml:space="preserve"> </w:t>
      </w:r>
      <w:r>
        <w:rPr>
          <w:i/>
          <w:iCs/>
        </w:rPr>
        <w:t>Críth Gablach</w:t>
      </w:r>
      <w:r>
        <w:t>, in “Ancient Irish Law,” ed. and trans. Eoin MacNeill, 298.</w:t>
      </w:r>
    </w:p>
  </w:footnote>
  <w:footnote w:id="35">
    <w:p w14:paraId="70A7AF81" w14:textId="6FD9AAEB" w:rsidR="002C2B99" w:rsidRPr="00F72B9D" w:rsidRDefault="002C2B99">
      <w:pPr>
        <w:pStyle w:val="FootnoteText"/>
      </w:pPr>
      <w:r>
        <w:rPr>
          <w:rStyle w:val="FootnoteReference"/>
        </w:rPr>
        <w:footnoteRef/>
      </w:r>
      <w:r>
        <w:t xml:space="preserve"> Note that the </w:t>
      </w:r>
      <w:r>
        <w:rPr>
          <w:i/>
          <w:iCs/>
        </w:rPr>
        <w:t xml:space="preserve">Little Grammar </w:t>
      </w:r>
      <w:r>
        <w:t xml:space="preserve">uses </w:t>
      </w:r>
      <w:r w:rsidRPr="00F72B9D">
        <w:rPr>
          <w:i/>
          <w:iCs/>
        </w:rPr>
        <w:t>eneclann</w:t>
      </w:r>
      <w:r>
        <w:rPr>
          <w:i/>
          <w:iCs/>
        </w:rPr>
        <w:t xml:space="preserve"> </w:t>
      </w:r>
      <w:r>
        <w:t xml:space="preserve">to refer to honor price. See </w:t>
      </w:r>
      <w:r w:rsidRPr="00B910EE">
        <w:rPr>
          <w:i/>
          <w:iCs/>
        </w:rPr>
        <w:t>Uraicecht Becc</w:t>
      </w:r>
      <w:r w:rsidRPr="00B910EE">
        <w:t xml:space="preserve">, </w:t>
      </w:r>
      <w:r>
        <w:t>278.</w:t>
      </w:r>
    </w:p>
  </w:footnote>
  <w:footnote w:id="36">
    <w:p w14:paraId="63622AF3" w14:textId="77777777" w:rsidR="002C2B99" w:rsidRPr="003822D9" w:rsidRDefault="002C2B99" w:rsidP="00601E58">
      <w:pPr>
        <w:pStyle w:val="FootnoteText"/>
      </w:pPr>
      <w:r>
        <w:rPr>
          <w:rStyle w:val="FootnoteReference"/>
        </w:rPr>
        <w:footnoteRef/>
      </w:r>
      <w:r>
        <w:t xml:space="preserve"> </w:t>
      </w:r>
      <w:r>
        <w:rPr>
          <w:i/>
          <w:iCs/>
        </w:rPr>
        <w:t>The Instructions of King Cormac mac Airt</w:t>
      </w:r>
      <w:r>
        <w:t xml:space="preserve">, Todd Lecture Series 15, ed. and trans. Kuno Meyer (Dublin: Hodges Figgis &amp; Co, 1909), 15. </w:t>
      </w:r>
      <w:r w:rsidRPr="00F46841">
        <w:t>https://celt.ucc.ie/published/T503001.html</w:t>
      </w:r>
    </w:p>
  </w:footnote>
  <w:footnote w:id="37">
    <w:p w14:paraId="5A296D31" w14:textId="23F6BEB8" w:rsidR="002C2B99" w:rsidRPr="005B5175" w:rsidRDefault="002C2B99">
      <w:pPr>
        <w:pStyle w:val="FootnoteText"/>
      </w:pPr>
      <w:r>
        <w:rPr>
          <w:rStyle w:val="FootnoteReference"/>
        </w:rPr>
        <w:footnoteRef/>
      </w:r>
      <w:r>
        <w:t xml:space="preserve"> Kelly, </w:t>
      </w:r>
      <w:r>
        <w:rPr>
          <w:i/>
          <w:iCs/>
        </w:rPr>
        <w:t>Early Irish Law</w:t>
      </w:r>
      <w:r>
        <w:t>, 43.</w:t>
      </w:r>
    </w:p>
  </w:footnote>
  <w:footnote w:id="38">
    <w:p w14:paraId="16BA08F2" w14:textId="0C32CAB6" w:rsidR="002C2B99" w:rsidRPr="006D1D34" w:rsidRDefault="002C2B99">
      <w:pPr>
        <w:pStyle w:val="FootnoteText"/>
        <w:rPr>
          <w:i/>
          <w:iCs/>
        </w:rPr>
      </w:pPr>
      <w:r>
        <w:rPr>
          <w:rStyle w:val="FootnoteReference"/>
        </w:rPr>
        <w:footnoteRef/>
      </w:r>
      <w:r>
        <w:t xml:space="preserve"> </w:t>
      </w:r>
      <w:r>
        <w:rPr>
          <w:i/>
          <w:iCs/>
        </w:rPr>
        <w:t>Críth Gablach</w:t>
      </w:r>
      <w:r>
        <w:t>, in “</w:t>
      </w:r>
      <w:r w:rsidRPr="006D1D34">
        <w:t>Ancient Irish Law</w:t>
      </w:r>
      <w:r>
        <w:t>,” ed. and trans. Eoin MacNeill, 294.</w:t>
      </w:r>
    </w:p>
  </w:footnote>
  <w:footnote w:id="39">
    <w:p w14:paraId="3A3DEB65" w14:textId="52FC1DE3" w:rsidR="002C2B99" w:rsidRPr="00925AB7" w:rsidRDefault="002C2B99">
      <w:pPr>
        <w:pStyle w:val="FootnoteText"/>
      </w:pPr>
      <w:r>
        <w:rPr>
          <w:rStyle w:val="FootnoteReference"/>
        </w:rPr>
        <w:footnoteRef/>
      </w:r>
      <w:r>
        <w:t xml:space="preserve"> Kelly, </w:t>
      </w:r>
      <w:r>
        <w:rPr>
          <w:i/>
          <w:iCs/>
        </w:rPr>
        <w:t>Early Irish Law,</w:t>
      </w:r>
      <w:r>
        <w:t xml:space="preserve"> 14.</w:t>
      </w:r>
    </w:p>
  </w:footnote>
  <w:footnote w:id="40">
    <w:p w14:paraId="2A54ABE1" w14:textId="7C53216E" w:rsidR="002C2B99" w:rsidRPr="008500EC" w:rsidRDefault="002C2B99">
      <w:pPr>
        <w:pStyle w:val="FootnoteText"/>
      </w:pPr>
      <w:r>
        <w:rPr>
          <w:rStyle w:val="FootnoteReference"/>
        </w:rPr>
        <w:footnoteRef/>
      </w:r>
      <w:r>
        <w:t xml:space="preserve"> Kelly, </w:t>
      </w:r>
      <w:r>
        <w:rPr>
          <w:i/>
          <w:iCs/>
        </w:rPr>
        <w:t>Early Irish Law</w:t>
      </w:r>
      <w:r>
        <w:t>, 44.</w:t>
      </w:r>
    </w:p>
  </w:footnote>
  <w:footnote w:id="41">
    <w:p w14:paraId="66C45D15" w14:textId="77777777" w:rsidR="002C2B99" w:rsidRPr="00117CAC" w:rsidRDefault="002C2B99" w:rsidP="0048248F">
      <w:pPr>
        <w:pStyle w:val="FootnoteText"/>
      </w:pPr>
      <w:r>
        <w:rPr>
          <w:rStyle w:val="FootnoteReference"/>
        </w:rPr>
        <w:footnoteRef/>
      </w:r>
      <w:r>
        <w:t xml:space="preserve"> </w:t>
      </w:r>
      <w:r>
        <w:rPr>
          <w:i/>
          <w:iCs/>
        </w:rPr>
        <w:t>The Cattle-Raid of Cualnge (Tain Bo Cuailnge)</w:t>
      </w:r>
      <w:r>
        <w:t xml:space="preserve">, trans. L. Winifred Faraday (London: David Nutt, 1904), 53. </w:t>
      </w:r>
    </w:p>
  </w:footnote>
  <w:footnote w:id="42">
    <w:p w14:paraId="084A06E8" w14:textId="31C57E6F" w:rsidR="002C2B99" w:rsidRPr="000F58A3" w:rsidRDefault="002C2B99">
      <w:pPr>
        <w:pStyle w:val="FootnoteText"/>
      </w:pPr>
      <w:r>
        <w:rPr>
          <w:rStyle w:val="FootnoteReference"/>
        </w:rPr>
        <w:footnoteRef/>
      </w:r>
      <w:r>
        <w:t xml:space="preserve"> Kelly, </w:t>
      </w:r>
      <w:r>
        <w:rPr>
          <w:i/>
          <w:iCs/>
        </w:rPr>
        <w:t>Early Irish Law</w:t>
      </w:r>
      <w:r>
        <w:t>, 138;</w:t>
      </w:r>
    </w:p>
  </w:footnote>
  <w:footnote w:id="43">
    <w:p w14:paraId="11C9219E" w14:textId="7633F34F" w:rsidR="002C2B99" w:rsidRPr="00746A93" w:rsidRDefault="002C2B99">
      <w:pPr>
        <w:pStyle w:val="FootnoteText"/>
      </w:pPr>
      <w:r>
        <w:rPr>
          <w:rStyle w:val="FootnoteReference"/>
        </w:rPr>
        <w:footnoteRef/>
      </w:r>
      <w:r>
        <w:t xml:space="preserve"> </w:t>
      </w:r>
      <w:r>
        <w:rPr>
          <w:i/>
          <w:iCs/>
        </w:rPr>
        <w:t>The Cattle-Raid of Cualnge</w:t>
      </w:r>
      <w:r>
        <w:t>, trans. L. Winifred Faraday, 53.</w:t>
      </w:r>
    </w:p>
  </w:footnote>
  <w:footnote w:id="44">
    <w:p w14:paraId="0CCCDFF1" w14:textId="49AAC840" w:rsidR="002C2B99" w:rsidRPr="00C43DC5" w:rsidRDefault="002C2B99" w:rsidP="00FD028F">
      <w:pPr>
        <w:pStyle w:val="FootnoteText"/>
      </w:pPr>
      <w:r>
        <w:rPr>
          <w:rStyle w:val="FootnoteReference"/>
        </w:rPr>
        <w:footnoteRef/>
      </w:r>
      <w:r>
        <w:t xml:space="preserve"> In </w:t>
      </w:r>
      <w:r>
        <w:rPr>
          <w:i/>
          <w:iCs/>
        </w:rPr>
        <w:t xml:space="preserve">Branched </w:t>
      </w:r>
      <w:r w:rsidRPr="00D61698">
        <w:rPr>
          <w:i/>
          <w:iCs/>
        </w:rPr>
        <w:t>Purchase</w:t>
      </w:r>
      <w:r>
        <w:rPr>
          <w:i/>
          <w:iCs/>
        </w:rPr>
        <w:t xml:space="preserve">, </w:t>
      </w:r>
      <w:r>
        <w:t>t</w:t>
      </w:r>
      <w:r w:rsidRPr="00D61698">
        <w:t>he</w:t>
      </w:r>
      <w:r>
        <w:t xml:space="preserve"> </w:t>
      </w:r>
      <w:r>
        <w:rPr>
          <w:i/>
          <w:iCs/>
        </w:rPr>
        <w:t xml:space="preserve">aire désso </w:t>
      </w:r>
      <w:r>
        <w:t xml:space="preserve">is the lowest grade of the noble social order while the </w:t>
      </w:r>
      <w:r>
        <w:rPr>
          <w:i/>
          <w:iCs/>
        </w:rPr>
        <w:t xml:space="preserve">bóaire </w:t>
      </w:r>
      <w:r>
        <w:t xml:space="preserve">equates to the average commoner. See Appendix A for a table comparing the commoner ranks across the </w:t>
      </w:r>
      <w:r>
        <w:rPr>
          <w:i/>
          <w:iCs/>
        </w:rPr>
        <w:t>Branched Purchase</w:t>
      </w:r>
      <w:r>
        <w:t xml:space="preserve">, </w:t>
      </w:r>
      <w:r>
        <w:rPr>
          <w:i/>
          <w:iCs/>
        </w:rPr>
        <w:t>Little Grammar</w:t>
      </w:r>
      <w:r>
        <w:t xml:space="preserve">, and </w:t>
      </w:r>
      <w:r>
        <w:rPr>
          <w:i/>
          <w:iCs/>
        </w:rPr>
        <w:t>Rank Sections</w:t>
      </w:r>
      <w:r>
        <w:t xml:space="preserve">. See Appendix B for a table comparing the aristocratic ranks. </w:t>
      </w:r>
    </w:p>
  </w:footnote>
  <w:footnote w:id="45">
    <w:p w14:paraId="39FD7A66" w14:textId="7E0AE9ED" w:rsidR="002C2B99" w:rsidRPr="003F5360" w:rsidRDefault="002C2B99">
      <w:pPr>
        <w:pStyle w:val="FootnoteText"/>
      </w:pPr>
      <w:r>
        <w:rPr>
          <w:rStyle w:val="FootnoteReference"/>
        </w:rPr>
        <w:footnoteRef/>
      </w:r>
      <w:r>
        <w:t xml:space="preserve"> </w:t>
      </w:r>
      <w:r w:rsidRPr="00F16530">
        <w:rPr>
          <w:i/>
          <w:iCs/>
        </w:rPr>
        <w:t xml:space="preserve">Críth Gablach, </w:t>
      </w:r>
      <w:r w:rsidRPr="00F16530">
        <w:t>in “Ancient Irish Law,” ed. and trans. Eoin MacNeill,</w:t>
      </w:r>
      <w:r w:rsidRPr="00F16530">
        <w:rPr>
          <w:i/>
          <w:iCs/>
        </w:rPr>
        <w:t xml:space="preserve"> </w:t>
      </w:r>
      <w:r>
        <w:t>296.</w:t>
      </w:r>
    </w:p>
  </w:footnote>
  <w:footnote w:id="46">
    <w:p w14:paraId="02FE7F9F" w14:textId="71BDE35F" w:rsidR="002C2B99" w:rsidRPr="006538F6" w:rsidRDefault="002C2B99" w:rsidP="00A55C39">
      <w:pPr>
        <w:pStyle w:val="FootnoteText"/>
      </w:pPr>
      <w:r>
        <w:rPr>
          <w:rStyle w:val="FootnoteReference"/>
        </w:rPr>
        <w:footnoteRef/>
      </w:r>
      <w:r>
        <w:t xml:space="preserve"> </w:t>
      </w:r>
      <w:r w:rsidRPr="00F16530">
        <w:rPr>
          <w:i/>
          <w:iCs/>
        </w:rPr>
        <w:t>Críth Gablach</w:t>
      </w:r>
      <w:r w:rsidRPr="00F16530">
        <w:t>, in “Ancient Irish Law,” ed. and trans. Eoin MacNeill</w:t>
      </w:r>
      <w:r w:rsidRPr="00F16530">
        <w:rPr>
          <w:i/>
          <w:iCs/>
        </w:rPr>
        <w:t xml:space="preserve">, </w:t>
      </w:r>
      <w:r>
        <w:t>298.</w:t>
      </w:r>
    </w:p>
  </w:footnote>
  <w:footnote w:id="47">
    <w:p w14:paraId="1AD68A0D" w14:textId="295E5536" w:rsidR="002C2B99" w:rsidRPr="0034182D" w:rsidRDefault="002C2B99">
      <w:pPr>
        <w:pStyle w:val="FootnoteText"/>
      </w:pPr>
      <w:r>
        <w:rPr>
          <w:rStyle w:val="FootnoteReference"/>
        </w:rPr>
        <w:footnoteRef/>
      </w:r>
      <w:r>
        <w:t xml:space="preserve"> Kelly, </w:t>
      </w:r>
      <w:r>
        <w:rPr>
          <w:i/>
          <w:iCs/>
        </w:rPr>
        <w:t>Early Irish Law</w:t>
      </w:r>
      <w:r>
        <w:t xml:space="preserve">, 29.  </w:t>
      </w:r>
    </w:p>
  </w:footnote>
  <w:footnote w:id="48">
    <w:p w14:paraId="547BD287" w14:textId="4B0585F0" w:rsidR="002C2B99" w:rsidRDefault="002C2B99">
      <w:pPr>
        <w:pStyle w:val="FootnoteText"/>
      </w:pPr>
      <w:r>
        <w:rPr>
          <w:rStyle w:val="FootnoteReference"/>
        </w:rPr>
        <w:footnoteRef/>
      </w:r>
      <w:r>
        <w:t xml:space="preserve"> Latvio, “Status and Exchange in Early Irish Laws,” 73.</w:t>
      </w:r>
    </w:p>
  </w:footnote>
  <w:footnote w:id="49">
    <w:p w14:paraId="571D8DE6" w14:textId="7BF8BD2C" w:rsidR="002C2B99" w:rsidRPr="00CE31E6" w:rsidRDefault="002C2B99">
      <w:pPr>
        <w:pStyle w:val="FootnoteText"/>
      </w:pPr>
      <w:r>
        <w:rPr>
          <w:rStyle w:val="FootnoteReference"/>
        </w:rPr>
        <w:footnoteRef/>
      </w:r>
      <w:r>
        <w:t xml:space="preserve"> Kelly, </w:t>
      </w:r>
      <w:r>
        <w:rPr>
          <w:i/>
          <w:iCs/>
        </w:rPr>
        <w:t>Early Irish Law</w:t>
      </w:r>
      <w:r>
        <w:t>, 340.</w:t>
      </w:r>
    </w:p>
  </w:footnote>
  <w:footnote w:id="50">
    <w:p w14:paraId="123F3631" w14:textId="2BECFC91" w:rsidR="002C2B99" w:rsidRPr="00B42B45" w:rsidRDefault="002C2B99">
      <w:pPr>
        <w:pStyle w:val="FootnoteText"/>
      </w:pPr>
      <w:r>
        <w:rPr>
          <w:rStyle w:val="FootnoteReference"/>
        </w:rPr>
        <w:footnoteRef/>
      </w:r>
      <w:r>
        <w:t xml:space="preserve"> </w:t>
      </w:r>
      <w:r w:rsidRPr="00F16530">
        <w:rPr>
          <w:i/>
          <w:iCs/>
        </w:rPr>
        <w:t>Críth Gablach</w:t>
      </w:r>
      <w:r w:rsidRPr="00F16530">
        <w:t>, in “Ancient Irish Law,” ed. and trans. Eoin MacNeill</w:t>
      </w:r>
      <w:r w:rsidRPr="00F16530">
        <w:rPr>
          <w:i/>
          <w:iCs/>
        </w:rPr>
        <w:t xml:space="preserve">, </w:t>
      </w:r>
      <w:r>
        <w:t xml:space="preserve">298. </w:t>
      </w:r>
      <w:r>
        <w:rPr>
          <w:i/>
          <w:iCs/>
        </w:rPr>
        <w:t xml:space="preserve"> </w:t>
      </w:r>
    </w:p>
  </w:footnote>
  <w:footnote w:id="51">
    <w:p w14:paraId="2FD7D3C2" w14:textId="77777777" w:rsidR="002C2B99" w:rsidRPr="00DC5AEB" w:rsidRDefault="002C2B99" w:rsidP="00E310DA">
      <w:pPr>
        <w:pStyle w:val="FootnoteText"/>
      </w:pPr>
      <w:r>
        <w:rPr>
          <w:rStyle w:val="FootnoteReference"/>
        </w:rPr>
        <w:footnoteRef/>
      </w:r>
      <w:r>
        <w:t xml:space="preserve"> Charles-Edwards, </w:t>
      </w:r>
      <w:r>
        <w:rPr>
          <w:i/>
          <w:iCs/>
        </w:rPr>
        <w:t xml:space="preserve">Di Dligiud Raith ocus </w:t>
      </w:r>
      <w:r w:rsidRPr="00DC5AEB">
        <w:rPr>
          <w:i/>
          <w:iCs/>
        </w:rPr>
        <w:t>Somaine</w:t>
      </w:r>
      <w:r>
        <w:t>,</w:t>
      </w:r>
      <w:r>
        <w:rPr>
          <w:i/>
          <w:iCs/>
        </w:rPr>
        <w:t xml:space="preserve"> </w:t>
      </w:r>
      <w:r w:rsidRPr="00DC5AEB">
        <w:t>in</w:t>
      </w:r>
      <w:r>
        <w:t xml:space="preserve"> </w:t>
      </w:r>
      <w:r>
        <w:rPr>
          <w:i/>
          <w:iCs/>
        </w:rPr>
        <w:t>Early Irish Kinship</w:t>
      </w:r>
      <w:r>
        <w:t>, 340.</w:t>
      </w:r>
    </w:p>
  </w:footnote>
  <w:footnote w:id="52">
    <w:p w14:paraId="3D724B23" w14:textId="77777777" w:rsidR="002C2B99" w:rsidRPr="003B1557" w:rsidRDefault="002C2B99" w:rsidP="000B135C">
      <w:pPr>
        <w:pStyle w:val="FootnoteText"/>
        <w:rPr>
          <w:i/>
          <w:iCs/>
        </w:rPr>
      </w:pPr>
      <w:r>
        <w:rPr>
          <w:rStyle w:val="FootnoteReference"/>
        </w:rPr>
        <w:footnoteRef/>
      </w:r>
      <w:r>
        <w:t xml:space="preserve"> Patterson, 158.</w:t>
      </w:r>
    </w:p>
  </w:footnote>
  <w:footnote w:id="53">
    <w:p w14:paraId="59D7C379" w14:textId="35C36837" w:rsidR="002C2B99" w:rsidRPr="00885215" w:rsidRDefault="002C2B99">
      <w:pPr>
        <w:pStyle w:val="FootnoteText"/>
      </w:pPr>
      <w:r>
        <w:rPr>
          <w:rStyle w:val="FootnoteReference"/>
        </w:rPr>
        <w:footnoteRef/>
      </w:r>
      <w:r>
        <w:t xml:space="preserve"> </w:t>
      </w:r>
      <w:r w:rsidRPr="00885215">
        <w:rPr>
          <w:i/>
          <w:iCs/>
        </w:rPr>
        <w:t xml:space="preserve">Críth Gablach, </w:t>
      </w:r>
      <w:r w:rsidRPr="00885215">
        <w:t>in “Ancient Irish Law,” ed. and trans. Eoin MacNeill,</w:t>
      </w:r>
      <w:r>
        <w:t xml:space="preserve"> 289</w:t>
      </w:r>
      <w:r w:rsidRPr="00885215">
        <w:t>.</w:t>
      </w:r>
      <w:r w:rsidRPr="00885215">
        <w:rPr>
          <w:i/>
          <w:iCs/>
        </w:rPr>
        <w:t xml:space="preserve">  </w:t>
      </w:r>
    </w:p>
  </w:footnote>
  <w:footnote w:id="54">
    <w:p w14:paraId="56EAD00F" w14:textId="77777777" w:rsidR="002C2B99" w:rsidRDefault="002C2B99" w:rsidP="004B52FE">
      <w:pPr>
        <w:pStyle w:val="FootnoteText"/>
      </w:pPr>
      <w:r>
        <w:rPr>
          <w:rStyle w:val="FootnoteReference"/>
        </w:rPr>
        <w:footnoteRef/>
      </w:r>
      <w:r>
        <w:t xml:space="preserve"> Marilyn Gerriets, “The Organization of Exchange in Early Christian Ireland,” </w:t>
      </w:r>
      <w:r>
        <w:rPr>
          <w:i/>
          <w:iCs/>
        </w:rPr>
        <w:t xml:space="preserve">The Journal of Economic History </w:t>
      </w:r>
      <w:r>
        <w:t xml:space="preserve">41, no. 1 (1981): 173. </w:t>
      </w:r>
    </w:p>
  </w:footnote>
  <w:footnote w:id="55">
    <w:p w14:paraId="3EF240D4" w14:textId="66038A10" w:rsidR="002C2B99" w:rsidRPr="00E7445A" w:rsidRDefault="002C2B99">
      <w:pPr>
        <w:pStyle w:val="FootnoteText"/>
      </w:pPr>
      <w:r>
        <w:rPr>
          <w:rStyle w:val="FootnoteReference"/>
        </w:rPr>
        <w:footnoteRef/>
      </w:r>
      <w:r>
        <w:t xml:space="preserve"> Fergus Kelly, </w:t>
      </w:r>
      <w:r w:rsidRPr="00E7445A">
        <w:rPr>
          <w:i/>
          <w:iCs/>
        </w:rPr>
        <w:t>Early Irish Farming: A Study Based Mainly on the Law-texts of the 7th and 8th Centuries AD</w:t>
      </w:r>
      <w:r>
        <w:t xml:space="preserve">, </w:t>
      </w:r>
      <w:r w:rsidRPr="00E7445A">
        <w:rPr>
          <w:i/>
          <w:iCs/>
        </w:rPr>
        <w:t xml:space="preserve"> </w:t>
      </w:r>
      <w:r w:rsidRPr="00E7445A">
        <w:t>2nd ed</w:t>
      </w:r>
      <w:r>
        <w:t>.</w:t>
      </w:r>
      <w:r w:rsidRPr="00E7445A">
        <w:rPr>
          <w:i/>
          <w:iCs/>
        </w:rPr>
        <w:t xml:space="preserve"> </w:t>
      </w:r>
      <w:r>
        <w:t>(</w:t>
      </w:r>
      <w:r w:rsidRPr="00E7445A">
        <w:t>Dublin: Dublin Institute for Advanced Studies, 1997</w:t>
      </w:r>
      <w:r>
        <w:t>), 113</w:t>
      </w:r>
      <w:r w:rsidRPr="00E7445A">
        <w:rPr>
          <w:i/>
          <w:iCs/>
        </w:rPr>
        <w:t>.</w:t>
      </w:r>
    </w:p>
  </w:footnote>
  <w:footnote w:id="56">
    <w:p w14:paraId="624354C3" w14:textId="6ED696E7" w:rsidR="002C2B99" w:rsidRPr="00E913BD" w:rsidRDefault="002C2B99">
      <w:pPr>
        <w:pStyle w:val="FootnoteText"/>
      </w:pPr>
      <w:r>
        <w:rPr>
          <w:rStyle w:val="FootnoteReference"/>
        </w:rPr>
        <w:footnoteRef/>
      </w:r>
      <w:r>
        <w:t xml:space="preserve"> Patterson, </w:t>
      </w:r>
      <w:r>
        <w:rPr>
          <w:i/>
          <w:iCs/>
        </w:rPr>
        <w:t>Cattle-lords and Clansmen</w:t>
      </w:r>
      <w:r>
        <w:t>, 175.</w:t>
      </w:r>
    </w:p>
  </w:footnote>
  <w:footnote w:id="57">
    <w:p w14:paraId="32C125DA" w14:textId="4072A2B4" w:rsidR="002C2B99" w:rsidRPr="00200BF7" w:rsidRDefault="002C2B99">
      <w:pPr>
        <w:pStyle w:val="FootnoteText"/>
      </w:pPr>
      <w:r>
        <w:rPr>
          <w:rStyle w:val="FootnoteReference"/>
        </w:rPr>
        <w:footnoteRef/>
      </w:r>
      <w:r>
        <w:t xml:space="preserve"> Kelly, </w:t>
      </w:r>
      <w:r>
        <w:rPr>
          <w:i/>
          <w:iCs/>
        </w:rPr>
        <w:t>Early Irish Law</w:t>
      </w:r>
      <w:r>
        <w:t>, 30-31.</w:t>
      </w:r>
    </w:p>
  </w:footnote>
  <w:footnote w:id="58">
    <w:p w14:paraId="798A2FEB" w14:textId="77777777" w:rsidR="002C2B99" w:rsidRPr="00EA324D" w:rsidRDefault="002C2B99" w:rsidP="004808CC">
      <w:pPr>
        <w:pStyle w:val="FootnoteText"/>
      </w:pPr>
      <w:r>
        <w:rPr>
          <w:rStyle w:val="FootnoteReference"/>
        </w:rPr>
        <w:footnoteRef/>
      </w:r>
      <w:r>
        <w:t xml:space="preserve"> Charles-Edwards, </w:t>
      </w:r>
      <w:r>
        <w:rPr>
          <w:i/>
          <w:iCs/>
        </w:rPr>
        <w:t>Early Irish Kinship</w:t>
      </w:r>
      <w:r>
        <w:t>, 460.</w:t>
      </w:r>
    </w:p>
  </w:footnote>
  <w:footnote w:id="59">
    <w:p w14:paraId="455D3B23" w14:textId="77777777" w:rsidR="002C2B99" w:rsidRPr="006538F6" w:rsidRDefault="002C2B99" w:rsidP="004808CC">
      <w:pPr>
        <w:pStyle w:val="FootnoteText"/>
      </w:pPr>
      <w:r>
        <w:rPr>
          <w:rStyle w:val="FootnoteReference"/>
        </w:rPr>
        <w:footnoteRef/>
      </w:r>
      <w:r>
        <w:t xml:space="preserve"> </w:t>
      </w:r>
      <w:bookmarkStart w:id="1" w:name="_Hlk57122578"/>
      <w:r>
        <w:rPr>
          <w:i/>
          <w:iCs/>
        </w:rPr>
        <w:t>Críth Gablach</w:t>
      </w:r>
      <w:r>
        <w:t xml:space="preserve">, in “Ancient Irish Law,” ed. and trans. Eoin MacNeill, </w:t>
      </w:r>
      <w:bookmarkEnd w:id="1"/>
      <w:r>
        <w:t>298.</w:t>
      </w:r>
    </w:p>
  </w:footnote>
  <w:footnote w:id="60">
    <w:p w14:paraId="24B295CB" w14:textId="77777777" w:rsidR="002C2B99" w:rsidRDefault="002C2B99" w:rsidP="004808CC">
      <w:pPr>
        <w:pStyle w:val="FootnoteText"/>
      </w:pPr>
      <w:r>
        <w:rPr>
          <w:rStyle w:val="FootnoteReference"/>
        </w:rPr>
        <w:footnoteRef/>
      </w:r>
      <w:r>
        <w:t xml:space="preserve"> “Female slave,” more often spelled </w:t>
      </w:r>
      <w:r>
        <w:rPr>
          <w:i/>
          <w:iCs/>
        </w:rPr>
        <w:t>cumal</w:t>
      </w:r>
      <w:r>
        <w:t xml:space="preserve"> -- a unit of value equal generally ascribed to the ranks of kings. See Kelly, </w:t>
      </w:r>
      <w:r>
        <w:rPr>
          <w:i/>
          <w:iCs/>
        </w:rPr>
        <w:t>Early Irish Law</w:t>
      </w:r>
      <w:r>
        <w:t xml:space="preserve">, 112. </w:t>
      </w:r>
    </w:p>
  </w:footnote>
  <w:footnote w:id="61">
    <w:p w14:paraId="72294BAF" w14:textId="77777777" w:rsidR="002C2B99" w:rsidRPr="00375217" w:rsidRDefault="002C2B99" w:rsidP="004808CC">
      <w:pPr>
        <w:pStyle w:val="FootnoteText"/>
      </w:pPr>
      <w:r>
        <w:rPr>
          <w:rStyle w:val="FootnoteReference"/>
        </w:rPr>
        <w:footnoteRef/>
      </w:r>
      <w:r>
        <w:t xml:space="preserve"> </w:t>
      </w:r>
      <w:r>
        <w:rPr>
          <w:i/>
          <w:iCs/>
        </w:rPr>
        <w:t>Cáin Aigillne</w:t>
      </w:r>
      <w:r>
        <w:t>, ed. and trans. William Neilson Hancock, Thaddeus O’Mahony et al, “Ancient Laws of Ireland,” 2: 237.</w:t>
      </w:r>
    </w:p>
  </w:footnote>
  <w:footnote w:id="62">
    <w:p w14:paraId="323A3E10" w14:textId="77777777" w:rsidR="002C2B99" w:rsidRDefault="002C2B99" w:rsidP="00230D99">
      <w:pPr>
        <w:pStyle w:val="FootnoteText"/>
      </w:pPr>
      <w:r>
        <w:rPr>
          <w:rStyle w:val="FootnoteReference"/>
        </w:rPr>
        <w:footnoteRef/>
      </w:r>
      <w:r>
        <w:t xml:space="preserve"> </w:t>
      </w:r>
      <w:r w:rsidRPr="003B4C01">
        <w:t xml:space="preserve">Latvio, “Status and Exchange in Early Irish Laws,” </w:t>
      </w:r>
      <w:r>
        <w:t>82.</w:t>
      </w:r>
    </w:p>
  </w:footnote>
  <w:footnote w:id="63">
    <w:p w14:paraId="7F6BAEA5" w14:textId="77777777" w:rsidR="002C2B99" w:rsidRPr="0089208D" w:rsidRDefault="002C2B99" w:rsidP="00230D99">
      <w:pPr>
        <w:pStyle w:val="FootnoteText"/>
      </w:pPr>
      <w:r>
        <w:rPr>
          <w:rStyle w:val="FootnoteReference"/>
        </w:rPr>
        <w:footnoteRef/>
      </w:r>
      <w:r>
        <w:t xml:space="preserve"> </w:t>
      </w:r>
      <w:r>
        <w:rPr>
          <w:i/>
          <w:iCs/>
        </w:rPr>
        <w:t>Críth Gablach</w:t>
      </w:r>
      <w:r>
        <w:t>, in “Ancient Irish Law,” ed. and trans. Eoin MacNeill, 290.</w:t>
      </w:r>
    </w:p>
  </w:footnote>
  <w:footnote w:id="64">
    <w:p w14:paraId="358996C3" w14:textId="78498D84" w:rsidR="002C2B99" w:rsidRDefault="002C2B99">
      <w:pPr>
        <w:pStyle w:val="FootnoteText"/>
      </w:pPr>
      <w:r>
        <w:rPr>
          <w:rStyle w:val="FootnoteReference"/>
        </w:rPr>
        <w:footnoteRef/>
      </w:r>
      <w:r>
        <w:t xml:space="preserve"> Charles-Edwards, “Kinship, Status and the Origins of the Hide,” 20.</w:t>
      </w:r>
    </w:p>
  </w:footnote>
  <w:footnote w:id="65">
    <w:p w14:paraId="2B189C16" w14:textId="26ED11F4" w:rsidR="002C2B99" w:rsidRDefault="002C2B99">
      <w:pPr>
        <w:pStyle w:val="FootnoteText"/>
      </w:pPr>
      <w:r>
        <w:rPr>
          <w:rStyle w:val="FootnoteReference"/>
        </w:rPr>
        <w:footnoteRef/>
      </w:r>
      <w:r>
        <w:t xml:space="preserve"> </w:t>
      </w:r>
      <w:r w:rsidRPr="00425545">
        <w:rPr>
          <w:i/>
          <w:iCs/>
        </w:rPr>
        <w:t>Críth Gablach</w:t>
      </w:r>
      <w:r w:rsidRPr="00425545">
        <w:t>, ed. D.A. Binchy, 78.</w:t>
      </w:r>
    </w:p>
  </w:footnote>
  <w:footnote w:id="66">
    <w:p w14:paraId="5010837C" w14:textId="6DDA0EF3" w:rsidR="002C2B99" w:rsidRPr="002645B2" w:rsidRDefault="002C2B99">
      <w:pPr>
        <w:pStyle w:val="FootnoteText"/>
      </w:pPr>
      <w:r>
        <w:rPr>
          <w:rStyle w:val="FootnoteReference"/>
        </w:rPr>
        <w:footnoteRef/>
      </w:r>
      <w:r>
        <w:t xml:space="preserve"> </w:t>
      </w:r>
      <w:r>
        <w:rPr>
          <w:i/>
          <w:iCs/>
        </w:rPr>
        <w:t>Críth Gablach</w:t>
      </w:r>
      <w:r>
        <w:t>, ed. and trans. Eoin MacNeill, 296.</w:t>
      </w:r>
    </w:p>
  </w:footnote>
  <w:footnote w:id="67">
    <w:p w14:paraId="2639D4CA" w14:textId="4D5FFEF5" w:rsidR="002C2B99" w:rsidRPr="0076617C" w:rsidRDefault="002C2B99">
      <w:pPr>
        <w:pStyle w:val="FootnoteText"/>
      </w:pPr>
      <w:r>
        <w:rPr>
          <w:rStyle w:val="FootnoteReference"/>
        </w:rPr>
        <w:footnoteRef/>
      </w:r>
      <w:r>
        <w:t xml:space="preserve"> Kelly, </w:t>
      </w:r>
      <w:r>
        <w:rPr>
          <w:i/>
          <w:iCs/>
        </w:rPr>
        <w:t>Early Irish Law</w:t>
      </w:r>
      <w:r>
        <w:t>, 12, 28.</w:t>
      </w:r>
    </w:p>
  </w:footnote>
  <w:footnote w:id="68">
    <w:p w14:paraId="4872F645" w14:textId="1D1D7AC6" w:rsidR="002C2B99" w:rsidRPr="003C7256" w:rsidRDefault="002C2B99">
      <w:pPr>
        <w:pStyle w:val="FootnoteText"/>
      </w:pPr>
      <w:r>
        <w:rPr>
          <w:rStyle w:val="FootnoteReference"/>
        </w:rPr>
        <w:footnoteRef/>
      </w:r>
      <w:r>
        <w:t xml:space="preserve"> </w:t>
      </w:r>
      <w:r>
        <w:rPr>
          <w:i/>
          <w:iCs/>
        </w:rPr>
        <w:t xml:space="preserve">Críth Gablach, </w:t>
      </w:r>
      <w:r>
        <w:t>in “Ancient Irish Law,” ed. and trans. Eoin MacNeill, 293.</w:t>
      </w:r>
      <w:r>
        <w:rPr>
          <w:i/>
          <w:iCs/>
        </w:rPr>
        <w:t xml:space="preserve"> </w:t>
      </w:r>
    </w:p>
  </w:footnote>
  <w:footnote w:id="69">
    <w:p w14:paraId="38F152EB" w14:textId="1FA5D246" w:rsidR="002C2B99" w:rsidRPr="000B64F3" w:rsidRDefault="002C2B99">
      <w:pPr>
        <w:pStyle w:val="FootnoteText"/>
      </w:pPr>
      <w:r>
        <w:rPr>
          <w:rStyle w:val="FootnoteReference"/>
        </w:rPr>
        <w:footnoteRef/>
      </w:r>
      <w:r>
        <w:t xml:space="preserve"> </w:t>
      </w:r>
      <w:r>
        <w:rPr>
          <w:i/>
          <w:iCs/>
        </w:rPr>
        <w:t>Críth Gablach</w:t>
      </w:r>
      <w:r>
        <w:t>, in “Ancient Irish Law,” ed. and trans. Eoin MacNeill, 297.</w:t>
      </w:r>
    </w:p>
  </w:footnote>
  <w:footnote w:id="70">
    <w:p w14:paraId="0C09012E" w14:textId="2970FBAD" w:rsidR="002C2B99" w:rsidRPr="003B18EC" w:rsidRDefault="002C2B99">
      <w:pPr>
        <w:pStyle w:val="FootnoteText"/>
      </w:pPr>
      <w:r>
        <w:rPr>
          <w:rStyle w:val="FootnoteReference"/>
        </w:rPr>
        <w:footnoteRef/>
      </w:r>
      <w:r>
        <w:t xml:space="preserve"> </w:t>
      </w:r>
      <w:r>
        <w:rPr>
          <w:i/>
          <w:iCs/>
        </w:rPr>
        <w:t>Míadṡlechtae</w:t>
      </w:r>
      <w:r>
        <w:t xml:space="preserve">, in </w:t>
      </w:r>
      <w:r w:rsidRPr="00D14C46">
        <w:t>"Míadṡlechtae: An Old Irish Law Text on Status</w:t>
      </w:r>
      <w:r>
        <w:t>,</w:t>
      </w:r>
      <w:r w:rsidRPr="00D14C46">
        <w:t>" trans. Gerald Manning</w:t>
      </w:r>
      <w:r>
        <w:t>.</w:t>
      </w:r>
    </w:p>
  </w:footnote>
  <w:footnote w:id="71">
    <w:p w14:paraId="67DD891A" w14:textId="5AE57B57" w:rsidR="002C2B99" w:rsidRDefault="002C2B99">
      <w:pPr>
        <w:pStyle w:val="FootnoteText"/>
      </w:pPr>
      <w:r>
        <w:rPr>
          <w:rStyle w:val="FootnoteReference"/>
        </w:rPr>
        <w:footnoteRef/>
      </w:r>
      <w:r>
        <w:t xml:space="preserve"> </w:t>
      </w:r>
      <w:r w:rsidRPr="00C565E0">
        <w:t>Aitchison</w:t>
      </w:r>
      <w:r>
        <w:t xml:space="preserve">, “Kingship, Society and Sacrality,” 73. </w:t>
      </w:r>
    </w:p>
  </w:footnote>
  <w:footnote w:id="72">
    <w:p w14:paraId="59E1844B" w14:textId="77777777" w:rsidR="002C2B99" w:rsidRDefault="002C2B99" w:rsidP="008A120A">
      <w:pPr>
        <w:pStyle w:val="FootnoteText"/>
      </w:pPr>
      <w:r>
        <w:rPr>
          <w:rStyle w:val="FootnoteReference"/>
        </w:rPr>
        <w:footnoteRef/>
      </w:r>
      <w:r>
        <w:t xml:space="preserve"> </w:t>
      </w:r>
      <w:r>
        <w:rPr>
          <w:i/>
          <w:iCs/>
        </w:rPr>
        <w:t>Críth Gablach</w:t>
      </w:r>
      <w:r>
        <w:t>, in “Ancient Irish Law,” ed. and trans. Eoin MacNeill, 303.</w:t>
      </w:r>
    </w:p>
  </w:footnote>
  <w:footnote w:id="73">
    <w:p w14:paraId="3B9D20F7" w14:textId="77777777" w:rsidR="002C2B99" w:rsidRDefault="002C2B99" w:rsidP="008A120A">
      <w:pPr>
        <w:pStyle w:val="FootnoteText"/>
      </w:pPr>
      <w:r>
        <w:rPr>
          <w:rStyle w:val="FootnoteReference"/>
        </w:rPr>
        <w:footnoteRef/>
      </w:r>
      <w:r>
        <w:t xml:space="preserve"> </w:t>
      </w:r>
      <w:r>
        <w:rPr>
          <w:i/>
          <w:iCs/>
        </w:rPr>
        <w:t>Uraicecht Brecht</w:t>
      </w:r>
      <w:r>
        <w:t>, in “Ancient Irish Law,” ed. and trans. Eoin MacNeill, 278.</w:t>
      </w:r>
    </w:p>
  </w:footnote>
  <w:footnote w:id="74">
    <w:p w14:paraId="45F3E35E" w14:textId="77777777" w:rsidR="002C2B99" w:rsidRPr="003D71D0" w:rsidRDefault="002C2B99" w:rsidP="00D843C8">
      <w:pPr>
        <w:pStyle w:val="FootnoteText"/>
      </w:pPr>
      <w:r>
        <w:rPr>
          <w:rStyle w:val="FootnoteReference"/>
        </w:rPr>
        <w:footnoteRef/>
      </w:r>
      <w:r>
        <w:t xml:space="preserve"> </w:t>
      </w:r>
      <w:r>
        <w:rPr>
          <w:i/>
          <w:iCs/>
        </w:rPr>
        <w:t>The Cattle-Raid of Cualnge</w:t>
      </w:r>
      <w:r>
        <w:t xml:space="preserve">, trans. L. Winifred Faraday, 81. </w:t>
      </w:r>
    </w:p>
  </w:footnote>
  <w:footnote w:id="75">
    <w:p w14:paraId="1A671FC2" w14:textId="38F22F61" w:rsidR="002C2B99" w:rsidRPr="00552612" w:rsidRDefault="002C2B99">
      <w:pPr>
        <w:pStyle w:val="FootnoteText"/>
      </w:pPr>
      <w:r>
        <w:rPr>
          <w:rStyle w:val="FootnoteReference"/>
        </w:rPr>
        <w:footnoteRef/>
      </w:r>
      <w:r>
        <w:t xml:space="preserve"> Kelly, </w:t>
      </w:r>
      <w:r>
        <w:rPr>
          <w:i/>
          <w:iCs/>
        </w:rPr>
        <w:t>Early Irish Farming</w:t>
      </w:r>
      <w:r>
        <w:t>, 317.</w:t>
      </w:r>
    </w:p>
  </w:footnote>
  <w:footnote w:id="76">
    <w:p w14:paraId="0E4DF079" w14:textId="7ED1A763" w:rsidR="002C2B99" w:rsidRPr="001773D9" w:rsidRDefault="002C2B99">
      <w:pPr>
        <w:pStyle w:val="FootnoteText"/>
      </w:pPr>
      <w:r>
        <w:rPr>
          <w:rStyle w:val="FootnoteReference"/>
        </w:rPr>
        <w:footnoteRef/>
      </w:r>
      <w:r>
        <w:t xml:space="preserve"> </w:t>
      </w:r>
      <w:r>
        <w:rPr>
          <w:i/>
          <w:iCs/>
        </w:rPr>
        <w:t>Críth Gablach</w:t>
      </w:r>
      <w:r>
        <w:t>, in “Ancient Irish Law,” ed. and trans. Eoin MacNeill, 284, 290.</w:t>
      </w:r>
    </w:p>
  </w:footnote>
  <w:footnote w:id="77">
    <w:p w14:paraId="51E52312" w14:textId="2C221EB5" w:rsidR="002C2B99" w:rsidRPr="00374F11" w:rsidRDefault="002C2B99">
      <w:pPr>
        <w:pStyle w:val="FootnoteText"/>
      </w:pPr>
      <w:r>
        <w:rPr>
          <w:rStyle w:val="FootnoteReference"/>
        </w:rPr>
        <w:footnoteRef/>
      </w:r>
      <w:r>
        <w:t xml:space="preserve"> </w:t>
      </w:r>
      <w:r w:rsidRPr="003869DF">
        <w:t>Óengus mac Óengobann</w:t>
      </w:r>
      <w:r>
        <w:t xml:space="preserve">, </w:t>
      </w:r>
      <w:r w:rsidRPr="003869DF">
        <w:rPr>
          <w:i/>
          <w:iCs/>
        </w:rPr>
        <w:t>Felire Oengusso Celi De: the Martyrology of Oengus the Culdee</w:t>
      </w:r>
      <w:r>
        <w:t>, ed. Whitley Stokes (London: Henry Bradshaw Society, 1905), 147.</w:t>
      </w:r>
    </w:p>
  </w:footnote>
  <w:footnote w:id="78">
    <w:p w14:paraId="5CE705E6" w14:textId="65696668" w:rsidR="002C2B99" w:rsidRPr="0047392F" w:rsidRDefault="002C2B99">
      <w:pPr>
        <w:pStyle w:val="FootnoteText"/>
      </w:pPr>
      <w:r>
        <w:rPr>
          <w:rStyle w:val="FootnoteReference"/>
        </w:rPr>
        <w:footnoteRef/>
      </w:r>
      <w:r>
        <w:t xml:space="preserve"> Adomnan, </w:t>
      </w:r>
      <w:r>
        <w:rPr>
          <w:i/>
          <w:iCs/>
        </w:rPr>
        <w:t>Adomnan’s Life of Columba</w:t>
      </w:r>
      <w:r>
        <w:t xml:space="preserve">, trans. by </w:t>
      </w:r>
      <w:r w:rsidRPr="007340EA">
        <w:t>Marjorie Ogilvie Anderson and Alan Orr Anderson</w:t>
      </w:r>
      <w:r>
        <w:t xml:space="preserve"> (</w:t>
      </w:r>
      <w:r w:rsidRPr="007340EA">
        <w:t>Oxford: Clarendon Press, 1991</w:t>
      </w:r>
      <w:r>
        <w:t>), 149.</w:t>
      </w:r>
    </w:p>
  </w:footnote>
  <w:footnote w:id="79">
    <w:p w14:paraId="0832428B" w14:textId="1BCBEAAC" w:rsidR="002C2B99" w:rsidRPr="007340EA" w:rsidRDefault="002C2B99">
      <w:pPr>
        <w:pStyle w:val="FootnoteText"/>
      </w:pPr>
      <w:r>
        <w:rPr>
          <w:rStyle w:val="FootnoteReference"/>
        </w:rPr>
        <w:footnoteRef/>
      </w:r>
      <w:r>
        <w:t xml:space="preserve"> Adomnan, </w:t>
      </w:r>
      <w:r>
        <w:rPr>
          <w:i/>
          <w:iCs/>
        </w:rPr>
        <w:t>Life of Columba</w:t>
      </w:r>
      <w:r>
        <w:t xml:space="preserve">, trans. by </w:t>
      </w:r>
      <w:r w:rsidRPr="00DD0C80">
        <w:t>Marjorie Ogilvie Anderson and Alan Orr Anderson</w:t>
      </w:r>
      <w:r>
        <w:t>, 149.</w:t>
      </w:r>
    </w:p>
  </w:footnote>
  <w:footnote w:id="80">
    <w:p w14:paraId="34A7FC70" w14:textId="0A5770AA" w:rsidR="002C2B99" w:rsidRPr="00254AA2" w:rsidRDefault="002C2B99">
      <w:pPr>
        <w:pStyle w:val="FootnoteText"/>
      </w:pPr>
      <w:r>
        <w:rPr>
          <w:rStyle w:val="FootnoteReference"/>
        </w:rPr>
        <w:footnoteRef/>
      </w:r>
      <w:r>
        <w:t xml:space="preserve"> </w:t>
      </w:r>
      <w:r>
        <w:rPr>
          <w:i/>
          <w:iCs/>
        </w:rPr>
        <w:t>Críth Gablach</w:t>
      </w:r>
      <w:r>
        <w:t>, in “Ancient Irish Law,” ed. and trans. Eoin MacNeill, 288.</w:t>
      </w:r>
    </w:p>
  </w:footnote>
  <w:footnote w:id="81">
    <w:p w14:paraId="13D30815" w14:textId="23125F65" w:rsidR="002C2B99" w:rsidRPr="00E92BBC" w:rsidRDefault="002C2B99">
      <w:pPr>
        <w:pStyle w:val="FootnoteText"/>
      </w:pPr>
      <w:r>
        <w:rPr>
          <w:rStyle w:val="FootnoteReference"/>
        </w:rPr>
        <w:footnoteRef/>
      </w:r>
      <w:r>
        <w:t xml:space="preserve"> </w:t>
      </w:r>
      <w:r>
        <w:rPr>
          <w:i/>
          <w:iCs/>
        </w:rPr>
        <w:t>Cáin Aicillne</w:t>
      </w:r>
      <w:r>
        <w:t xml:space="preserve">, in </w:t>
      </w:r>
      <w:r w:rsidRPr="003D3067">
        <w:t xml:space="preserve">“Ancient Laws of Ireland,” </w:t>
      </w:r>
      <w:r>
        <w:t xml:space="preserve">ed. and trans. </w:t>
      </w:r>
      <w:r w:rsidRPr="003D3067">
        <w:t>William Neilson Hancock, Thaddeus O’Mahony et al,</w:t>
      </w:r>
      <w:r w:rsidRPr="003D3067">
        <w:rPr>
          <w:i/>
          <w:iCs/>
        </w:rPr>
        <w:t xml:space="preserve"> </w:t>
      </w:r>
      <w:r w:rsidRPr="003D3067">
        <w:t>2: 23</w:t>
      </w:r>
      <w:r>
        <w:t xml:space="preserve">3; Cherie Peters, </w:t>
      </w:r>
      <w:r w:rsidRPr="00632D07">
        <w:t>"’He Is Not Entitled to Butter’: The Diet of Peasants and Commoners in Early Medieval Ireland</w:t>
      </w:r>
      <w:r>
        <w:t>,</w:t>
      </w:r>
      <w:r w:rsidRPr="00632D07">
        <w:t>"</w:t>
      </w:r>
      <w:r>
        <w:t xml:space="preserve"> in</w:t>
      </w:r>
      <w:r w:rsidRPr="00632D07">
        <w:t xml:space="preserve"> </w:t>
      </w:r>
      <w:r w:rsidRPr="00632D07">
        <w:rPr>
          <w:i/>
          <w:iCs/>
        </w:rPr>
        <w:t>Food and Drink in Ireland</w:t>
      </w:r>
      <w:r w:rsidRPr="00632D07">
        <w:t xml:space="preserve">, </w:t>
      </w:r>
      <w:r>
        <w:t>ed.</w:t>
      </w:r>
      <w:r w:rsidRPr="00632D07">
        <w:t xml:space="preserve"> by Elizabeth FitzPatrick and James Kelly, </w:t>
      </w:r>
      <w:r>
        <w:t xml:space="preserve">(Dublin: </w:t>
      </w:r>
      <w:r w:rsidRPr="00632D07">
        <w:t>Royal Irish Academy, 2016</w:t>
      </w:r>
      <w:r>
        <w:t xml:space="preserve">), 87. </w:t>
      </w:r>
    </w:p>
  </w:footnote>
  <w:footnote w:id="82">
    <w:p w14:paraId="1F07F44F" w14:textId="4D31F3AE" w:rsidR="002C2B99" w:rsidRDefault="002C2B99">
      <w:pPr>
        <w:pStyle w:val="FootnoteText"/>
      </w:pPr>
      <w:r>
        <w:rPr>
          <w:rStyle w:val="FootnoteReference"/>
        </w:rPr>
        <w:footnoteRef/>
      </w:r>
      <w:r>
        <w:t xml:space="preserve"> </w:t>
      </w:r>
      <w:r w:rsidRPr="00F15F93">
        <w:t>Michael A. Monk, John Tierney, and Martha Hannon, "Archaeobotanical Studies in Early Medieval Munster,"</w:t>
      </w:r>
      <w:r>
        <w:t xml:space="preserve"> </w:t>
      </w:r>
      <w:r w:rsidRPr="00F15F93">
        <w:t xml:space="preserve">in </w:t>
      </w:r>
      <w:r w:rsidRPr="00F15F93">
        <w:rPr>
          <w:i/>
          <w:iCs/>
        </w:rPr>
        <w:t>Early Medieval Munster: Archaeology, History and Society</w:t>
      </w:r>
      <w:r w:rsidRPr="00F15F93">
        <w:t>, ed. Michael A. Monk</w:t>
      </w:r>
      <w:r>
        <w:t xml:space="preserve"> and John Sheehan</w:t>
      </w:r>
      <w:r w:rsidRPr="00F15F93">
        <w:t xml:space="preserve"> (Cork: Cork University Press, 1998), </w:t>
      </w:r>
      <w:r>
        <w:t>65-75.</w:t>
      </w:r>
    </w:p>
  </w:footnote>
  <w:footnote w:id="83">
    <w:p w14:paraId="5A3A0304" w14:textId="7913F771" w:rsidR="002C2B99" w:rsidRDefault="002C2B99">
      <w:pPr>
        <w:pStyle w:val="FootnoteText"/>
      </w:pPr>
      <w:r>
        <w:rPr>
          <w:rStyle w:val="FootnoteReference"/>
        </w:rPr>
        <w:footnoteRef/>
      </w:r>
      <w:r>
        <w:t xml:space="preserve"> Peters, </w:t>
      </w:r>
      <w:r w:rsidRPr="0077784B">
        <w:t>"’He Is Not Entitled to Butter’: The Diet of Peasants and Commoners in Early Medieval Ireland,"</w:t>
      </w:r>
      <w:r>
        <w:t xml:space="preserve"> 89.</w:t>
      </w:r>
    </w:p>
  </w:footnote>
  <w:footnote w:id="84">
    <w:p w14:paraId="4031C459" w14:textId="5CAAB2EB" w:rsidR="002C2B99" w:rsidRPr="00A54DE0" w:rsidRDefault="002C2B99">
      <w:pPr>
        <w:pStyle w:val="FootnoteText"/>
      </w:pPr>
      <w:r>
        <w:rPr>
          <w:rStyle w:val="FootnoteReference"/>
        </w:rPr>
        <w:footnoteRef/>
      </w:r>
      <w:r>
        <w:t xml:space="preserve"> </w:t>
      </w:r>
      <w:r>
        <w:rPr>
          <w:i/>
          <w:iCs/>
        </w:rPr>
        <w:t>Críth Gablach</w:t>
      </w:r>
      <w:r>
        <w:t>, in “Ancient Irish Law,” ed. and trans. Eoin MacNeill, 294-311.</w:t>
      </w:r>
    </w:p>
  </w:footnote>
  <w:footnote w:id="85">
    <w:p w14:paraId="42E7A9F4" w14:textId="05B2E6A8" w:rsidR="002C2B99" w:rsidRDefault="002C2B99">
      <w:pPr>
        <w:pStyle w:val="FootnoteText"/>
      </w:pPr>
      <w:r>
        <w:rPr>
          <w:rStyle w:val="FootnoteReference"/>
        </w:rPr>
        <w:footnoteRef/>
      </w:r>
      <w:r>
        <w:t xml:space="preserve"> </w:t>
      </w:r>
      <w:r w:rsidRPr="009600C2">
        <w:t>Peters, "’He Is Not Entitled to Butter’</w:t>
      </w:r>
      <w:r>
        <w:t>,</w:t>
      </w:r>
      <w:r w:rsidRPr="009600C2">
        <w:t>" 8</w:t>
      </w:r>
      <w:r>
        <w:t>0.</w:t>
      </w:r>
    </w:p>
  </w:footnote>
  <w:footnote w:id="86">
    <w:p w14:paraId="61AF2F3C" w14:textId="1295CD87" w:rsidR="002C2B99" w:rsidRPr="008A0AEF" w:rsidRDefault="002C2B99">
      <w:pPr>
        <w:pStyle w:val="FootnoteText"/>
      </w:pPr>
      <w:r>
        <w:rPr>
          <w:rStyle w:val="FootnoteReference"/>
        </w:rPr>
        <w:footnoteRef/>
      </w:r>
      <w:r>
        <w:t xml:space="preserve"> Finbar McCormick, “The Distribution of Meat in a Hierarchical Society: the Irish Evidence,” in </w:t>
      </w:r>
      <w:r>
        <w:rPr>
          <w:i/>
          <w:iCs/>
        </w:rPr>
        <w:t>Consuming Passions and Patterns of Consumption</w:t>
      </w:r>
      <w:r>
        <w:t xml:space="preserve">, ed. by Preston Miracle and Nicky Milner (Cambridge: </w:t>
      </w:r>
      <w:r w:rsidRPr="00523D3E">
        <w:t>McDonald Institute for Archaeological Research</w:t>
      </w:r>
      <w:r>
        <w:t>, 2002), 25-31.</w:t>
      </w:r>
    </w:p>
  </w:footnote>
  <w:footnote w:id="87">
    <w:p w14:paraId="028CDC46" w14:textId="3F247E57" w:rsidR="002C2B99" w:rsidRPr="002877B3" w:rsidRDefault="002C2B99">
      <w:pPr>
        <w:pStyle w:val="FootnoteText"/>
      </w:pPr>
      <w:r>
        <w:rPr>
          <w:rStyle w:val="FootnoteReference"/>
        </w:rPr>
        <w:footnoteRef/>
      </w:r>
      <w:r>
        <w:t xml:space="preserve"> </w:t>
      </w:r>
      <w:r>
        <w:rPr>
          <w:i/>
          <w:iCs/>
        </w:rPr>
        <w:t>Aislinge Meic Con Glinne</w:t>
      </w:r>
      <w:r>
        <w:t xml:space="preserve">: </w:t>
      </w:r>
      <w:r>
        <w:rPr>
          <w:i/>
          <w:iCs/>
        </w:rPr>
        <w:t>The Vision of Mac Conglinne</w:t>
      </w:r>
      <w:r>
        <w:t xml:space="preserve">, </w:t>
      </w:r>
      <w:r>
        <w:rPr>
          <w:i/>
          <w:iCs/>
        </w:rPr>
        <w:t>a Middle-Irish Wonder Tale</w:t>
      </w:r>
      <w:r>
        <w:t>, ed. and trans. Kuno Meyer (London: Nutt, 1892), 53.</w:t>
      </w:r>
    </w:p>
  </w:footnote>
  <w:footnote w:id="88">
    <w:p w14:paraId="24CB0BE5" w14:textId="07D14B18" w:rsidR="002C2B99" w:rsidRDefault="002C2B99">
      <w:pPr>
        <w:pStyle w:val="FootnoteText"/>
      </w:pPr>
      <w:r>
        <w:rPr>
          <w:rStyle w:val="FootnoteReference"/>
        </w:rPr>
        <w:footnoteRef/>
      </w:r>
      <w:r>
        <w:t xml:space="preserve"> Quoted in Cherie N. Peters, “Legal Position and Living Conditions of Peasants and Commoners in Early Medieval Ireland, c. 680-c. 1170” (PhD. diss., Trinity College Dublin, 2014), 210. </w:t>
      </w:r>
    </w:p>
  </w:footnote>
  <w:footnote w:id="89">
    <w:p w14:paraId="011D2DBC" w14:textId="6281010B" w:rsidR="002C2B99" w:rsidRPr="00E8442B" w:rsidRDefault="002C2B99">
      <w:pPr>
        <w:pStyle w:val="FootnoteText"/>
        <w:rPr>
          <w:i/>
          <w:iCs/>
        </w:rPr>
      </w:pPr>
      <w:r>
        <w:rPr>
          <w:rStyle w:val="FootnoteReference"/>
        </w:rPr>
        <w:footnoteRef/>
      </w:r>
      <w:r>
        <w:t xml:space="preserve"> </w:t>
      </w:r>
      <w:r>
        <w:rPr>
          <w:i/>
          <w:iCs/>
        </w:rPr>
        <w:t>Cáin Íarraith</w:t>
      </w:r>
      <w:r>
        <w:t xml:space="preserve">, quoted in </w:t>
      </w:r>
      <w:r w:rsidRPr="00E8442B">
        <w:t>Cherie</w:t>
      </w:r>
      <w:r>
        <w:t xml:space="preserve"> N.</w:t>
      </w:r>
      <w:r w:rsidRPr="00E8442B">
        <w:t xml:space="preserve"> Peters, “Legal Position and Living Conditions of Peasants and Commoners in Early Medieval Ireland, c. 680-c. 1170” (PhD. diss., Trinity College Dublin, 2014), 2</w:t>
      </w:r>
      <w:r>
        <w:t>06.</w:t>
      </w:r>
    </w:p>
  </w:footnote>
  <w:footnote w:id="90">
    <w:p w14:paraId="72CBCE5B" w14:textId="73165882" w:rsidR="002C2B99" w:rsidRPr="0041015D" w:rsidRDefault="002C2B99">
      <w:pPr>
        <w:pStyle w:val="FootnoteText"/>
      </w:pPr>
      <w:r>
        <w:rPr>
          <w:rStyle w:val="FootnoteReference"/>
        </w:rPr>
        <w:footnoteRef/>
      </w:r>
      <w:r>
        <w:t xml:space="preserve"> Peters, “Legal Position and Living Conditions,” 207.</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4F8063" w14:textId="60063DE7" w:rsidR="002C2B99" w:rsidRDefault="002C2B99">
    <w:pPr>
      <w:pStyle w:val="Header"/>
      <w:jc w:val="right"/>
    </w:pPr>
    <w:r>
      <w:t xml:space="preserve">Corp </w:t>
    </w:r>
    <w:sdt>
      <w:sdtPr>
        <w:id w:val="-785889912"/>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0F21BCA5" w14:textId="77777777" w:rsidR="002C2B99" w:rsidRDefault="002C2B9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7260"/>
    <w:rsid w:val="00000A30"/>
    <w:rsid w:val="000015EA"/>
    <w:rsid w:val="00001CBB"/>
    <w:rsid w:val="00001EE2"/>
    <w:rsid w:val="0000399C"/>
    <w:rsid w:val="000042C2"/>
    <w:rsid w:val="00004F21"/>
    <w:rsid w:val="00006932"/>
    <w:rsid w:val="00007150"/>
    <w:rsid w:val="00010068"/>
    <w:rsid w:val="000105CD"/>
    <w:rsid w:val="000117BB"/>
    <w:rsid w:val="00011B95"/>
    <w:rsid w:val="00012278"/>
    <w:rsid w:val="00012939"/>
    <w:rsid w:val="00012BF7"/>
    <w:rsid w:val="00012F8B"/>
    <w:rsid w:val="00013251"/>
    <w:rsid w:val="000135D3"/>
    <w:rsid w:val="000135D6"/>
    <w:rsid w:val="00013B65"/>
    <w:rsid w:val="000142DE"/>
    <w:rsid w:val="00014F08"/>
    <w:rsid w:val="000156BA"/>
    <w:rsid w:val="00015BC5"/>
    <w:rsid w:val="00015D0D"/>
    <w:rsid w:val="0001688D"/>
    <w:rsid w:val="00016C49"/>
    <w:rsid w:val="00016D24"/>
    <w:rsid w:val="00020B67"/>
    <w:rsid w:val="00021910"/>
    <w:rsid w:val="000224F3"/>
    <w:rsid w:val="00022647"/>
    <w:rsid w:val="00023445"/>
    <w:rsid w:val="00023579"/>
    <w:rsid w:val="00023835"/>
    <w:rsid w:val="00023D4F"/>
    <w:rsid w:val="000249D1"/>
    <w:rsid w:val="00024D58"/>
    <w:rsid w:val="00024D9E"/>
    <w:rsid w:val="000253BE"/>
    <w:rsid w:val="00027211"/>
    <w:rsid w:val="00027772"/>
    <w:rsid w:val="000303AA"/>
    <w:rsid w:val="000305B3"/>
    <w:rsid w:val="00030E18"/>
    <w:rsid w:val="00031126"/>
    <w:rsid w:val="00031270"/>
    <w:rsid w:val="00031337"/>
    <w:rsid w:val="00031574"/>
    <w:rsid w:val="00032112"/>
    <w:rsid w:val="000333FF"/>
    <w:rsid w:val="0003355F"/>
    <w:rsid w:val="00034689"/>
    <w:rsid w:val="00034729"/>
    <w:rsid w:val="00034CB1"/>
    <w:rsid w:val="00034DE7"/>
    <w:rsid w:val="000356D4"/>
    <w:rsid w:val="00035929"/>
    <w:rsid w:val="00035B9A"/>
    <w:rsid w:val="00035C57"/>
    <w:rsid w:val="00035E63"/>
    <w:rsid w:val="0003662D"/>
    <w:rsid w:val="00036A3E"/>
    <w:rsid w:val="00036C21"/>
    <w:rsid w:val="000377C5"/>
    <w:rsid w:val="00037AA7"/>
    <w:rsid w:val="000409E6"/>
    <w:rsid w:val="000411FF"/>
    <w:rsid w:val="00041B0C"/>
    <w:rsid w:val="00041C66"/>
    <w:rsid w:val="00042860"/>
    <w:rsid w:val="000435E0"/>
    <w:rsid w:val="000436CD"/>
    <w:rsid w:val="00043A7C"/>
    <w:rsid w:val="0004458C"/>
    <w:rsid w:val="00044AFA"/>
    <w:rsid w:val="00044F51"/>
    <w:rsid w:val="000450E0"/>
    <w:rsid w:val="00047F1C"/>
    <w:rsid w:val="000503AC"/>
    <w:rsid w:val="000526EB"/>
    <w:rsid w:val="000528B6"/>
    <w:rsid w:val="00052E40"/>
    <w:rsid w:val="00053693"/>
    <w:rsid w:val="00056790"/>
    <w:rsid w:val="00057064"/>
    <w:rsid w:val="000578F3"/>
    <w:rsid w:val="00057921"/>
    <w:rsid w:val="000607DA"/>
    <w:rsid w:val="000612DF"/>
    <w:rsid w:val="000623FA"/>
    <w:rsid w:val="000624DE"/>
    <w:rsid w:val="00062B46"/>
    <w:rsid w:val="00062DAF"/>
    <w:rsid w:val="00063BA0"/>
    <w:rsid w:val="00064013"/>
    <w:rsid w:val="0006452E"/>
    <w:rsid w:val="000645B8"/>
    <w:rsid w:val="000647EF"/>
    <w:rsid w:val="00065DCA"/>
    <w:rsid w:val="000667EC"/>
    <w:rsid w:val="00067805"/>
    <w:rsid w:val="0007044C"/>
    <w:rsid w:val="0007068A"/>
    <w:rsid w:val="00070846"/>
    <w:rsid w:val="00070BED"/>
    <w:rsid w:val="00072150"/>
    <w:rsid w:val="000728FA"/>
    <w:rsid w:val="00073E60"/>
    <w:rsid w:val="000749DC"/>
    <w:rsid w:val="00076131"/>
    <w:rsid w:val="00077131"/>
    <w:rsid w:val="000779C1"/>
    <w:rsid w:val="000810EB"/>
    <w:rsid w:val="000814F3"/>
    <w:rsid w:val="00081D5F"/>
    <w:rsid w:val="00083D4C"/>
    <w:rsid w:val="00083D7F"/>
    <w:rsid w:val="00084F93"/>
    <w:rsid w:val="00085127"/>
    <w:rsid w:val="000879F9"/>
    <w:rsid w:val="00087E42"/>
    <w:rsid w:val="000901B9"/>
    <w:rsid w:val="00090A74"/>
    <w:rsid w:val="000911EE"/>
    <w:rsid w:val="00092295"/>
    <w:rsid w:val="000922B3"/>
    <w:rsid w:val="0009257B"/>
    <w:rsid w:val="00092C58"/>
    <w:rsid w:val="00093079"/>
    <w:rsid w:val="0009342D"/>
    <w:rsid w:val="00094F27"/>
    <w:rsid w:val="000956E1"/>
    <w:rsid w:val="000A025C"/>
    <w:rsid w:val="000A10A2"/>
    <w:rsid w:val="000A150D"/>
    <w:rsid w:val="000A1E0D"/>
    <w:rsid w:val="000A1ED3"/>
    <w:rsid w:val="000A1F10"/>
    <w:rsid w:val="000A2567"/>
    <w:rsid w:val="000A349C"/>
    <w:rsid w:val="000A39C0"/>
    <w:rsid w:val="000A3E43"/>
    <w:rsid w:val="000A41DC"/>
    <w:rsid w:val="000A42BD"/>
    <w:rsid w:val="000A44A9"/>
    <w:rsid w:val="000A468B"/>
    <w:rsid w:val="000A53F1"/>
    <w:rsid w:val="000A6AFE"/>
    <w:rsid w:val="000B09D5"/>
    <w:rsid w:val="000B0E27"/>
    <w:rsid w:val="000B135C"/>
    <w:rsid w:val="000B1829"/>
    <w:rsid w:val="000B2951"/>
    <w:rsid w:val="000B36F3"/>
    <w:rsid w:val="000B3ECC"/>
    <w:rsid w:val="000B410B"/>
    <w:rsid w:val="000B4238"/>
    <w:rsid w:val="000B442A"/>
    <w:rsid w:val="000B58EB"/>
    <w:rsid w:val="000B5F3B"/>
    <w:rsid w:val="000B64F3"/>
    <w:rsid w:val="000B680E"/>
    <w:rsid w:val="000B6D9E"/>
    <w:rsid w:val="000B7126"/>
    <w:rsid w:val="000C1F30"/>
    <w:rsid w:val="000C304A"/>
    <w:rsid w:val="000C30BE"/>
    <w:rsid w:val="000C321B"/>
    <w:rsid w:val="000C362F"/>
    <w:rsid w:val="000C4162"/>
    <w:rsid w:val="000C4E76"/>
    <w:rsid w:val="000C5AFE"/>
    <w:rsid w:val="000C655B"/>
    <w:rsid w:val="000C6D3A"/>
    <w:rsid w:val="000C6E23"/>
    <w:rsid w:val="000C734D"/>
    <w:rsid w:val="000D01AC"/>
    <w:rsid w:val="000D0267"/>
    <w:rsid w:val="000D05F3"/>
    <w:rsid w:val="000D1129"/>
    <w:rsid w:val="000D1639"/>
    <w:rsid w:val="000D31BB"/>
    <w:rsid w:val="000D451D"/>
    <w:rsid w:val="000D5794"/>
    <w:rsid w:val="000D5C0C"/>
    <w:rsid w:val="000D63A7"/>
    <w:rsid w:val="000D641A"/>
    <w:rsid w:val="000D6AED"/>
    <w:rsid w:val="000D6DAE"/>
    <w:rsid w:val="000D7624"/>
    <w:rsid w:val="000E0878"/>
    <w:rsid w:val="000E0A87"/>
    <w:rsid w:val="000E0E31"/>
    <w:rsid w:val="000E1652"/>
    <w:rsid w:val="000E1720"/>
    <w:rsid w:val="000E296B"/>
    <w:rsid w:val="000E29D6"/>
    <w:rsid w:val="000E3A67"/>
    <w:rsid w:val="000E3B1D"/>
    <w:rsid w:val="000E3B82"/>
    <w:rsid w:val="000E4686"/>
    <w:rsid w:val="000E5E60"/>
    <w:rsid w:val="000E642E"/>
    <w:rsid w:val="000E6D2C"/>
    <w:rsid w:val="000F0999"/>
    <w:rsid w:val="000F0E0F"/>
    <w:rsid w:val="000F117D"/>
    <w:rsid w:val="000F1791"/>
    <w:rsid w:val="000F3187"/>
    <w:rsid w:val="000F4302"/>
    <w:rsid w:val="000F44D2"/>
    <w:rsid w:val="000F58A3"/>
    <w:rsid w:val="000F601F"/>
    <w:rsid w:val="000F68AC"/>
    <w:rsid w:val="000F68EA"/>
    <w:rsid w:val="00100732"/>
    <w:rsid w:val="00100E07"/>
    <w:rsid w:val="00101B9C"/>
    <w:rsid w:val="00102038"/>
    <w:rsid w:val="00102505"/>
    <w:rsid w:val="00102A23"/>
    <w:rsid w:val="00102DA2"/>
    <w:rsid w:val="00103036"/>
    <w:rsid w:val="00103CAB"/>
    <w:rsid w:val="00103EA0"/>
    <w:rsid w:val="001040FB"/>
    <w:rsid w:val="00104202"/>
    <w:rsid w:val="001045D5"/>
    <w:rsid w:val="00104A5D"/>
    <w:rsid w:val="00104D84"/>
    <w:rsid w:val="00104F53"/>
    <w:rsid w:val="00105771"/>
    <w:rsid w:val="001063A9"/>
    <w:rsid w:val="00106B10"/>
    <w:rsid w:val="00106B81"/>
    <w:rsid w:val="00106F3A"/>
    <w:rsid w:val="001076C7"/>
    <w:rsid w:val="00110C6B"/>
    <w:rsid w:val="001111A8"/>
    <w:rsid w:val="0011142F"/>
    <w:rsid w:val="0011228A"/>
    <w:rsid w:val="0011236E"/>
    <w:rsid w:val="00113203"/>
    <w:rsid w:val="001136EB"/>
    <w:rsid w:val="00114284"/>
    <w:rsid w:val="00115415"/>
    <w:rsid w:val="0011677D"/>
    <w:rsid w:val="00116A11"/>
    <w:rsid w:val="00117733"/>
    <w:rsid w:val="00117B21"/>
    <w:rsid w:val="00117CAC"/>
    <w:rsid w:val="00117D97"/>
    <w:rsid w:val="001200CA"/>
    <w:rsid w:val="00120E0C"/>
    <w:rsid w:val="00120EBB"/>
    <w:rsid w:val="00120F92"/>
    <w:rsid w:val="0012189C"/>
    <w:rsid w:val="001228AD"/>
    <w:rsid w:val="00124836"/>
    <w:rsid w:val="00124AAF"/>
    <w:rsid w:val="00124FD0"/>
    <w:rsid w:val="0012669E"/>
    <w:rsid w:val="0012687C"/>
    <w:rsid w:val="001277CD"/>
    <w:rsid w:val="001307C5"/>
    <w:rsid w:val="00130E88"/>
    <w:rsid w:val="0013106D"/>
    <w:rsid w:val="001331BB"/>
    <w:rsid w:val="001347EC"/>
    <w:rsid w:val="00135246"/>
    <w:rsid w:val="001355D6"/>
    <w:rsid w:val="00136195"/>
    <w:rsid w:val="001369DC"/>
    <w:rsid w:val="001370A2"/>
    <w:rsid w:val="001379AD"/>
    <w:rsid w:val="00137FFE"/>
    <w:rsid w:val="00140299"/>
    <w:rsid w:val="001409E4"/>
    <w:rsid w:val="00140BAF"/>
    <w:rsid w:val="00140FC5"/>
    <w:rsid w:val="0014275B"/>
    <w:rsid w:val="00142AFC"/>
    <w:rsid w:val="00143B7A"/>
    <w:rsid w:val="00144D51"/>
    <w:rsid w:val="00145390"/>
    <w:rsid w:val="00146AA1"/>
    <w:rsid w:val="00146D4B"/>
    <w:rsid w:val="00146F98"/>
    <w:rsid w:val="001473DD"/>
    <w:rsid w:val="00150358"/>
    <w:rsid w:val="00150FD0"/>
    <w:rsid w:val="0015130B"/>
    <w:rsid w:val="001517E7"/>
    <w:rsid w:val="00151854"/>
    <w:rsid w:val="00151943"/>
    <w:rsid w:val="001521E2"/>
    <w:rsid w:val="00152DB8"/>
    <w:rsid w:val="00153566"/>
    <w:rsid w:val="001536B0"/>
    <w:rsid w:val="001539E0"/>
    <w:rsid w:val="00153B5B"/>
    <w:rsid w:val="00153BA2"/>
    <w:rsid w:val="00154F04"/>
    <w:rsid w:val="00155491"/>
    <w:rsid w:val="001563C5"/>
    <w:rsid w:val="001570D7"/>
    <w:rsid w:val="00157982"/>
    <w:rsid w:val="00157E08"/>
    <w:rsid w:val="00157FA1"/>
    <w:rsid w:val="0016038D"/>
    <w:rsid w:val="00160F30"/>
    <w:rsid w:val="00160F94"/>
    <w:rsid w:val="00161102"/>
    <w:rsid w:val="001614D2"/>
    <w:rsid w:val="00163322"/>
    <w:rsid w:val="001636C8"/>
    <w:rsid w:val="001639F1"/>
    <w:rsid w:val="001647F8"/>
    <w:rsid w:val="0016533E"/>
    <w:rsid w:val="0016578D"/>
    <w:rsid w:val="0016657A"/>
    <w:rsid w:val="0016739E"/>
    <w:rsid w:val="00170053"/>
    <w:rsid w:val="00170064"/>
    <w:rsid w:val="0017085A"/>
    <w:rsid w:val="00170C80"/>
    <w:rsid w:val="001713B5"/>
    <w:rsid w:val="001715DB"/>
    <w:rsid w:val="00171CDB"/>
    <w:rsid w:val="00171FBD"/>
    <w:rsid w:val="001731E7"/>
    <w:rsid w:val="00173CAB"/>
    <w:rsid w:val="00173F86"/>
    <w:rsid w:val="00174D3E"/>
    <w:rsid w:val="00175D99"/>
    <w:rsid w:val="00175F88"/>
    <w:rsid w:val="00176BB5"/>
    <w:rsid w:val="00176C03"/>
    <w:rsid w:val="00177190"/>
    <w:rsid w:val="001773D9"/>
    <w:rsid w:val="001812D2"/>
    <w:rsid w:val="001815EE"/>
    <w:rsid w:val="00181FE5"/>
    <w:rsid w:val="00184C1F"/>
    <w:rsid w:val="00185D1A"/>
    <w:rsid w:val="00186470"/>
    <w:rsid w:val="0018753E"/>
    <w:rsid w:val="001901E2"/>
    <w:rsid w:val="001905F1"/>
    <w:rsid w:val="00190696"/>
    <w:rsid w:val="00190CB7"/>
    <w:rsid w:val="00190DC4"/>
    <w:rsid w:val="00191569"/>
    <w:rsid w:val="00191D78"/>
    <w:rsid w:val="00192AFB"/>
    <w:rsid w:val="00192D3E"/>
    <w:rsid w:val="00193530"/>
    <w:rsid w:val="00193781"/>
    <w:rsid w:val="00193A9A"/>
    <w:rsid w:val="00193DC8"/>
    <w:rsid w:val="0019453A"/>
    <w:rsid w:val="00194A2F"/>
    <w:rsid w:val="00195150"/>
    <w:rsid w:val="001956D8"/>
    <w:rsid w:val="00195B75"/>
    <w:rsid w:val="00195BA8"/>
    <w:rsid w:val="0019611E"/>
    <w:rsid w:val="00196622"/>
    <w:rsid w:val="0019677B"/>
    <w:rsid w:val="001968C3"/>
    <w:rsid w:val="00197914"/>
    <w:rsid w:val="001A07E6"/>
    <w:rsid w:val="001A25FF"/>
    <w:rsid w:val="001A2B48"/>
    <w:rsid w:val="001A30C8"/>
    <w:rsid w:val="001A3869"/>
    <w:rsid w:val="001A3C1D"/>
    <w:rsid w:val="001A5DDB"/>
    <w:rsid w:val="001A655F"/>
    <w:rsid w:val="001A6FCA"/>
    <w:rsid w:val="001A7885"/>
    <w:rsid w:val="001B0EC8"/>
    <w:rsid w:val="001B1B37"/>
    <w:rsid w:val="001B5255"/>
    <w:rsid w:val="001B538A"/>
    <w:rsid w:val="001B53EA"/>
    <w:rsid w:val="001B556E"/>
    <w:rsid w:val="001B5661"/>
    <w:rsid w:val="001B67B5"/>
    <w:rsid w:val="001B7732"/>
    <w:rsid w:val="001C006A"/>
    <w:rsid w:val="001C0C2B"/>
    <w:rsid w:val="001C0DF3"/>
    <w:rsid w:val="001C0EF8"/>
    <w:rsid w:val="001C143E"/>
    <w:rsid w:val="001C1EC8"/>
    <w:rsid w:val="001C2200"/>
    <w:rsid w:val="001C2B76"/>
    <w:rsid w:val="001C2CB2"/>
    <w:rsid w:val="001C39A3"/>
    <w:rsid w:val="001C402F"/>
    <w:rsid w:val="001C43CC"/>
    <w:rsid w:val="001C7057"/>
    <w:rsid w:val="001C7347"/>
    <w:rsid w:val="001D040E"/>
    <w:rsid w:val="001D072A"/>
    <w:rsid w:val="001D166D"/>
    <w:rsid w:val="001D21C3"/>
    <w:rsid w:val="001D2368"/>
    <w:rsid w:val="001D2858"/>
    <w:rsid w:val="001D2E3E"/>
    <w:rsid w:val="001D2F8F"/>
    <w:rsid w:val="001D3424"/>
    <w:rsid w:val="001D3876"/>
    <w:rsid w:val="001D440D"/>
    <w:rsid w:val="001D45DE"/>
    <w:rsid w:val="001D4936"/>
    <w:rsid w:val="001D50CE"/>
    <w:rsid w:val="001D524D"/>
    <w:rsid w:val="001D5A71"/>
    <w:rsid w:val="001D6789"/>
    <w:rsid w:val="001D787D"/>
    <w:rsid w:val="001D78E1"/>
    <w:rsid w:val="001D7CA2"/>
    <w:rsid w:val="001D7E87"/>
    <w:rsid w:val="001E0746"/>
    <w:rsid w:val="001E0805"/>
    <w:rsid w:val="001E097F"/>
    <w:rsid w:val="001E0EEE"/>
    <w:rsid w:val="001E12EE"/>
    <w:rsid w:val="001E15EF"/>
    <w:rsid w:val="001E1C13"/>
    <w:rsid w:val="001E2461"/>
    <w:rsid w:val="001E2E94"/>
    <w:rsid w:val="001E3523"/>
    <w:rsid w:val="001E3673"/>
    <w:rsid w:val="001E4100"/>
    <w:rsid w:val="001E4D2A"/>
    <w:rsid w:val="001E4ED2"/>
    <w:rsid w:val="001E606F"/>
    <w:rsid w:val="001E7260"/>
    <w:rsid w:val="001E7AA0"/>
    <w:rsid w:val="001F0D44"/>
    <w:rsid w:val="001F1056"/>
    <w:rsid w:val="001F186B"/>
    <w:rsid w:val="001F2172"/>
    <w:rsid w:val="001F2B9E"/>
    <w:rsid w:val="001F4F1E"/>
    <w:rsid w:val="001F507E"/>
    <w:rsid w:val="001F56A5"/>
    <w:rsid w:val="001F5A61"/>
    <w:rsid w:val="001F610C"/>
    <w:rsid w:val="001F61E4"/>
    <w:rsid w:val="001F63B2"/>
    <w:rsid w:val="001F6921"/>
    <w:rsid w:val="001F703E"/>
    <w:rsid w:val="00200BF7"/>
    <w:rsid w:val="00200DA8"/>
    <w:rsid w:val="00201319"/>
    <w:rsid w:val="00201397"/>
    <w:rsid w:val="002013D5"/>
    <w:rsid w:val="0020154A"/>
    <w:rsid w:val="00201801"/>
    <w:rsid w:val="00201C0A"/>
    <w:rsid w:val="00201CA3"/>
    <w:rsid w:val="00203249"/>
    <w:rsid w:val="002034DB"/>
    <w:rsid w:val="00204589"/>
    <w:rsid w:val="0020466D"/>
    <w:rsid w:val="00204BA5"/>
    <w:rsid w:val="00204C9E"/>
    <w:rsid w:val="00205081"/>
    <w:rsid w:val="002065F4"/>
    <w:rsid w:val="00206EE9"/>
    <w:rsid w:val="002072C1"/>
    <w:rsid w:val="00207973"/>
    <w:rsid w:val="0020798F"/>
    <w:rsid w:val="00207D1C"/>
    <w:rsid w:val="00207EBF"/>
    <w:rsid w:val="002102DE"/>
    <w:rsid w:val="002103CC"/>
    <w:rsid w:val="00210C05"/>
    <w:rsid w:val="00212211"/>
    <w:rsid w:val="00212772"/>
    <w:rsid w:val="00212A5D"/>
    <w:rsid w:val="002138D6"/>
    <w:rsid w:val="002148AE"/>
    <w:rsid w:val="00214BEB"/>
    <w:rsid w:val="00215B4E"/>
    <w:rsid w:val="00217D63"/>
    <w:rsid w:val="002209C2"/>
    <w:rsid w:val="002212D6"/>
    <w:rsid w:val="0022229B"/>
    <w:rsid w:val="002223F8"/>
    <w:rsid w:val="00222663"/>
    <w:rsid w:val="002239E8"/>
    <w:rsid w:val="00224642"/>
    <w:rsid w:val="00224F22"/>
    <w:rsid w:val="002255B4"/>
    <w:rsid w:val="002260CA"/>
    <w:rsid w:val="002263BC"/>
    <w:rsid w:val="00226B1C"/>
    <w:rsid w:val="00227F14"/>
    <w:rsid w:val="0023055C"/>
    <w:rsid w:val="002305FE"/>
    <w:rsid w:val="00230D99"/>
    <w:rsid w:val="00230EED"/>
    <w:rsid w:val="002332FE"/>
    <w:rsid w:val="00233A7A"/>
    <w:rsid w:val="00233C00"/>
    <w:rsid w:val="00234B7D"/>
    <w:rsid w:val="002352C0"/>
    <w:rsid w:val="00235359"/>
    <w:rsid w:val="00235755"/>
    <w:rsid w:val="00235DD0"/>
    <w:rsid w:val="00235E3E"/>
    <w:rsid w:val="00235F81"/>
    <w:rsid w:val="0023625F"/>
    <w:rsid w:val="00236528"/>
    <w:rsid w:val="002365F8"/>
    <w:rsid w:val="00236860"/>
    <w:rsid w:val="00237703"/>
    <w:rsid w:val="00237AF9"/>
    <w:rsid w:val="00240510"/>
    <w:rsid w:val="00243CDF"/>
    <w:rsid w:val="00243D8C"/>
    <w:rsid w:val="00243FDF"/>
    <w:rsid w:val="002441AD"/>
    <w:rsid w:val="002445C8"/>
    <w:rsid w:val="00245705"/>
    <w:rsid w:val="00245FE3"/>
    <w:rsid w:val="00246980"/>
    <w:rsid w:val="0024756E"/>
    <w:rsid w:val="00250970"/>
    <w:rsid w:val="00250E0E"/>
    <w:rsid w:val="00252BD6"/>
    <w:rsid w:val="00252F4B"/>
    <w:rsid w:val="002540CB"/>
    <w:rsid w:val="0025470B"/>
    <w:rsid w:val="002549B3"/>
    <w:rsid w:val="00254AA2"/>
    <w:rsid w:val="00254C87"/>
    <w:rsid w:val="00257340"/>
    <w:rsid w:val="00257DF6"/>
    <w:rsid w:val="00257F9A"/>
    <w:rsid w:val="002636D2"/>
    <w:rsid w:val="00264303"/>
    <w:rsid w:val="002645B2"/>
    <w:rsid w:val="00264E46"/>
    <w:rsid w:val="00265B01"/>
    <w:rsid w:val="002667AA"/>
    <w:rsid w:val="00266939"/>
    <w:rsid w:val="00270130"/>
    <w:rsid w:val="00271399"/>
    <w:rsid w:val="002714E1"/>
    <w:rsid w:val="00271B25"/>
    <w:rsid w:val="00272F38"/>
    <w:rsid w:val="00273156"/>
    <w:rsid w:val="002742A9"/>
    <w:rsid w:val="00274AFC"/>
    <w:rsid w:val="002755C3"/>
    <w:rsid w:val="00275909"/>
    <w:rsid w:val="00275952"/>
    <w:rsid w:val="0027642D"/>
    <w:rsid w:val="002765C2"/>
    <w:rsid w:val="00276829"/>
    <w:rsid w:val="00276D4C"/>
    <w:rsid w:val="00276D84"/>
    <w:rsid w:val="00277592"/>
    <w:rsid w:val="00277666"/>
    <w:rsid w:val="002804F0"/>
    <w:rsid w:val="00281628"/>
    <w:rsid w:val="002820EC"/>
    <w:rsid w:val="00282F7A"/>
    <w:rsid w:val="00283AC5"/>
    <w:rsid w:val="00283E96"/>
    <w:rsid w:val="002856CA"/>
    <w:rsid w:val="002856EA"/>
    <w:rsid w:val="00286071"/>
    <w:rsid w:val="002877B3"/>
    <w:rsid w:val="00287A76"/>
    <w:rsid w:val="00287A82"/>
    <w:rsid w:val="002904B9"/>
    <w:rsid w:val="002908CA"/>
    <w:rsid w:val="00290D24"/>
    <w:rsid w:val="00291A90"/>
    <w:rsid w:val="002929BA"/>
    <w:rsid w:val="00292A0F"/>
    <w:rsid w:val="002932C6"/>
    <w:rsid w:val="00294456"/>
    <w:rsid w:val="00294526"/>
    <w:rsid w:val="002946F7"/>
    <w:rsid w:val="00294DE5"/>
    <w:rsid w:val="002960E2"/>
    <w:rsid w:val="00296843"/>
    <w:rsid w:val="00296A21"/>
    <w:rsid w:val="00297B55"/>
    <w:rsid w:val="00297BD9"/>
    <w:rsid w:val="00297F22"/>
    <w:rsid w:val="002A1F9E"/>
    <w:rsid w:val="002A2129"/>
    <w:rsid w:val="002A3575"/>
    <w:rsid w:val="002A3A7C"/>
    <w:rsid w:val="002A4AD2"/>
    <w:rsid w:val="002A5A41"/>
    <w:rsid w:val="002A5ECF"/>
    <w:rsid w:val="002A7089"/>
    <w:rsid w:val="002B095D"/>
    <w:rsid w:val="002B18F8"/>
    <w:rsid w:val="002B1CC8"/>
    <w:rsid w:val="002B3562"/>
    <w:rsid w:val="002B39C4"/>
    <w:rsid w:val="002B39EB"/>
    <w:rsid w:val="002B4D75"/>
    <w:rsid w:val="002B52AE"/>
    <w:rsid w:val="002B535F"/>
    <w:rsid w:val="002B552A"/>
    <w:rsid w:val="002B57EB"/>
    <w:rsid w:val="002B677C"/>
    <w:rsid w:val="002B6A39"/>
    <w:rsid w:val="002B6BF1"/>
    <w:rsid w:val="002C100F"/>
    <w:rsid w:val="002C1137"/>
    <w:rsid w:val="002C23C3"/>
    <w:rsid w:val="002C2B06"/>
    <w:rsid w:val="002C2B99"/>
    <w:rsid w:val="002C2C71"/>
    <w:rsid w:val="002C2C75"/>
    <w:rsid w:val="002C2D3F"/>
    <w:rsid w:val="002C36D2"/>
    <w:rsid w:val="002C52EB"/>
    <w:rsid w:val="002C6E84"/>
    <w:rsid w:val="002C7287"/>
    <w:rsid w:val="002C7AD1"/>
    <w:rsid w:val="002C7E05"/>
    <w:rsid w:val="002D0371"/>
    <w:rsid w:val="002D0920"/>
    <w:rsid w:val="002D0AB2"/>
    <w:rsid w:val="002D1733"/>
    <w:rsid w:val="002D18B6"/>
    <w:rsid w:val="002D2B39"/>
    <w:rsid w:val="002D35B9"/>
    <w:rsid w:val="002D4A16"/>
    <w:rsid w:val="002D4B0A"/>
    <w:rsid w:val="002D4C61"/>
    <w:rsid w:val="002D55C4"/>
    <w:rsid w:val="002D72CB"/>
    <w:rsid w:val="002D767B"/>
    <w:rsid w:val="002E07AD"/>
    <w:rsid w:val="002E1686"/>
    <w:rsid w:val="002E181E"/>
    <w:rsid w:val="002E1E29"/>
    <w:rsid w:val="002E2135"/>
    <w:rsid w:val="002E2C34"/>
    <w:rsid w:val="002E380A"/>
    <w:rsid w:val="002E380D"/>
    <w:rsid w:val="002E42FC"/>
    <w:rsid w:val="002E466A"/>
    <w:rsid w:val="002E46A4"/>
    <w:rsid w:val="002E4F37"/>
    <w:rsid w:val="002E537D"/>
    <w:rsid w:val="002E695F"/>
    <w:rsid w:val="002E702A"/>
    <w:rsid w:val="002E7C33"/>
    <w:rsid w:val="002E7FDF"/>
    <w:rsid w:val="002F0120"/>
    <w:rsid w:val="002F1B12"/>
    <w:rsid w:val="002F1D66"/>
    <w:rsid w:val="002F2ACE"/>
    <w:rsid w:val="002F2BAA"/>
    <w:rsid w:val="002F3C72"/>
    <w:rsid w:val="002F42E0"/>
    <w:rsid w:val="002F4DEE"/>
    <w:rsid w:val="002F54F0"/>
    <w:rsid w:val="002F555F"/>
    <w:rsid w:val="002F6090"/>
    <w:rsid w:val="002F6693"/>
    <w:rsid w:val="002F78EB"/>
    <w:rsid w:val="002F7D7B"/>
    <w:rsid w:val="003003D2"/>
    <w:rsid w:val="00300969"/>
    <w:rsid w:val="00300992"/>
    <w:rsid w:val="00300A1D"/>
    <w:rsid w:val="003010A0"/>
    <w:rsid w:val="003013EF"/>
    <w:rsid w:val="00301449"/>
    <w:rsid w:val="0030231D"/>
    <w:rsid w:val="00302AF5"/>
    <w:rsid w:val="00302D79"/>
    <w:rsid w:val="00303265"/>
    <w:rsid w:val="00304251"/>
    <w:rsid w:val="003053AB"/>
    <w:rsid w:val="00305A80"/>
    <w:rsid w:val="00305B4D"/>
    <w:rsid w:val="00305EC8"/>
    <w:rsid w:val="0030685B"/>
    <w:rsid w:val="00307586"/>
    <w:rsid w:val="0031126D"/>
    <w:rsid w:val="00311D47"/>
    <w:rsid w:val="00311F58"/>
    <w:rsid w:val="003127C4"/>
    <w:rsid w:val="00312B04"/>
    <w:rsid w:val="003133FD"/>
    <w:rsid w:val="0031354C"/>
    <w:rsid w:val="00313B4E"/>
    <w:rsid w:val="00313EB5"/>
    <w:rsid w:val="00313F51"/>
    <w:rsid w:val="003143F8"/>
    <w:rsid w:val="003159C6"/>
    <w:rsid w:val="00317D97"/>
    <w:rsid w:val="00321447"/>
    <w:rsid w:val="00321C95"/>
    <w:rsid w:val="003228CE"/>
    <w:rsid w:val="00322F03"/>
    <w:rsid w:val="00323693"/>
    <w:rsid w:val="003236E0"/>
    <w:rsid w:val="00323CBD"/>
    <w:rsid w:val="00323E36"/>
    <w:rsid w:val="00324B30"/>
    <w:rsid w:val="00325363"/>
    <w:rsid w:val="00325730"/>
    <w:rsid w:val="00325EA4"/>
    <w:rsid w:val="003264EE"/>
    <w:rsid w:val="003264FA"/>
    <w:rsid w:val="00326D76"/>
    <w:rsid w:val="00326EA6"/>
    <w:rsid w:val="00326F85"/>
    <w:rsid w:val="0032753B"/>
    <w:rsid w:val="003279A5"/>
    <w:rsid w:val="00327F4F"/>
    <w:rsid w:val="0033048F"/>
    <w:rsid w:val="003305F3"/>
    <w:rsid w:val="0033077D"/>
    <w:rsid w:val="003314C3"/>
    <w:rsid w:val="00331741"/>
    <w:rsid w:val="003317CA"/>
    <w:rsid w:val="003322BE"/>
    <w:rsid w:val="00333090"/>
    <w:rsid w:val="00333592"/>
    <w:rsid w:val="00333B7B"/>
    <w:rsid w:val="003345AA"/>
    <w:rsid w:val="00335033"/>
    <w:rsid w:val="00335473"/>
    <w:rsid w:val="003356E5"/>
    <w:rsid w:val="003363F5"/>
    <w:rsid w:val="00336625"/>
    <w:rsid w:val="003371D1"/>
    <w:rsid w:val="00340279"/>
    <w:rsid w:val="00340956"/>
    <w:rsid w:val="0034177B"/>
    <w:rsid w:val="0034182D"/>
    <w:rsid w:val="0034248B"/>
    <w:rsid w:val="003428B3"/>
    <w:rsid w:val="003438A1"/>
    <w:rsid w:val="00344FB1"/>
    <w:rsid w:val="003452F6"/>
    <w:rsid w:val="00346800"/>
    <w:rsid w:val="00346A33"/>
    <w:rsid w:val="0034780E"/>
    <w:rsid w:val="003478D2"/>
    <w:rsid w:val="00347E3F"/>
    <w:rsid w:val="00351021"/>
    <w:rsid w:val="003514BF"/>
    <w:rsid w:val="003514E1"/>
    <w:rsid w:val="00351539"/>
    <w:rsid w:val="00351886"/>
    <w:rsid w:val="00352071"/>
    <w:rsid w:val="003524F3"/>
    <w:rsid w:val="00352E66"/>
    <w:rsid w:val="0035321A"/>
    <w:rsid w:val="0035342F"/>
    <w:rsid w:val="0035346F"/>
    <w:rsid w:val="00353F8E"/>
    <w:rsid w:val="003542A0"/>
    <w:rsid w:val="00356256"/>
    <w:rsid w:val="00356513"/>
    <w:rsid w:val="003566AE"/>
    <w:rsid w:val="00356FB0"/>
    <w:rsid w:val="0035744C"/>
    <w:rsid w:val="00357723"/>
    <w:rsid w:val="00357F90"/>
    <w:rsid w:val="003603A1"/>
    <w:rsid w:val="00360DDE"/>
    <w:rsid w:val="003629A5"/>
    <w:rsid w:val="00364862"/>
    <w:rsid w:val="00364AE1"/>
    <w:rsid w:val="00365490"/>
    <w:rsid w:val="003663D9"/>
    <w:rsid w:val="00367212"/>
    <w:rsid w:val="00367AFC"/>
    <w:rsid w:val="00367EB3"/>
    <w:rsid w:val="0037009C"/>
    <w:rsid w:val="0037051C"/>
    <w:rsid w:val="0037067B"/>
    <w:rsid w:val="00370F10"/>
    <w:rsid w:val="003720EF"/>
    <w:rsid w:val="0037240C"/>
    <w:rsid w:val="00372479"/>
    <w:rsid w:val="00372749"/>
    <w:rsid w:val="00373411"/>
    <w:rsid w:val="0037400D"/>
    <w:rsid w:val="003748F0"/>
    <w:rsid w:val="00374928"/>
    <w:rsid w:val="00374CBD"/>
    <w:rsid w:val="00374F11"/>
    <w:rsid w:val="00375217"/>
    <w:rsid w:val="00375410"/>
    <w:rsid w:val="0037559F"/>
    <w:rsid w:val="00376BBD"/>
    <w:rsid w:val="00376C58"/>
    <w:rsid w:val="003771E8"/>
    <w:rsid w:val="003777FE"/>
    <w:rsid w:val="00377EB2"/>
    <w:rsid w:val="003809C4"/>
    <w:rsid w:val="00380A78"/>
    <w:rsid w:val="0038160F"/>
    <w:rsid w:val="003822D9"/>
    <w:rsid w:val="003829FF"/>
    <w:rsid w:val="00383178"/>
    <w:rsid w:val="00383AFD"/>
    <w:rsid w:val="00384A3E"/>
    <w:rsid w:val="00384AA4"/>
    <w:rsid w:val="0038509B"/>
    <w:rsid w:val="003869DF"/>
    <w:rsid w:val="00386D51"/>
    <w:rsid w:val="00386F00"/>
    <w:rsid w:val="003874AE"/>
    <w:rsid w:val="00387E9B"/>
    <w:rsid w:val="00387F61"/>
    <w:rsid w:val="00390D75"/>
    <w:rsid w:val="00391FA3"/>
    <w:rsid w:val="003923F5"/>
    <w:rsid w:val="00393A72"/>
    <w:rsid w:val="00393F95"/>
    <w:rsid w:val="00394553"/>
    <w:rsid w:val="00394923"/>
    <w:rsid w:val="00394DEA"/>
    <w:rsid w:val="00395B41"/>
    <w:rsid w:val="00395E5E"/>
    <w:rsid w:val="003968A4"/>
    <w:rsid w:val="00397F26"/>
    <w:rsid w:val="003A0253"/>
    <w:rsid w:val="003A2406"/>
    <w:rsid w:val="003A2659"/>
    <w:rsid w:val="003A2A6D"/>
    <w:rsid w:val="003A3C55"/>
    <w:rsid w:val="003A5723"/>
    <w:rsid w:val="003A5B27"/>
    <w:rsid w:val="003A6953"/>
    <w:rsid w:val="003A6B0D"/>
    <w:rsid w:val="003B09D4"/>
    <w:rsid w:val="003B0B2B"/>
    <w:rsid w:val="003B122A"/>
    <w:rsid w:val="003B1557"/>
    <w:rsid w:val="003B1810"/>
    <w:rsid w:val="003B18EC"/>
    <w:rsid w:val="003B2F28"/>
    <w:rsid w:val="003B33CA"/>
    <w:rsid w:val="003B45F0"/>
    <w:rsid w:val="003B4C01"/>
    <w:rsid w:val="003B56D7"/>
    <w:rsid w:val="003B5DDC"/>
    <w:rsid w:val="003B625C"/>
    <w:rsid w:val="003B71E7"/>
    <w:rsid w:val="003B7A48"/>
    <w:rsid w:val="003B7D1C"/>
    <w:rsid w:val="003C010F"/>
    <w:rsid w:val="003C0C38"/>
    <w:rsid w:val="003C1281"/>
    <w:rsid w:val="003C1381"/>
    <w:rsid w:val="003C1910"/>
    <w:rsid w:val="003C1CBB"/>
    <w:rsid w:val="003C2872"/>
    <w:rsid w:val="003C3A70"/>
    <w:rsid w:val="003C40DB"/>
    <w:rsid w:val="003C422C"/>
    <w:rsid w:val="003C47D0"/>
    <w:rsid w:val="003C4B39"/>
    <w:rsid w:val="003C5C0E"/>
    <w:rsid w:val="003C6116"/>
    <w:rsid w:val="003C71AA"/>
    <w:rsid w:val="003C7256"/>
    <w:rsid w:val="003C7593"/>
    <w:rsid w:val="003C7AA1"/>
    <w:rsid w:val="003D009C"/>
    <w:rsid w:val="003D015C"/>
    <w:rsid w:val="003D03E1"/>
    <w:rsid w:val="003D0A28"/>
    <w:rsid w:val="003D2122"/>
    <w:rsid w:val="003D2638"/>
    <w:rsid w:val="003D27C3"/>
    <w:rsid w:val="003D29F6"/>
    <w:rsid w:val="003D2BBC"/>
    <w:rsid w:val="003D2E47"/>
    <w:rsid w:val="003D3067"/>
    <w:rsid w:val="003D553B"/>
    <w:rsid w:val="003D55F6"/>
    <w:rsid w:val="003D5928"/>
    <w:rsid w:val="003D68FF"/>
    <w:rsid w:val="003D6D89"/>
    <w:rsid w:val="003D71D0"/>
    <w:rsid w:val="003D799D"/>
    <w:rsid w:val="003E06C8"/>
    <w:rsid w:val="003E15E7"/>
    <w:rsid w:val="003E18BB"/>
    <w:rsid w:val="003E2E88"/>
    <w:rsid w:val="003E3035"/>
    <w:rsid w:val="003E414D"/>
    <w:rsid w:val="003E442E"/>
    <w:rsid w:val="003E448D"/>
    <w:rsid w:val="003E4D64"/>
    <w:rsid w:val="003E5A42"/>
    <w:rsid w:val="003E66A7"/>
    <w:rsid w:val="003E69E7"/>
    <w:rsid w:val="003E6A46"/>
    <w:rsid w:val="003E7853"/>
    <w:rsid w:val="003E79B7"/>
    <w:rsid w:val="003F081A"/>
    <w:rsid w:val="003F0B3A"/>
    <w:rsid w:val="003F0F3D"/>
    <w:rsid w:val="003F2E9E"/>
    <w:rsid w:val="003F2EB0"/>
    <w:rsid w:val="003F4069"/>
    <w:rsid w:val="003F461E"/>
    <w:rsid w:val="003F512A"/>
    <w:rsid w:val="003F5355"/>
    <w:rsid w:val="003F5360"/>
    <w:rsid w:val="003F5667"/>
    <w:rsid w:val="003F5AC7"/>
    <w:rsid w:val="003F5FCD"/>
    <w:rsid w:val="003F6228"/>
    <w:rsid w:val="003F6DAC"/>
    <w:rsid w:val="003F6F5A"/>
    <w:rsid w:val="003F73C3"/>
    <w:rsid w:val="00400054"/>
    <w:rsid w:val="004016C1"/>
    <w:rsid w:val="00401784"/>
    <w:rsid w:val="00401A1E"/>
    <w:rsid w:val="00402F23"/>
    <w:rsid w:val="00403392"/>
    <w:rsid w:val="00403527"/>
    <w:rsid w:val="00403D47"/>
    <w:rsid w:val="00404803"/>
    <w:rsid w:val="00405069"/>
    <w:rsid w:val="004067A5"/>
    <w:rsid w:val="00406AE4"/>
    <w:rsid w:val="00407449"/>
    <w:rsid w:val="0041015D"/>
    <w:rsid w:val="0041026E"/>
    <w:rsid w:val="00411307"/>
    <w:rsid w:val="004117DC"/>
    <w:rsid w:val="00411B1B"/>
    <w:rsid w:val="00411D71"/>
    <w:rsid w:val="00411DBD"/>
    <w:rsid w:val="00411E4C"/>
    <w:rsid w:val="00413383"/>
    <w:rsid w:val="004135AE"/>
    <w:rsid w:val="00415C49"/>
    <w:rsid w:val="00415D24"/>
    <w:rsid w:val="00417254"/>
    <w:rsid w:val="004201EC"/>
    <w:rsid w:val="00420601"/>
    <w:rsid w:val="004207C5"/>
    <w:rsid w:val="004208E0"/>
    <w:rsid w:val="004224B9"/>
    <w:rsid w:val="00422A7F"/>
    <w:rsid w:val="00422C06"/>
    <w:rsid w:val="00422F28"/>
    <w:rsid w:val="00423E8E"/>
    <w:rsid w:val="00424CAE"/>
    <w:rsid w:val="00425545"/>
    <w:rsid w:val="0042628A"/>
    <w:rsid w:val="004263B3"/>
    <w:rsid w:val="00426777"/>
    <w:rsid w:val="00426E81"/>
    <w:rsid w:val="00427A05"/>
    <w:rsid w:val="00427A2F"/>
    <w:rsid w:val="004313DC"/>
    <w:rsid w:val="00431833"/>
    <w:rsid w:val="0043263D"/>
    <w:rsid w:val="004329AD"/>
    <w:rsid w:val="00432DD4"/>
    <w:rsid w:val="004332AC"/>
    <w:rsid w:val="00434237"/>
    <w:rsid w:val="0043471F"/>
    <w:rsid w:val="004353F5"/>
    <w:rsid w:val="004355D6"/>
    <w:rsid w:val="00437901"/>
    <w:rsid w:val="00440022"/>
    <w:rsid w:val="00440331"/>
    <w:rsid w:val="004407B6"/>
    <w:rsid w:val="004410BB"/>
    <w:rsid w:val="00441B5F"/>
    <w:rsid w:val="00441FC0"/>
    <w:rsid w:val="00442963"/>
    <w:rsid w:val="00442B89"/>
    <w:rsid w:val="00443277"/>
    <w:rsid w:val="004435DC"/>
    <w:rsid w:val="004436A9"/>
    <w:rsid w:val="00443933"/>
    <w:rsid w:val="00443A71"/>
    <w:rsid w:val="00444131"/>
    <w:rsid w:val="00444CB2"/>
    <w:rsid w:val="004456F2"/>
    <w:rsid w:val="00446764"/>
    <w:rsid w:val="00446DE3"/>
    <w:rsid w:val="00447723"/>
    <w:rsid w:val="00447B50"/>
    <w:rsid w:val="0045078B"/>
    <w:rsid w:val="004538CC"/>
    <w:rsid w:val="00453F7F"/>
    <w:rsid w:val="00454D19"/>
    <w:rsid w:val="00454DC8"/>
    <w:rsid w:val="00454F81"/>
    <w:rsid w:val="00455039"/>
    <w:rsid w:val="00455720"/>
    <w:rsid w:val="00456286"/>
    <w:rsid w:val="00456746"/>
    <w:rsid w:val="0045675B"/>
    <w:rsid w:val="0045768D"/>
    <w:rsid w:val="00457BC8"/>
    <w:rsid w:val="0046096A"/>
    <w:rsid w:val="00460B21"/>
    <w:rsid w:val="00461D28"/>
    <w:rsid w:val="00462D3E"/>
    <w:rsid w:val="00463751"/>
    <w:rsid w:val="00463A46"/>
    <w:rsid w:val="00464E06"/>
    <w:rsid w:val="00465C6E"/>
    <w:rsid w:val="00465D47"/>
    <w:rsid w:val="004663B1"/>
    <w:rsid w:val="00470904"/>
    <w:rsid w:val="00470B45"/>
    <w:rsid w:val="00470D79"/>
    <w:rsid w:val="00472462"/>
    <w:rsid w:val="0047364C"/>
    <w:rsid w:val="0047392F"/>
    <w:rsid w:val="00473E53"/>
    <w:rsid w:val="00474641"/>
    <w:rsid w:val="00474B7D"/>
    <w:rsid w:val="0047501C"/>
    <w:rsid w:val="00476B94"/>
    <w:rsid w:val="00476FFC"/>
    <w:rsid w:val="0047741E"/>
    <w:rsid w:val="00477A52"/>
    <w:rsid w:val="00477C63"/>
    <w:rsid w:val="00477E07"/>
    <w:rsid w:val="00477F4E"/>
    <w:rsid w:val="00480134"/>
    <w:rsid w:val="0048039A"/>
    <w:rsid w:val="004808CC"/>
    <w:rsid w:val="00480917"/>
    <w:rsid w:val="00480CC5"/>
    <w:rsid w:val="00481C46"/>
    <w:rsid w:val="0048248F"/>
    <w:rsid w:val="00483774"/>
    <w:rsid w:val="0048432B"/>
    <w:rsid w:val="0048450F"/>
    <w:rsid w:val="0048497C"/>
    <w:rsid w:val="00485384"/>
    <w:rsid w:val="00485A59"/>
    <w:rsid w:val="0048690F"/>
    <w:rsid w:val="00486B5B"/>
    <w:rsid w:val="0048786B"/>
    <w:rsid w:val="00487877"/>
    <w:rsid w:val="00487DB3"/>
    <w:rsid w:val="00487ED4"/>
    <w:rsid w:val="004900B8"/>
    <w:rsid w:val="00490B6A"/>
    <w:rsid w:val="00490F6F"/>
    <w:rsid w:val="00492119"/>
    <w:rsid w:val="00492EF9"/>
    <w:rsid w:val="00492F9D"/>
    <w:rsid w:val="00493F89"/>
    <w:rsid w:val="00494EED"/>
    <w:rsid w:val="004955BE"/>
    <w:rsid w:val="0049596B"/>
    <w:rsid w:val="00497D90"/>
    <w:rsid w:val="004A043E"/>
    <w:rsid w:val="004A0734"/>
    <w:rsid w:val="004A0786"/>
    <w:rsid w:val="004A08C6"/>
    <w:rsid w:val="004A0B4D"/>
    <w:rsid w:val="004A0C95"/>
    <w:rsid w:val="004A1C4A"/>
    <w:rsid w:val="004A2032"/>
    <w:rsid w:val="004A33FA"/>
    <w:rsid w:val="004A3906"/>
    <w:rsid w:val="004A5662"/>
    <w:rsid w:val="004A56EE"/>
    <w:rsid w:val="004A5C52"/>
    <w:rsid w:val="004A7A0B"/>
    <w:rsid w:val="004A7C11"/>
    <w:rsid w:val="004B03A7"/>
    <w:rsid w:val="004B075C"/>
    <w:rsid w:val="004B07EB"/>
    <w:rsid w:val="004B0F5D"/>
    <w:rsid w:val="004B1263"/>
    <w:rsid w:val="004B2080"/>
    <w:rsid w:val="004B2C50"/>
    <w:rsid w:val="004B2DDD"/>
    <w:rsid w:val="004B373D"/>
    <w:rsid w:val="004B52ED"/>
    <w:rsid w:val="004B52FE"/>
    <w:rsid w:val="004B5575"/>
    <w:rsid w:val="004B62B3"/>
    <w:rsid w:val="004C0CFD"/>
    <w:rsid w:val="004C1A1C"/>
    <w:rsid w:val="004C1B3B"/>
    <w:rsid w:val="004C2709"/>
    <w:rsid w:val="004C29E7"/>
    <w:rsid w:val="004C29F4"/>
    <w:rsid w:val="004C333D"/>
    <w:rsid w:val="004C36DD"/>
    <w:rsid w:val="004C5687"/>
    <w:rsid w:val="004C7E8E"/>
    <w:rsid w:val="004D03F6"/>
    <w:rsid w:val="004D0494"/>
    <w:rsid w:val="004D0F25"/>
    <w:rsid w:val="004D1922"/>
    <w:rsid w:val="004D270F"/>
    <w:rsid w:val="004D2EB8"/>
    <w:rsid w:val="004D3307"/>
    <w:rsid w:val="004D37C0"/>
    <w:rsid w:val="004D4490"/>
    <w:rsid w:val="004D4607"/>
    <w:rsid w:val="004D5858"/>
    <w:rsid w:val="004D6412"/>
    <w:rsid w:val="004D6803"/>
    <w:rsid w:val="004D6A2C"/>
    <w:rsid w:val="004D6B58"/>
    <w:rsid w:val="004D6E00"/>
    <w:rsid w:val="004D76BD"/>
    <w:rsid w:val="004E02E6"/>
    <w:rsid w:val="004E0EF6"/>
    <w:rsid w:val="004E12ED"/>
    <w:rsid w:val="004E208F"/>
    <w:rsid w:val="004E2117"/>
    <w:rsid w:val="004E3AAA"/>
    <w:rsid w:val="004E5EBD"/>
    <w:rsid w:val="004E604F"/>
    <w:rsid w:val="004E7439"/>
    <w:rsid w:val="004E75E0"/>
    <w:rsid w:val="004E7ED7"/>
    <w:rsid w:val="004F1656"/>
    <w:rsid w:val="004F2102"/>
    <w:rsid w:val="004F2E1B"/>
    <w:rsid w:val="004F3529"/>
    <w:rsid w:val="004F4E2B"/>
    <w:rsid w:val="004F5263"/>
    <w:rsid w:val="004F5886"/>
    <w:rsid w:val="004F6376"/>
    <w:rsid w:val="004F67A6"/>
    <w:rsid w:val="004F6B00"/>
    <w:rsid w:val="004F6B7C"/>
    <w:rsid w:val="004F729D"/>
    <w:rsid w:val="004F7715"/>
    <w:rsid w:val="004F77E9"/>
    <w:rsid w:val="004F78B4"/>
    <w:rsid w:val="004F7CEF"/>
    <w:rsid w:val="004F7E82"/>
    <w:rsid w:val="00500108"/>
    <w:rsid w:val="00500210"/>
    <w:rsid w:val="005004E1"/>
    <w:rsid w:val="00501A60"/>
    <w:rsid w:val="00501E13"/>
    <w:rsid w:val="00502294"/>
    <w:rsid w:val="00503CB1"/>
    <w:rsid w:val="00504310"/>
    <w:rsid w:val="00505B5C"/>
    <w:rsid w:val="00506D1F"/>
    <w:rsid w:val="00506DA9"/>
    <w:rsid w:val="0051063D"/>
    <w:rsid w:val="00510DE8"/>
    <w:rsid w:val="00511DBB"/>
    <w:rsid w:val="0051202B"/>
    <w:rsid w:val="0051223B"/>
    <w:rsid w:val="005129A8"/>
    <w:rsid w:val="00512AC0"/>
    <w:rsid w:val="00512DFD"/>
    <w:rsid w:val="0051320C"/>
    <w:rsid w:val="00513B2B"/>
    <w:rsid w:val="00514652"/>
    <w:rsid w:val="00514697"/>
    <w:rsid w:val="00514F1E"/>
    <w:rsid w:val="00515E2B"/>
    <w:rsid w:val="00516944"/>
    <w:rsid w:val="00516A0D"/>
    <w:rsid w:val="00516CB6"/>
    <w:rsid w:val="00516DE7"/>
    <w:rsid w:val="005172AD"/>
    <w:rsid w:val="0051773F"/>
    <w:rsid w:val="00517936"/>
    <w:rsid w:val="00517FC7"/>
    <w:rsid w:val="00520D96"/>
    <w:rsid w:val="00521E2F"/>
    <w:rsid w:val="005220ED"/>
    <w:rsid w:val="00522487"/>
    <w:rsid w:val="00522AE5"/>
    <w:rsid w:val="00522D30"/>
    <w:rsid w:val="0052340C"/>
    <w:rsid w:val="00523819"/>
    <w:rsid w:val="005238DB"/>
    <w:rsid w:val="00523D3E"/>
    <w:rsid w:val="005242B0"/>
    <w:rsid w:val="00524A5A"/>
    <w:rsid w:val="00525924"/>
    <w:rsid w:val="00526228"/>
    <w:rsid w:val="00526C4B"/>
    <w:rsid w:val="00527308"/>
    <w:rsid w:val="00531011"/>
    <w:rsid w:val="00531529"/>
    <w:rsid w:val="00531A87"/>
    <w:rsid w:val="00532524"/>
    <w:rsid w:val="0053272A"/>
    <w:rsid w:val="005329EE"/>
    <w:rsid w:val="0053343D"/>
    <w:rsid w:val="00533DAB"/>
    <w:rsid w:val="00535A57"/>
    <w:rsid w:val="005369D0"/>
    <w:rsid w:val="00537330"/>
    <w:rsid w:val="0053749B"/>
    <w:rsid w:val="00537C3E"/>
    <w:rsid w:val="005405A8"/>
    <w:rsid w:val="00540835"/>
    <w:rsid w:val="00540ED7"/>
    <w:rsid w:val="00541775"/>
    <w:rsid w:val="00545DCB"/>
    <w:rsid w:val="0054622D"/>
    <w:rsid w:val="005463CD"/>
    <w:rsid w:val="005479E1"/>
    <w:rsid w:val="00550BF0"/>
    <w:rsid w:val="00550D30"/>
    <w:rsid w:val="0055148D"/>
    <w:rsid w:val="00551EAC"/>
    <w:rsid w:val="00552612"/>
    <w:rsid w:val="005526E7"/>
    <w:rsid w:val="00552817"/>
    <w:rsid w:val="00552B6E"/>
    <w:rsid w:val="00552B72"/>
    <w:rsid w:val="00553137"/>
    <w:rsid w:val="00553686"/>
    <w:rsid w:val="005538F9"/>
    <w:rsid w:val="00553CA4"/>
    <w:rsid w:val="0055435D"/>
    <w:rsid w:val="00555204"/>
    <w:rsid w:val="005558E3"/>
    <w:rsid w:val="00555921"/>
    <w:rsid w:val="00556702"/>
    <w:rsid w:val="00556C57"/>
    <w:rsid w:val="00557854"/>
    <w:rsid w:val="005578AF"/>
    <w:rsid w:val="00560D59"/>
    <w:rsid w:val="00560DE2"/>
    <w:rsid w:val="0056107A"/>
    <w:rsid w:val="005615BC"/>
    <w:rsid w:val="00562292"/>
    <w:rsid w:val="005622B0"/>
    <w:rsid w:val="00562909"/>
    <w:rsid w:val="0056357E"/>
    <w:rsid w:val="00564433"/>
    <w:rsid w:val="00564779"/>
    <w:rsid w:val="00565431"/>
    <w:rsid w:val="005661C6"/>
    <w:rsid w:val="005664B6"/>
    <w:rsid w:val="00567158"/>
    <w:rsid w:val="00570360"/>
    <w:rsid w:val="005705AF"/>
    <w:rsid w:val="00570D3A"/>
    <w:rsid w:val="00571317"/>
    <w:rsid w:val="005718BC"/>
    <w:rsid w:val="00571EF6"/>
    <w:rsid w:val="00572FAA"/>
    <w:rsid w:val="00574378"/>
    <w:rsid w:val="0057449B"/>
    <w:rsid w:val="00574B6F"/>
    <w:rsid w:val="00575027"/>
    <w:rsid w:val="00575337"/>
    <w:rsid w:val="00575CA8"/>
    <w:rsid w:val="00575E4B"/>
    <w:rsid w:val="0057681F"/>
    <w:rsid w:val="00576CC9"/>
    <w:rsid w:val="00576F6F"/>
    <w:rsid w:val="00577746"/>
    <w:rsid w:val="00577872"/>
    <w:rsid w:val="00577DD3"/>
    <w:rsid w:val="00580036"/>
    <w:rsid w:val="00580930"/>
    <w:rsid w:val="00585BAD"/>
    <w:rsid w:val="00585F3D"/>
    <w:rsid w:val="00590201"/>
    <w:rsid w:val="0059051E"/>
    <w:rsid w:val="00590659"/>
    <w:rsid w:val="00590769"/>
    <w:rsid w:val="00590E15"/>
    <w:rsid w:val="00590E9F"/>
    <w:rsid w:val="00591101"/>
    <w:rsid w:val="0059223E"/>
    <w:rsid w:val="0059386B"/>
    <w:rsid w:val="00593A47"/>
    <w:rsid w:val="00594246"/>
    <w:rsid w:val="00594E61"/>
    <w:rsid w:val="005973C6"/>
    <w:rsid w:val="005976B3"/>
    <w:rsid w:val="00597EB9"/>
    <w:rsid w:val="005A1C5B"/>
    <w:rsid w:val="005A206F"/>
    <w:rsid w:val="005A3FCD"/>
    <w:rsid w:val="005A4914"/>
    <w:rsid w:val="005A4DF5"/>
    <w:rsid w:val="005A5313"/>
    <w:rsid w:val="005A5A30"/>
    <w:rsid w:val="005A5CE4"/>
    <w:rsid w:val="005A6199"/>
    <w:rsid w:val="005A699A"/>
    <w:rsid w:val="005A79AB"/>
    <w:rsid w:val="005B0B49"/>
    <w:rsid w:val="005B17E0"/>
    <w:rsid w:val="005B1D43"/>
    <w:rsid w:val="005B218E"/>
    <w:rsid w:val="005B3B5F"/>
    <w:rsid w:val="005B4764"/>
    <w:rsid w:val="005B4C44"/>
    <w:rsid w:val="005B5175"/>
    <w:rsid w:val="005B564F"/>
    <w:rsid w:val="005B627A"/>
    <w:rsid w:val="005C0938"/>
    <w:rsid w:val="005C0F3E"/>
    <w:rsid w:val="005C13CE"/>
    <w:rsid w:val="005C247D"/>
    <w:rsid w:val="005C4A38"/>
    <w:rsid w:val="005C5AEB"/>
    <w:rsid w:val="005C5B0E"/>
    <w:rsid w:val="005C639F"/>
    <w:rsid w:val="005C660D"/>
    <w:rsid w:val="005C6892"/>
    <w:rsid w:val="005C6CCB"/>
    <w:rsid w:val="005C731A"/>
    <w:rsid w:val="005C76F1"/>
    <w:rsid w:val="005C7A5B"/>
    <w:rsid w:val="005D10ED"/>
    <w:rsid w:val="005D1F42"/>
    <w:rsid w:val="005D2869"/>
    <w:rsid w:val="005D3B8A"/>
    <w:rsid w:val="005D3D60"/>
    <w:rsid w:val="005D40F3"/>
    <w:rsid w:val="005D44C9"/>
    <w:rsid w:val="005D5E2B"/>
    <w:rsid w:val="005D60BB"/>
    <w:rsid w:val="005D66D4"/>
    <w:rsid w:val="005D6770"/>
    <w:rsid w:val="005D7831"/>
    <w:rsid w:val="005E091C"/>
    <w:rsid w:val="005E0A83"/>
    <w:rsid w:val="005E0C32"/>
    <w:rsid w:val="005E0CF9"/>
    <w:rsid w:val="005E0F5F"/>
    <w:rsid w:val="005E116E"/>
    <w:rsid w:val="005E1256"/>
    <w:rsid w:val="005E15F4"/>
    <w:rsid w:val="005E1676"/>
    <w:rsid w:val="005E45A3"/>
    <w:rsid w:val="005E4A88"/>
    <w:rsid w:val="005E4F04"/>
    <w:rsid w:val="005E53F5"/>
    <w:rsid w:val="005E547A"/>
    <w:rsid w:val="005E60F5"/>
    <w:rsid w:val="005E6172"/>
    <w:rsid w:val="005E65E3"/>
    <w:rsid w:val="005E66E9"/>
    <w:rsid w:val="005E6FFF"/>
    <w:rsid w:val="005F02D9"/>
    <w:rsid w:val="005F0B3C"/>
    <w:rsid w:val="005F198A"/>
    <w:rsid w:val="005F1F3F"/>
    <w:rsid w:val="005F1F7D"/>
    <w:rsid w:val="005F38E4"/>
    <w:rsid w:val="005F4A8A"/>
    <w:rsid w:val="005F7D39"/>
    <w:rsid w:val="00600589"/>
    <w:rsid w:val="0060071F"/>
    <w:rsid w:val="00600CB3"/>
    <w:rsid w:val="00601512"/>
    <w:rsid w:val="00601E58"/>
    <w:rsid w:val="006022EC"/>
    <w:rsid w:val="00602487"/>
    <w:rsid w:val="00602536"/>
    <w:rsid w:val="006025D1"/>
    <w:rsid w:val="00602E78"/>
    <w:rsid w:val="00602F37"/>
    <w:rsid w:val="00603676"/>
    <w:rsid w:val="0060542F"/>
    <w:rsid w:val="00605921"/>
    <w:rsid w:val="00605A06"/>
    <w:rsid w:val="00605A0B"/>
    <w:rsid w:val="00606C74"/>
    <w:rsid w:val="00607377"/>
    <w:rsid w:val="0061049C"/>
    <w:rsid w:val="0061258F"/>
    <w:rsid w:val="00612600"/>
    <w:rsid w:val="0061392F"/>
    <w:rsid w:val="00613DEF"/>
    <w:rsid w:val="006140A5"/>
    <w:rsid w:val="00614211"/>
    <w:rsid w:val="006154A0"/>
    <w:rsid w:val="006164E4"/>
    <w:rsid w:val="00616AFA"/>
    <w:rsid w:val="00616B50"/>
    <w:rsid w:val="0061732A"/>
    <w:rsid w:val="0061741C"/>
    <w:rsid w:val="00617DD0"/>
    <w:rsid w:val="006200B4"/>
    <w:rsid w:val="00620878"/>
    <w:rsid w:val="00620B1F"/>
    <w:rsid w:val="006233B1"/>
    <w:rsid w:val="00623794"/>
    <w:rsid w:val="00623808"/>
    <w:rsid w:val="0062542E"/>
    <w:rsid w:val="00625F7F"/>
    <w:rsid w:val="00626206"/>
    <w:rsid w:val="0062646C"/>
    <w:rsid w:val="00627060"/>
    <w:rsid w:val="006307B0"/>
    <w:rsid w:val="00630949"/>
    <w:rsid w:val="006312DA"/>
    <w:rsid w:val="00631331"/>
    <w:rsid w:val="00631CDB"/>
    <w:rsid w:val="0063268E"/>
    <w:rsid w:val="00632D07"/>
    <w:rsid w:val="006330E2"/>
    <w:rsid w:val="006349CF"/>
    <w:rsid w:val="0063593B"/>
    <w:rsid w:val="006359AA"/>
    <w:rsid w:val="00635C69"/>
    <w:rsid w:val="00637CBF"/>
    <w:rsid w:val="006416F2"/>
    <w:rsid w:val="00642401"/>
    <w:rsid w:val="00642BD6"/>
    <w:rsid w:val="00643774"/>
    <w:rsid w:val="00643EC9"/>
    <w:rsid w:val="0064462B"/>
    <w:rsid w:val="00646C46"/>
    <w:rsid w:val="00646C60"/>
    <w:rsid w:val="006506F5"/>
    <w:rsid w:val="00651752"/>
    <w:rsid w:val="006519E0"/>
    <w:rsid w:val="00652128"/>
    <w:rsid w:val="00652ACE"/>
    <w:rsid w:val="00652C18"/>
    <w:rsid w:val="006538F6"/>
    <w:rsid w:val="0065467D"/>
    <w:rsid w:val="006549B7"/>
    <w:rsid w:val="0065584A"/>
    <w:rsid w:val="00656709"/>
    <w:rsid w:val="00656BE8"/>
    <w:rsid w:val="00657C22"/>
    <w:rsid w:val="00657DE9"/>
    <w:rsid w:val="00660D08"/>
    <w:rsid w:val="00660E69"/>
    <w:rsid w:val="00660ED3"/>
    <w:rsid w:val="00661F57"/>
    <w:rsid w:val="00662116"/>
    <w:rsid w:val="00662AD1"/>
    <w:rsid w:val="00662B67"/>
    <w:rsid w:val="00663433"/>
    <w:rsid w:val="00664BE4"/>
    <w:rsid w:val="006652FE"/>
    <w:rsid w:val="0066578A"/>
    <w:rsid w:val="006666E1"/>
    <w:rsid w:val="00670F76"/>
    <w:rsid w:val="0067116E"/>
    <w:rsid w:val="006721EF"/>
    <w:rsid w:val="00672234"/>
    <w:rsid w:val="00674604"/>
    <w:rsid w:val="00674946"/>
    <w:rsid w:val="0067521B"/>
    <w:rsid w:val="00675AEE"/>
    <w:rsid w:val="00675CAF"/>
    <w:rsid w:val="00676308"/>
    <w:rsid w:val="00676560"/>
    <w:rsid w:val="00676AA6"/>
    <w:rsid w:val="00676AE5"/>
    <w:rsid w:val="00677F9C"/>
    <w:rsid w:val="00680063"/>
    <w:rsid w:val="00680328"/>
    <w:rsid w:val="00680980"/>
    <w:rsid w:val="00680F87"/>
    <w:rsid w:val="006810EE"/>
    <w:rsid w:val="00681688"/>
    <w:rsid w:val="00682818"/>
    <w:rsid w:val="00682BF6"/>
    <w:rsid w:val="00683A9A"/>
    <w:rsid w:val="006845AA"/>
    <w:rsid w:val="006846B7"/>
    <w:rsid w:val="0068475E"/>
    <w:rsid w:val="00685EDA"/>
    <w:rsid w:val="00685FD5"/>
    <w:rsid w:val="0068693C"/>
    <w:rsid w:val="00686CA2"/>
    <w:rsid w:val="00687385"/>
    <w:rsid w:val="006877B8"/>
    <w:rsid w:val="006878F2"/>
    <w:rsid w:val="006916E4"/>
    <w:rsid w:val="00691778"/>
    <w:rsid w:val="006917E0"/>
    <w:rsid w:val="0069180D"/>
    <w:rsid w:val="00691F89"/>
    <w:rsid w:val="00692470"/>
    <w:rsid w:val="00692D1C"/>
    <w:rsid w:val="0069355B"/>
    <w:rsid w:val="00693784"/>
    <w:rsid w:val="00693A6B"/>
    <w:rsid w:val="00693EFD"/>
    <w:rsid w:val="0069511B"/>
    <w:rsid w:val="0069551F"/>
    <w:rsid w:val="00695666"/>
    <w:rsid w:val="00696769"/>
    <w:rsid w:val="0069778C"/>
    <w:rsid w:val="00697DC0"/>
    <w:rsid w:val="006A0037"/>
    <w:rsid w:val="006A03B8"/>
    <w:rsid w:val="006A1A16"/>
    <w:rsid w:val="006A2D9B"/>
    <w:rsid w:val="006A3248"/>
    <w:rsid w:val="006A34B2"/>
    <w:rsid w:val="006A3A62"/>
    <w:rsid w:val="006A3CF7"/>
    <w:rsid w:val="006A596D"/>
    <w:rsid w:val="006A691F"/>
    <w:rsid w:val="006A7A1A"/>
    <w:rsid w:val="006A7AB6"/>
    <w:rsid w:val="006A7D8E"/>
    <w:rsid w:val="006B0C48"/>
    <w:rsid w:val="006B19D1"/>
    <w:rsid w:val="006B1E42"/>
    <w:rsid w:val="006B3E73"/>
    <w:rsid w:val="006B507E"/>
    <w:rsid w:val="006B53E0"/>
    <w:rsid w:val="006B6045"/>
    <w:rsid w:val="006B61CD"/>
    <w:rsid w:val="006B6549"/>
    <w:rsid w:val="006B7068"/>
    <w:rsid w:val="006B70D3"/>
    <w:rsid w:val="006B7488"/>
    <w:rsid w:val="006B7CF3"/>
    <w:rsid w:val="006C0D9C"/>
    <w:rsid w:val="006C1877"/>
    <w:rsid w:val="006C18E5"/>
    <w:rsid w:val="006C2535"/>
    <w:rsid w:val="006C2CA3"/>
    <w:rsid w:val="006C315B"/>
    <w:rsid w:val="006C3ECD"/>
    <w:rsid w:val="006C4109"/>
    <w:rsid w:val="006C440B"/>
    <w:rsid w:val="006C4467"/>
    <w:rsid w:val="006C47DD"/>
    <w:rsid w:val="006C5292"/>
    <w:rsid w:val="006C562C"/>
    <w:rsid w:val="006C64D8"/>
    <w:rsid w:val="006C6716"/>
    <w:rsid w:val="006C73D6"/>
    <w:rsid w:val="006C7A86"/>
    <w:rsid w:val="006D01C4"/>
    <w:rsid w:val="006D023B"/>
    <w:rsid w:val="006D0F3B"/>
    <w:rsid w:val="006D114F"/>
    <w:rsid w:val="006D177F"/>
    <w:rsid w:val="006D196F"/>
    <w:rsid w:val="006D1D34"/>
    <w:rsid w:val="006D27AD"/>
    <w:rsid w:val="006D31E6"/>
    <w:rsid w:val="006D371A"/>
    <w:rsid w:val="006D3D8F"/>
    <w:rsid w:val="006D41CC"/>
    <w:rsid w:val="006D5234"/>
    <w:rsid w:val="006D6D3F"/>
    <w:rsid w:val="006D7075"/>
    <w:rsid w:val="006E0406"/>
    <w:rsid w:val="006E0559"/>
    <w:rsid w:val="006E0695"/>
    <w:rsid w:val="006E097F"/>
    <w:rsid w:val="006E09DC"/>
    <w:rsid w:val="006E1124"/>
    <w:rsid w:val="006E18B1"/>
    <w:rsid w:val="006E18D6"/>
    <w:rsid w:val="006E1B5B"/>
    <w:rsid w:val="006E1E65"/>
    <w:rsid w:val="006E1EB5"/>
    <w:rsid w:val="006E23A4"/>
    <w:rsid w:val="006E29D3"/>
    <w:rsid w:val="006E2FA3"/>
    <w:rsid w:val="006E396B"/>
    <w:rsid w:val="006E47F6"/>
    <w:rsid w:val="006E4D71"/>
    <w:rsid w:val="006E50D4"/>
    <w:rsid w:val="006E552D"/>
    <w:rsid w:val="006E6986"/>
    <w:rsid w:val="006E6EE5"/>
    <w:rsid w:val="006E7B8C"/>
    <w:rsid w:val="006E7D83"/>
    <w:rsid w:val="006E7EFB"/>
    <w:rsid w:val="006F3D02"/>
    <w:rsid w:val="006F4003"/>
    <w:rsid w:val="006F42CB"/>
    <w:rsid w:val="006F485B"/>
    <w:rsid w:val="006F494F"/>
    <w:rsid w:val="006F49F3"/>
    <w:rsid w:val="006F4E52"/>
    <w:rsid w:val="006F6812"/>
    <w:rsid w:val="006F78F1"/>
    <w:rsid w:val="006F7C81"/>
    <w:rsid w:val="006F7D80"/>
    <w:rsid w:val="00700DBB"/>
    <w:rsid w:val="0070110F"/>
    <w:rsid w:val="007017F8"/>
    <w:rsid w:val="00701EEA"/>
    <w:rsid w:val="0070246E"/>
    <w:rsid w:val="00702F2E"/>
    <w:rsid w:val="00703916"/>
    <w:rsid w:val="00705206"/>
    <w:rsid w:val="00705B6B"/>
    <w:rsid w:val="007102C6"/>
    <w:rsid w:val="007108E6"/>
    <w:rsid w:val="00710B5C"/>
    <w:rsid w:val="00710C36"/>
    <w:rsid w:val="00711656"/>
    <w:rsid w:val="00712615"/>
    <w:rsid w:val="007129BB"/>
    <w:rsid w:val="00712C83"/>
    <w:rsid w:val="00712C93"/>
    <w:rsid w:val="00713A3C"/>
    <w:rsid w:val="00713E49"/>
    <w:rsid w:val="00713EC7"/>
    <w:rsid w:val="0071628C"/>
    <w:rsid w:val="00716A4E"/>
    <w:rsid w:val="00716C3C"/>
    <w:rsid w:val="0071725C"/>
    <w:rsid w:val="00717BD4"/>
    <w:rsid w:val="00720069"/>
    <w:rsid w:val="007201BC"/>
    <w:rsid w:val="0072048F"/>
    <w:rsid w:val="007205BA"/>
    <w:rsid w:val="00720617"/>
    <w:rsid w:val="00720797"/>
    <w:rsid w:val="0072099D"/>
    <w:rsid w:val="00720E9E"/>
    <w:rsid w:val="00721B61"/>
    <w:rsid w:val="0072246B"/>
    <w:rsid w:val="007226BA"/>
    <w:rsid w:val="007235D1"/>
    <w:rsid w:val="00724A7E"/>
    <w:rsid w:val="007276C3"/>
    <w:rsid w:val="00727D88"/>
    <w:rsid w:val="00731709"/>
    <w:rsid w:val="00731787"/>
    <w:rsid w:val="007322C3"/>
    <w:rsid w:val="00732E9A"/>
    <w:rsid w:val="00733BBA"/>
    <w:rsid w:val="0073407E"/>
    <w:rsid w:val="007340EA"/>
    <w:rsid w:val="00734EBA"/>
    <w:rsid w:val="00735CE4"/>
    <w:rsid w:val="00735E05"/>
    <w:rsid w:val="0073637A"/>
    <w:rsid w:val="007363C1"/>
    <w:rsid w:val="007364B4"/>
    <w:rsid w:val="00736566"/>
    <w:rsid w:val="00736B11"/>
    <w:rsid w:val="00737031"/>
    <w:rsid w:val="00737F9E"/>
    <w:rsid w:val="00740ED0"/>
    <w:rsid w:val="00741370"/>
    <w:rsid w:val="00741C73"/>
    <w:rsid w:val="00742343"/>
    <w:rsid w:val="00743DDB"/>
    <w:rsid w:val="00744078"/>
    <w:rsid w:val="007443EC"/>
    <w:rsid w:val="007446EE"/>
    <w:rsid w:val="00745C11"/>
    <w:rsid w:val="00746031"/>
    <w:rsid w:val="00746500"/>
    <w:rsid w:val="0074651D"/>
    <w:rsid w:val="00746A93"/>
    <w:rsid w:val="00746BF7"/>
    <w:rsid w:val="0074720E"/>
    <w:rsid w:val="00747526"/>
    <w:rsid w:val="0074765F"/>
    <w:rsid w:val="00747A29"/>
    <w:rsid w:val="00747C14"/>
    <w:rsid w:val="00747D38"/>
    <w:rsid w:val="00750C62"/>
    <w:rsid w:val="0075157D"/>
    <w:rsid w:val="007518B4"/>
    <w:rsid w:val="00751D1D"/>
    <w:rsid w:val="0075213F"/>
    <w:rsid w:val="00752601"/>
    <w:rsid w:val="00752785"/>
    <w:rsid w:val="00752F5F"/>
    <w:rsid w:val="00753236"/>
    <w:rsid w:val="007532CA"/>
    <w:rsid w:val="007535A9"/>
    <w:rsid w:val="00754436"/>
    <w:rsid w:val="0075555A"/>
    <w:rsid w:val="007556AD"/>
    <w:rsid w:val="00756C21"/>
    <w:rsid w:val="00757153"/>
    <w:rsid w:val="00761B52"/>
    <w:rsid w:val="00761C08"/>
    <w:rsid w:val="00762082"/>
    <w:rsid w:val="0076267D"/>
    <w:rsid w:val="00763590"/>
    <w:rsid w:val="00763B84"/>
    <w:rsid w:val="007648B7"/>
    <w:rsid w:val="00764936"/>
    <w:rsid w:val="0076617C"/>
    <w:rsid w:val="007667D2"/>
    <w:rsid w:val="00766BF1"/>
    <w:rsid w:val="00770D6B"/>
    <w:rsid w:val="00771596"/>
    <w:rsid w:val="00771704"/>
    <w:rsid w:val="00771BD9"/>
    <w:rsid w:val="00771E91"/>
    <w:rsid w:val="007726F0"/>
    <w:rsid w:val="00772916"/>
    <w:rsid w:val="00773166"/>
    <w:rsid w:val="00773736"/>
    <w:rsid w:val="00773E61"/>
    <w:rsid w:val="00774FAD"/>
    <w:rsid w:val="007752C1"/>
    <w:rsid w:val="0077784B"/>
    <w:rsid w:val="00781368"/>
    <w:rsid w:val="007813D2"/>
    <w:rsid w:val="00781C84"/>
    <w:rsid w:val="007825DB"/>
    <w:rsid w:val="0078352D"/>
    <w:rsid w:val="007838D0"/>
    <w:rsid w:val="007839AA"/>
    <w:rsid w:val="00783BB2"/>
    <w:rsid w:val="00784CF6"/>
    <w:rsid w:val="007868C8"/>
    <w:rsid w:val="00790054"/>
    <w:rsid w:val="0079074D"/>
    <w:rsid w:val="007907F3"/>
    <w:rsid w:val="00791121"/>
    <w:rsid w:val="007916A3"/>
    <w:rsid w:val="00791C49"/>
    <w:rsid w:val="0079275C"/>
    <w:rsid w:val="00793437"/>
    <w:rsid w:val="007940FE"/>
    <w:rsid w:val="0079420F"/>
    <w:rsid w:val="007952B4"/>
    <w:rsid w:val="0079636D"/>
    <w:rsid w:val="0079693C"/>
    <w:rsid w:val="007976C1"/>
    <w:rsid w:val="00797B67"/>
    <w:rsid w:val="007A0240"/>
    <w:rsid w:val="007A0BC7"/>
    <w:rsid w:val="007A1A52"/>
    <w:rsid w:val="007A2016"/>
    <w:rsid w:val="007A280F"/>
    <w:rsid w:val="007A29C4"/>
    <w:rsid w:val="007A2A46"/>
    <w:rsid w:val="007A319B"/>
    <w:rsid w:val="007A32F1"/>
    <w:rsid w:val="007A35BD"/>
    <w:rsid w:val="007A3C96"/>
    <w:rsid w:val="007A4214"/>
    <w:rsid w:val="007A4BBC"/>
    <w:rsid w:val="007A4CDA"/>
    <w:rsid w:val="007A5148"/>
    <w:rsid w:val="007A56D4"/>
    <w:rsid w:val="007A5A83"/>
    <w:rsid w:val="007A5F52"/>
    <w:rsid w:val="007A7196"/>
    <w:rsid w:val="007A732C"/>
    <w:rsid w:val="007A76FC"/>
    <w:rsid w:val="007B1289"/>
    <w:rsid w:val="007B12AE"/>
    <w:rsid w:val="007B13C8"/>
    <w:rsid w:val="007B147D"/>
    <w:rsid w:val="007B2E17"/>
    <w:rsid w:val="007B358C"/>
    <w:rsid w:val="007B35EB"/>
    <w:rsid w:val="007B3845"/>
    <w:rsid w:val="007B3E7D"/>
    <w:rsid w:val="007B5293"/>
    <w:rsid w:val="007B52BE"/>
    <w:rsid w:val="007B5608"/>
    <w:rsid w:val="007B592A"/>
    <w:rsid w:val="007B65CE"/>
    <w:rsid w:val="007B6689"/>
    <w:rsid w:val="007B6F50"/>
    <w:rsid w:val="007C0947"/>
    <w:rsid w:val="007C0A05"/>
    <w:rsid w:val="007C0BBC"/>
    <w:rsid w:val="007C0BF2"/>
    <w:rsid w:val="007C187E"/>
    <w:rsid w:val="007C1D15"/>
    <w:rsid w:val="007C1D42"/>
    <w:rsid w:val="007C20FB"/>
    <w:rsid w:val="007C2CCC"/>
    <w:rsid w:val="007C31B5"/>
    <w:rsid w:val="007C4AB2"/>
    <w:rsid w:val="007C54CE"/>
    <w:rsid w:val="007C57E7"/>
    <w:rsid w:val="007C5B97"/>
    <w:rsid w:val="007C6199"/>
    <w:rsid w:val="007C6917"/>
    <w:rsid w:val="007C70D4"/>
    <w:rsid w:val="007C75FA"/>
    <w:rsid w:val="007C7661"/>
    <w:rsid w:val="007C78B7"/>
    <w:rsid w:val="007D01B4"/>
    <w:rsid w:val="007D1817"/>
    <w:rsid w:val="007D2CEA"/>
    <w:rsid w:val="007D4D0A"/>
    <w:rsid w:val="007D4F90"/>
    <w:rsid w:val="007D5738"/>
    <w:rsid w:val="007D7424"/>
    <w:rsid w:val="007D7D18"/>
    <w:rsid w:val="007D7D5A"/>
    <w:rsid w:val="007E02CE"/>
    <w:rsid w:val="007E0B15"/>
    <w:rsid w:val="007E0B86"/>
    <w:rsid w:val="007E1246"/>
    <w:rsid w:val="007E179A"/>
    <w:rsid w:val="007E2BED"/>
    <w:rsid w:val="007E2C09"/>
    <w:rsid w:val="007E3B20"/>
    <w:rsid w:val="007E4505"/>
    <w:rsid w:val="007E5EAC"/>
    <w:rsid w:val="007E5FFB"/>
    <w:rsid w:val="007E6837"/>
    <w:rsid w:val="007E6D71"/>
    <w:rsid w:val="007F09BD"/>
    <w:rsid w:val="007F11D4"/>
    <w:rsid w:val="007F12FD"/>
    <w:rsid w:val="007F3395"/>
    <w:rsid w:val="007F3DF0"/>
    <w:rsid w:val="007F507D"/>
    <w:rsid w:val="007F5B65"/>
    <w:rsid w:val="007F5C43"/>
    <w:rsid w:val="007F6C1F"/>
    <w:rsid w:val="007F6D22"/>
    <w:rsid w:val="007F7179"/>
    <w:rsid w:val="007F71B1"/>
    <w:rsid w:val="007F7468"/>
    <w:rsid w:val="007F7D0D"/>
    <w:rsid w:val="00800309"/>
    <w:rsid w:val="0080035A"/>
    <w:rsid w:val="00801E5D"/>
    <w:rsid w:val="008028CF"/>
    <w:rsid w:val="00804027"/>
    <w:rsid w:val="00804F44"/>
    <w:rsid w:val="0080678F"/>
    <w:rsid w:val="008113CC"/>
    <w:rsid w:val="0081275E"/>
    <w:rsid w:val="008133A6"/>
    <w:rsid w:val="00814041"/>
    <w:rsid w:val="008146C1"/>
    <w:rsid w:val="008159EC"/>
    <w:rsid w:val="00815C94"/>
    <w:rsid w:val="00816B5B"/>
    <w:rsid w:val="008203A7"/>
    <w:rsid w:val="00820679"/>
    <w:rsid w:val="00820D0C"/>
    <w:rsid w:val="008217C3"/>
    <w:rsid w:val="00821F62"/>
    <w:rsid w:val="00822162"/>
    <w:rsid w:val="00823B86"/>
    <w:rsid w:val="00825335"/>
    <w:rsid w:val="0082540D"/>
    <w:rsid w:val="00825622"/>
    <w:rsid w:val="008263A2"/>
    <w:rsid w:val="008263AA"/>
    <w:rsid w:val="0082686D"/>
    <w:rsid w:val="00827835"/>
    <w:rsid w:val="00827A52"/>
    <w:rsid w:val="00831352"/>
    <w:rsid w:val="00831496"/>
    <w:rsid w:val="00831979"/>
    <w:rsid w:val="00831BF7"/>
    <w:rsid w:val="00831C58"/>
    <w:rsid w:val="008324A7"/>
    <w:rsid w:val="00832B55"/>
    <w:rsid w:val="00833D91"/>
    <w:rsid w:val="008340A1"/>
    <w:rsid w:val="0083524E"/>
    <w:rsid w:val="00835270"/>
    <w:rsid w:val="0083624C"/>
    <w:rsid w:val="008364BF"/>
    <w:rsid w:val="00837B13"/>
    <w:rsid w:val="00841C8A"/>
    <w:rsid w:val="00841CB2"/>
    <w:rsid w:val="00842068"/>
    <w:rsid w:val="008438D8"/>
    <w:rsid w:val="00843EFD"/>
    <w:rsid w:val="00844F2D"/>
    <w:rsid w:val="0084703F"/>
    <w:rsid w:val="00847B48"/>
    <w:rsid w:val="008500EC"/>
    <w:rsid w:val="00850A1C"/>
    <w:rsid w:val="00853FB4"/>
    <w:rsid w:val="008546E1"/>
    <w:rsid w:val="00854721"/>
    <w:rsid w:val="008547DA"/>
    <w:rsid w:val="00854B7D"/>
    <w:rsid w:val="00854B83"/>
    <w:rsid w:val="00856C32"/>
    <w:rsid w:val="00856CD1"/>
    <w:rsid w:val="008576EA"/>
    <w:rsid w:val="00860393"/>
    <w:rsid w:val="0086074F"/>
    <w:rsid w:val="00862135"/>
    <w:rsid w:val="00862BCF"/>
    <w:rsid w:val="00862D4B"/>
    <w:rsid w:val="00862E8A"/>
    <w:rsid w:val="00862EB6"/>
    <w:rsid w:val="00862F14"/>
    <w:rsid w:val="00863816"/>
    <w:rsid w:val="00863AB5"/>
    <w:rsid w:val="00864D96"/>
    <w:rsid w:val="00865393"/>
    <w:rsid w:val="00865778"/>
    <w:rsid w:val="00865B8D"/>
    <w:rsid w:val="00866D86"/>
    <w:rsid w:val="00867F06"/>
    <w:rsid w:val="0087006C"/>
    <w:rsid w:val="00870552"/>
    <w:rsid w:val="00871773"/>
    <w:rsid w:val="00872078"/>
    <w:rsid w:val="00874A53"/>
    <w:rsid w:val="008754EC"/>
    <w:rsid w:val="008763BC"/>
    <w:rsid w:val="00876706"/>
    <w:rsid w:val="00876981"/>
    <w:rsid w:val="00876BBE"/>
    <w:rsid w:val="00876EFE"/>
    <w:rsid w:val="00877215"/>
    <w:rsid w:val="008776E3"/>
    <w:rsid w:val="00877D29"/>
    <w:rsid w:val="008800C0"/>
    <w:rsid w:val="008801CA"/>
    <w:rsid w:val="0088037F"/>
    <w:rsid w:val="008803C0"/>
    <w:rsid w:val="008808A9"/>
    <w:rsid w:val="008811DC"/>
    <w:rsid w:val="00881A43"/>
    <w:rsid w:val="00881AC0"/>
    <w:rsid w:val="00882582"/>
    <w:rsid w:val="008830F2"/>
    <w:rsid w:val="00883535"/>
    <w:rsid w:val="00883662"/>
    <w:rsid w:val="00883ED1"/>
    <w:rsid w:val="00884D2B"/>
    <w:rsid w:val="00885215"/>
    <w:rsid w:val="00885F4C"/>
    <w:rsid w:val="00886CED"/>
    <w:rsid w:val="00886F55"/>
    <w:rsid w:val="008873F6"/>
    <w:rsid w:val="00887E6E"/>
    <w:rsid w:val="0089027A"/>
    <w:rsid w:val="008905D4"/>
    <w:rsid w:val="00891880"/>
    <w:rsid w:val="0089208D"/>
    <w:rsid w:val="0089381C"/>
    <w:rsid w:val="00893CAA"/>
    <w:rsid w:val="00895BBA"/>
    <w:rsid w:val="008967BB"/>
    <w:rsid w:val="008969FF"/>
    <w:rsid w:val="00897165"/>
    <w:rsid w:val="008A00A8"/>
    <w:rsid w:val="008A0140"/>
    <w:rsid w:val="008A01E2"/>
    <w:rsid w:val="008A0285"/>
    <w:rsid w:val="008A05BD"/>
    <w:rsid w:val="008A0AEF"/>
    <w:rsid w:val="008A120A"/>
    <w:rsid w:val="008A1681"/>
    <w:rsid w:val="008A25FC"/>
    <w:rsid w:val="008A295D"/>
    <w:rsid w:val="008A3856"/>
    <w:rsid w:val="008A3C26"/>
    <w:rsid w:val="008A3ED8"/>
    <w:rsid w:val="008A492A"/>
    <w:rsid w:val="008A4D39"/>
    <w:rsid w:val="008A4E1E"/>
    <w:rsid w:val="008A4FFB"/>
    <w:rsid w:val="008A538C"/>
    <w:rsid w:val="008A5C7E"/>
    <w:rsid w:val="008A657C"/>
    <w:rsid w:val="008A6745"/>
    <w:rsid w:val="008A6D43"/>
    <w:rsid w:val="008A72CB"/>
    <w:rsid w:val="008A7527"/>
    <w:rsid w:val="008A7DB6"/>
    <w:rsid w:val="008B0F07"/>
    <w:rsid w:val="008B1F66"/>
    <w:rsid w:val="008B2816"/>
    <w:rsid w:val="008B3FDF"/>
    <w:rsid w:val="008B43EB"/>
    <w:rsid w:val="008B4CA5"/>
    <w:rsid w:val="008B4FFA"/>
    <w:rsid w:val="008B5980"/>
    <w:rsid w:val="008B6072"/>
    <w:rsid w:val="008B61A3"/>
    <w:rsid w:val="008B6500"/>
    <w:rsid w:val="008B66ED"/>
    <w:rsid w:val="008B6C32"/>
    <w:rsid w:val="008B71C4"/>
    <w:rsid w:val="008C01E5"/>
    <w:rsid w:val="008C0D7D"/>
    <w:rsid w:val="008C0E44"/>
    <w:rsid w:val="008C1002"/>
    <w:rsid w:val="008C178E"/>
    <w:rsid w:val="008C2CBF"/>
    <w:rsid w:val="008C3E54"/>
    <w:rsid w:val="008C3EAB"/>
    <w:rsid w:val="008C4199"/>
    <w:rsid w:val="008C437C"/>
    <w:rsid w:val="008C45DE"/>
    <w:rsid w:val="008C46E4"/>
    <w:rsid w:val="008C4860"/>
    <w:rsid w:val="008C5107"/>
    <w:rsid w:val="008C6DB8"/>
    <w:rsid w:val="008C7201"/>
    <w:rsid w:val="008C782A"/>
    <w:rsid w:val="008C78AA"/>
    <w:rsid w:val="008C7914"/>
    <w:rsid w:val="008C7A5C"/>
    <w:rsid w:val="008C7CEE"/>
    <w:rsid w:val="008D00E3"/>
    <w:rsid w:val="008D0AE4"/>
    <w:rsid w:val="008D0F8A"/>
    <w:rsid w:val="008D111E"/>
    <w:rsid w:val="008D1A8E"/>
    <w:rsid w:val="008D23AB"/>
    <w:rsid w:val="008D2665"/>
    <w:rsid w:val="008D3485"/>
    <w:rsid w:val="008D3568"/>
    <w:rsid w:val="008D4347"/>
    <w:rsid w:val="008D47DB"/>
    <w:rsid w:val="008D519E"/>
    <w:rsid w:val="008D6897"/>
    <w:rsid w:val="008D6AD6"/>
    <w:rsid w:val="008D6CC5"/>
    <w:rsid w:val="008D6D44"/>
    <w:rsid w:val="008D6F62"/>
    <w:rsid w:val="008D6FA3"/>
    <w:rsid w:val="008D7B27"/>
    <w:rsid w:val="008D7C88"/>
    <w:rsid w:val="008E0B5B"/>
    <w:rsid w:val="008E2E67"/>
    <w:rsid w:val="008E33F0"/>
    <w:rsid w:val="008E37E1"/>
    <w:rsid w:val="008E3CC0"/>
    <w:rsid w:val="008E3EF8"/>
    <w:rsid w:val="008E4ABE"/>
    <w:rsid w:val="008E58ED"/>
    <w:rsid w:val="008E67D9"/>
    <w:rsid w:val="008E7100"/>
    <w:rsid w:val="008E7D3B"/>
    <w:rsid w:val="008F0668"/>
    <w:rsid w:val="008F205C"/>
    <w:rsid w:val="008F2E74"/>
    <w:rsid w:val="008F32CF"/>
    <w:rsid w:val="008F40F0"/>
    <w:rsid w:val="008F482E"/>
    <w:rsid w:val="008F4ACF"/>
    <w:rsid w:val="008F4BAB"/>
    <w:rsid w:val="008F5E0A"/>
    <w:rsid w:val="008F5EF8"/>
    <w:rsid w:val="008F5FC3"/>
    <w:rsid w:val="008F79FE"/>
    <w:rsid w:val="008F7E10"/>
    <w:rsid w:val="008F7E26"/>
    <w:rsid w:val="009013F3"/>
    <w:rsid w:val="009017D2"/>
    <w:rsid w:val="00902D35"/>
    <w:rsid w:val="009047DA"/>
    <w:rsid w:val="009051E9"/>
    <w:rsid w:val="0090605E"/>
    <w:rsid w:val="009069B4"/>
    <w:rsid w:val="00906CF5"/>
    <w:rsid w:val="00907603"/>
    <w:rsid w:val="009079C3"/>
    <w:rsid w:val="00910CBF"/>
    <w:rsid w:val="00912351"/>
    <w:rsid w:val="00912B3E"/>
    <w:rsid w:val="00914836"/>
    <w:rsid w:val="00915FCA"/>
    <w:rsid w:val="009169BA"/>
    <w:rsid w:val="00916EFF"/>
    <w:rsid w:val="009172C8"/>
    <w:rsid w:val="00917462"/>
    <w:rsid w:val="009203E0"/>
    <w:rsid w:val="00922211"/>
    <w:rsid w:val="009223A4"/>
    <w:rsid w:val="00922464"/>
    <w:rsid w:val="00922542"/>
    <w:rsid w:val="00922CDA"/>
    <w:rsid w:val="00923007"/>
    <w:rsid w:val="00923080"/>
    <w:rsid w:val="0092358F"/>
    <w:rsid w:val="00923B2E"/>
    <w:rsid w:val="0092511F"/>
    <w:rsid w:val="00925AB7"/>
    <w:rsid w:val="00926CC4"/>
    <w:rsid w:val="00926ED7"/>
    <w:rsid w:val="00926F6C"/>
    <w:rsid w:val="0092722D"/>
    <w:rsid w:val="00927A1D"/>
    <w:rsid w:val="00930135"/>
    <w:rsid w:val="00930314"/>
    <w:rsid w:val="009307E9"/>
    <w:rsid w:val="00930F7C"/>
    <w:rsid w:val="00931CBD"/>
    <w:rsid w:val="00932C7C"/>
    <w:rsid w:val="00932F4D"/>
    <w:rsid w:val="00933170"/>
    <w:rsid w:val="00934A3B"/>
    <w:rsid w:val="0093546E"/>
    <w:rsid w:val="00935E42"/>
    <w:rsid w:val="00935E65"/>
    <w:rsid w:val="009364AC"/>
    <w:rsid w:val="009400EC"/>
    <w:rsid w:val="009403E2"/>
    <w:rsid w:val="00941329"/>
    <w:rsid w:val="0094174F"/>
    <w:rsid w:val="00941AF2"/>
    <w:rsid w:val="00942B1D"/>
    <w:rsid w:val="00942B85"/>
    <w:rsid w:val="00942FEF"/>
    <w:rsid w:val="009433E4"/>
    <w:rsid w:val="00943A38"/>
    <w:rsid w:val="00943E9D"/>
    <w:rsid w:val="00944312"/>
    <w:rsid w:val="0094484B"/>
    <w:rsid w:val="00944C83"/>
    <w:rsid w:val="00944F9C"/>
    <w:rsid w:val="009452C0"/>
    <w:rsid w:val="00945928"/>
    <w:rsid w:val="00945E34"/>
    <w:rsid w:val="00945E71"/>
    <w:rsid w:val="009468C6"/>
    <w:rsid w:val="009501A4"/>
    <w:rsid w:val="0095096C"/>
    <w:rsid w:val="00950F4B"/>
    <w:rsid w:val="00951CF1"/>
    <w:rsid w:val="00952CD9"/>
    <w:rsid w:val="00953006"/>
    <w:rsid w:val="00953008"/>
    <w:rsid w:val="0095403A"/>
    <w:rsid w:val="009554A3"/>
    <w:rsid w:val="0095562E"/>
    <w:rsid w:val="0095600B"/>
    <w:rsid w:val="009567AF"/>
    <w:rsid w:val="00956B31"/>
    <w:rsid w:val="0095738F"/>
    <w:rsid w:val="00957CAB"/>
    <w:rsid w:val="009600C2"/>
    <w:rsid w:val="00961507"/>
    <w:rsid w:val="00961B67"/>
    <w:rsid w:val="00963202"/>
    <w:rsid w:val="009632E7"/>
    <w:rsid w:val="009635F6"/>
    <w:rsid w:val="00963DCA"/>
    <w:rsid w:val="009650E8"/>
    <w:rsid w:val="00965BBE"/>
    <w:rsid w:val="00966629"/>
    <w:rsid w:val="00966E90"/>
    <w:rsid w:val="00967AE2"/>
    <w:rsid w:val="00967ED9"/>
    <w:rsid w:val="009700BF"/>
    <w:rsid w:val="009701AF"/>
    <w:rsid w:val="00970553"/>
    <w:rsid w:val="00970644"/>
    <w:rsid w:val="009710C2"/>
    <w:rsid w:val="00971166"/>
    <w:rsid w:val="00971541"/>
    <w:rsid w:val="0097183F"/>
    <w:rsid w:val="009718B9"/>
    <w:rsid w:val="00971916"/>
    <w:rsid w:val="009719FB"/>
    <w:rsid w:val="009720D3"/>
    <w:rsid w:val="009721CA"/>
    <w:rsid w:val="00972AA5"/>
    <w:rsid w:val="00972B5F"/>
    <w:rsid w:val="00972DF3"/>
    <w:rsid w:val="009736EA"/>
    <w:rsid w:val="0097371A"/>
    <w:rsid w:val="009737EA"/>
    <w:rsid w:val="00973BF8"/>
    <w:rsid w:val="00973DBE"/>
    <w:rsid w:val="00974092"/>
    <w:rsid w:val="009740A2"/>
    <w:rsid w:val="0097533D"/>
    <w:rsid w:val="0097651D"/>
    <w:rsid w:val="00976B37"/>
    <w:rsid w:val="00977D6A"/>
    <w:rsid w:val="00977E2E"/>
    <w:rsid w:val="00980EBE"/>
    <w:rsid w:val="0098122D"/>
    <w:rsid w:val="00981C64"/>
    <w:rsid w:val="00981F73"/>
    <w:rsid w:val="00983AB3"/>
    <w:rsid w:val="009848A2"/>
    <w:rsid w:val="00984C01"/>
    <w:rsid w:val="00985329"/>
    <w:rsid w:val="00985ACF"/>
    <w:rsid w:val="00985AE8"/>
    <w:rsid w:val="00987FDF"/>
    <w:rsid w:val="0099014C"/>
    <w:rsid w:val="00990A8F"/>
    <w:rsid w:val="00991733"/>
    <w:rsid w:val="00991853"/>
    <w:rsid w:val="009918F9"/>
    <w:rsid w:val="00991DB4"/>
    <w:rsid w:val="009921D2"/>
    <w:rsid w:val="00992D5F"/>
    <w:rsid w:val="0099400A"/>
    <w:rsid w:val="009947FE"/>
    <w:rsid w:val="009948CA"/>
    <w:rsid w:val="00994A96"/>
    <w:rsid w:val="00994BEB"/>
    <w:rsid w:val="00995379"/>
    <w:rsid w:val="009955CF"/>
    <w:rsid w:val="00995D27"/>
    <w:rsid w:val="00995D2C"/>
    <w:rsid w:val="00995EC7"/>
    <w:rsid w:val="00996387"/>
    <w:rsid w:val="00996DEC"/>
    <w:rsid w:val="009A13E0"/>
    <w:rsid w:val="009A235C"/>
    <w:rsid w:val="009A387E"/>
    <w:rsid w:val="009A3AC6"/>
    <w:rsid w:val="009A50DC"/>
    <w:rsid w:val="009A522E"/>
    <w:rsid w:val="009A548E"/>
    <w:rsid w:val="009A5A10"/>
    <w:rsid w:val="009A5E1C"/>
    <w:rsid w:val="009A69A7"/>
    <w:rsid w:val="009A6BE2"/>
    <w:rsid w:val="009A6D56"/>
    <w:rsid w:val="009B00AF"/>
    <w:rsid w:val="009B0969"/>
    <w:rsid w:val="009B18C6"/>
    <w:rsid w:val="009B1CDC"/>
    <w:rsid w:val="009B21EF"/>
    <w:rsid w:val="009B297D"/>
    <w:rsid w:val="009B3E60"/>
    <w:rsid w:val="009B3E9A"/>
    <w:rsid w:val="009B46F6"/>
    <w:rsid w:val="009B4976"/>
    <w:rsid w:val="009B5356"/>
    <w:rsid w:val="009B5AE4"/>
    <w:rsid w:val="009B616B"/>
    <w:rsid w:val="009B6B6F"/>
    <w:rsid w:val="009B750F"/>
    <w:rsid w:val="009B76A4"/>
    <w:rsid w:val="009C0494"/>
    <w:rsid w:val="009C0636"/>
    <w:rsid w:val="009C07F0"/>
    <w:rsid w:val="009C08C1"/>
    <w:rsid w:val="009C0AB9"/>
    <w:rsid w:val="009C0CA1"/>
    <w:rsid w:val="009C155F"/>
    <w:rsid w:val="009C1A98"/>
    <w:rsid w:val="009C21EA"/>
    <w:rsid w:val="009C27F2"/>
    <w:rsid w:val="009C2CFE"/>
    <w:rsid w:val="009C3003"/>
    <w:rsid w:val="009C3503"/>
    <w:rsid w:val="009C519F"/>
    <w:rsid w:val="009C5974"/>
    <w:rsid w:val="009C63F4"/>
    <w:rsid w:val="009C643D"/>
    <w:rsid w:val="009C6498"/>
    <w:rsid w:val="009C7576"/>
    <w:rsid w:val="009D04E9"/>
    <w:rsid w:val="009D05CE"/>
    <w:rsid w:val="009D128B"/>
    <w:rsid w:val="009D1CBA"/>
    <w:rsid w:val="009D20B3"/>
    <w:rsid w:val="009D2B65"/>
    <w:rsid w:val="009D366C"/>
    <w:rsid w:val="009D45E8"/>
    <w:rsid w:val="009D4AF4"/>
    <w:rsid w:val="009D516B"/>
    <w:rsid w:val="009D79E3"/>
    <w:rsid w:val="009D7AD3"/>
    <w:rsid w:val="009E219B"/>
    <w:rsid w:val="009E35E0"/>
    <w:rsid w:val="009E409F"/>
    <w:rsid w:val="009E46DC"/>
    <w:rsid w:val="009E4803"/>
    <w:rsid w:val="009E5158"/>
    <w:rsid w:val="009E5A61"/>
    <w:rsid w:val="009E65DF"/>
    <w:rsid w:val="009E7600"/>
    <w:rsid w:val="009E7732"/>
    <w:rsid w:val="009E7C7D"/>
    <w:rsid w:val="009E7D14"/>
    <w:rsid w:val="009F0616"/>
    <w:rsid w:val="009F0D5B"/>
    <w:rsid w:val="009F19AD"/>
    <w:rsid w:val="009F1B5D"/>
    <w:rsid w:val="009F2278"/>
    <w:rsid w:val="009F3653"/>
    <w:rsid w:val="009F450C"/>
    <w:rsid w:val="009F487F"/>
    <w:rsid w:val="009F4DA6"/>
    <w:rsid w:val="009F4EE0"/>
    <w:rsid w:val="009F50FE"/>
    <w:rsid w:val="009F5522"/>
    <w:rsid w:val="009F66B1"/>
    <w:rsid w:val="009F7419"/>
    <w:rsid w:val="009F7525"/>
    <w:rsid w:val="00A01F82"/>
    <w:rsid w:val="00A01FC7"/>
    <w:rsid w:val="00A02B18"/>
    <w:rsid w:val="00A02C35"/>
    <w:rsid w:val="00A03A05"/>
    <w:rsid w:val="00A03F27"/>
    <w:rsid w:val="00A05073"/>
    <w:rsid w:val="00A054CD"/>
    <w:rsid w:val="00A05F7B"/>
    <w:rsid w:val="00A0659E"/>
    <w:rsid w:val="00A07169"/>
    <w:rsid w:val="00A0726E"/>
    <w:rsid w:val="00A10C50"/>
    <w:rsid w:val="00A110F2"/>
    <w:rsid w:val="00A129D8"/>
    <w:rsid w:val="00A12B51"/>
    <w:rsid w:val="00A13008"/>
    <w:rsid w:val="00A13C6A"/>
    <w:rsid w:val="00A14AE0"/>
    <w:rsid w:val="00A1501F"/>
    <w:rsid w:val="00A1583C"/>
    <w:rsid w:val="00A15BDA"/>
    <w:rsid w:val="00A15FA4"/>
    <w:rsid w:val="00A16D80"/>
    <w:rsid w:val="00A20D2C"/>
    <w:rsid w:val="00A213B7"/>
    <w:rsid w:val="00A21EBC"/>
    <w:rsid w:val="00A22EE3"/>
    <w:rsid w:val="00A237C5"/>
    <w:rsid w:val="00A23887"/>
    <w:rsid w:val="00A23D50"/>
    <w:rsid w:val="00A245F6"/>
    <w:rsid w:val="00A24CE9"/>
    <w:rsid w:val="00A24DC0"/>
    <w:rsid w:val="00A24F44"/>
    <w:rsid w:val="00A2668D"/>
    <w:rsid w:val="00A27C9F"/>
    <w:rsid w:val="00A30215"/>
    <w:rsid w:val="00A3034E"/>
    <w:rsid w:val="00A30C58"/>
    <w:rsid w:val="00A31039"/>
    <w:rsid w:val="00A31EC8"/>
    <w:rsid w:val="00A34A2D"/>
    <w:rsid w:val="00A351E1"/>
    <w:rsid w:val="00A36260"/>
    <w:rsid w:val="00A363F2"/>
    <w:rsid w:val="00A37F34"/>
    <w:rsid w:val="00A37FA3"/>
    <w:rsid w:val="00A40D49"/>
    <w:rsid w:val="00A40EA8"/>
    <w:rsid w:val="00A40F56"/>
    <w:rsid w:val="00A41658"/>
    <w:rsid w:val="00A41A9C"/>
    <w:rsid w:val="00A4254C"/>
    <w:rsid w:val="00A42F5B"/>
    <w:rsid w:val="00A43BC9"/>
    <w:rsid w:val="00A4572B"/>
    <w:rsid w:val="00A46345"/>
    <w:rsid w:val="00A46BDA"/>
    <w:rsid w:val="00A46D4B"/>
    <w:rsid w:val="00A47483"/>
    <w:rsid w:val="00A479C3"/>
    <w:rsid w:val="00A47C0D"/>
    <w:rsid w:val="00A510E2"/>
    <w:rsid w:val="00A53061"/>
    <w:rsid w:val="00A53752"/>
    <w:rsid w:val="00A539FA"/>
    <w:rsid w:val="00A53CAB"/>
    <w:rsid w:val="00A53E4D"/>
    <w:rsid w:val="00A54DE0"/>
    <w:rsid w:val="00A55313"/>
    <w:rsid w:val="00A55441"/>
    <w:rsid w:val="00A55C39"/>
    <w:rsid w:val="00A55F55"/>
    <w:rsid w:val="00A575AF"/>
    <w:rsid w:val="00A60731"/>
    <w:rsid w:val="00A613AF"/>
    <w:rsid w:val="00A617CD"/>
    <w:rsid w:val="00A6301B"/>
    <w:rsid w:val="00A639FC"/>
    <w:rsid w:val="00A640FA"/>
    <w:rsid w:val="00A64757"/>
    <w:rsid w:val="00A65328"/>
    <w:rsid w:val="00A6547E"/>
    <w:rsid w:val="00A659B2"/>
    <w:rsid w:val="00A66511"/>
    <w:rsid w:val="00A667EB"/>
    <w:rsid w:val="00A66A75"/>
    <w:rsid w:val="00A66B38"/>
    <w:rsid w:val="00A670FF"/>
    <w:rsid w:val="00A6752B"/>
    <w:rsid w:val="00A675B6"/>
    <w:rsid w:val="00A67676"/>
    <w:rsid w:val="00A67915"/>
    <w:rsid w:val="00A70A00"/>
    <w:rsid w:val="00A71203"/>
    <w:rsid w:val="00A7194D"/>
    <w:rsid w:val="00A71BC7"/>
    <w:rsid w:val="00A728D8"/>
    <w:rsid w:val="00A7327D"/>
    <w:rsid w:val="00A735D9"/>
    <w:rsid w:val="00A73FE8"/>
    <w:rsid w:val="00A740AB"/>
    <w:rsid w:val="00A74FA3"/>
    <w:rsid w:val="00A753E6"/>
    <w:rsid w:val="00A75BE9"/>
    <w:rsid w:val="00A767E0"/>
    <w:rsid w:val="00A76865"/>
    <w:rsid w:val="00A769DB"/>
    <w:rsid w:val="00A76EBC"/>
    <w:rsid w:val="00A770DD"/>
    <w:rsid w:val="00A7751C"/>
    <w:rsid w:val="00A77657"/>
    <w:rsid w:val="00A77968"/>
    <w:rsid w:val="00A8045E"/>
    <w:rsid w:val="00A8097B"/>
    <w:rsid w:val="00A80BC2"/>
    <w:rsid w:val="00A81C86"/>
    <w:rsid w:val="00A81E98"/>
    <w:rsid w:val="00A842A3"/>
    <w:rsid w:val="00A84D5F"/>
    <w:rsid w:val="00A85BED"/>
    <w:rsid w:val="00A85E6D"/>
    <w:rsid w:val="00A85FA2"/>
    <w:rsid w:val="00A86970"/>
    <w:rsid w:val="00A86A70"/>
    <w:rsid w:val="00A86F9F"/>
    <w:rsid w:val="00A87063"/>
    <w:rsid w:val="00A87A35"/>
    <w:rsid w:val="00A920AE"/>
    <w:rsid w:val="00A9280F"/>
    <w:rsid w:val="00A92EEF"/>
    <w:rsid w:val="00A93206"/>
    <w:rsid w:val="00A934CD"/>
    <w:rsid w:val="00A93B39"/>
    <w:rsid w:val="00A956DD"/>
    <w:rsid w:val="00A95798"/>
    <w:rsid w:val="00A95D37"/>
    <w:rsid w:val="00A96F5B"/>
    <w:rsid w:val="00A972AE"/>
    <w:rsid w:val="00A97B85"/>
    <w:rsid w:val="00AA033E"/>
    <w:rsid w:val="00AA0715"/>
    <w:rsid w:val="00AA0A52"/>
    <w:rsid w:val="00AA0E50"/>
    <w:rsid w:val="00AA2822"/>
    <w:rsid w:val="00AA2956"/>
    <w:rsid w:val="00AA361A"/>
    <w:rsid w:val="00AA3CC8"/>
    <w:rsid w:val="00AA486E"/>
    <w:rsid w:val="00AA57E3"/>
    <w:rsid w:val="00AA5E5D"/>
    <w:rsid w:val="00AA6913"/>
    <w:rsid w:val="00AA7FBC"/>
    <w:rsid w:val="00AB0594"/>
    <w:rsid w:val="00AB0E97"/>
    <w:rsid w:val="00AB0F77"/>
    <w:rsid w:val="00AB1AB6"/>
    <w:rsid w:val="00AB215C"/>
    <w:rsid w:val="00AB286A"/>
    <w:rsid w:val="00AB2AC7"/>
    <w:rsid w:val="00AB2D47"/>
    <w:rsid w:val="00AB2FE0"/>
    <w:rsid w:val="00AB32FC"/>
    <w:rsid w:val="00AB3582"/>
    <w:rsid w:val="00AB43AE"/>
    <w:rsid w:val="00AB44CF"/>
    <w:rsid w:val="00AB4C90"/>
    <w:rsid w:val="00AB58F5"/>
    <w:rsid w:val="00AB61E2"/>
    <w:rsid w:val="00AB7728"/>
    <w:rsid w:val="00AB7991"/>
    <w:rsid w:val="00AC07FB"/>
    <w:rsid w:val="00AC1507"/>
    <w:rsid w:val="00AC2688"/>
    <w:rsid w:val="00AC277C"/>
    <w:rsid w:val="00AC446E"/>
    <w:rsid w:val="00AC462D"/>
    <w:rsid w:val="00AC5B71"/>
    <w:rsid w:val="00AC7340"/>
    <w:rsid w:val="00AC7F9F"/>
    <w:rsid w:val="00AD0DEF"/>
    <w:rsid w:val="00AD1965"/>
    <w:rsid w:val="00AD2679"/>
    <w:rsid w:val="00AD3220"/>
    <w:rsid w:val="00AD3553"/>
    <w:rsid w:val="00AD4832"/>
    <w:rsid w:val="00AD48A4"/>
    <w:rsid w:val="00AD5543"/>
    <w:rsid w:val="00AD6B75"/>
    <w:rsid w:val="00AD6BA5"/>
    <w:rsid w:val="00AD7187"/>
    <w:rsid w:val="00AD7284"/>
    <w:rsid w:val="00AD7773"/>
    <w:rsid w:val="00AD7EB2"/>
    <w:rsid w:val="00AE001C"/>
    <w:rsid w:val="00AE006F"/>
    <w:rsid w:val="00AE0C41"/>
    <w:rsid w:val="00AE0FF8"/>
    <w:rsid w:val="00AE1CCC"/>
    <w:rsid w:val="00AE25FA"/>
    <w:rsid w:val="00AE2915"/>
    <w:rsid w:val="00AE344A"/>
    <w:rsid w:val="00AE3C2E"/>
    <w:rsid w:val="00AE51EA"/>
    <w:rsid w:val="00AE57FB"/>
    <w:rsid w:val="00AE59E0"/>
    <w:rsid w:val="00AE5AA0"/>
    <w:rsid w:val="00AE5C4C"/>
    <w:rsid w:val="00AE6ACC"/>
    <w:rsid w:val="00AE6D0B"/>
    <w:rsid w:val="00AE75A9"/>
    <w:rsid w:val="00AF039A"/>
    <w:rsid w:val="00AF11DB"/>
    <w:rsid w:val="00AF1B8F"/>
    <w:rsid w:val="00AF20DE"/>
    <w:rsid w:val="00AF2682"/>
    <w:rsid w:val="00AF278A"/>
    <w:rsid w:val="00AF2B9E"/>
    <w:rsid w:val="00AF2DC4"/>
    <w:rsid w:val="00AF2F69"/>
    <w:rsid w:val="00AF300B"/>
    <w:rsid w:val="00AF32EF"/>
    <w:rsid w:val="00AF337F"/>
    <w:rsid w:val="00AF360E"/>
    <w:rsid w:val="00AF3897"/>
    <w:rsid w:val="00AF3E72"/>
    <w:rsid w:val="00AF4085"/>
    <w:rsid w:val="00AF4533"/>
    <w:rsid w:val="00AF4A0D"/>
    <w:rsid w:val="00AF4A53"/>
    <w:rsid w:val="00AF51B9"/>
    <w:rsid w:val="00AF5438"/>
    <w:rsid w:val="00AF5B41"/>
    <w:rsid w:val="00AF61DE"/>
    <w:rsid w:val="00AF7BD6"/>
    <w:rsid w:val="00AF7F8D"/>
    <w:rsid w:val="00B005F8"/>
    <w:rsid w:val="00B01B23"/>
    <w:rsid w:val="00B01F00"/>
    <w:rsid w:val="00B02242"/>
    <w:rsid w:val="00B022A0"/>
    <w:rsid w:val="00B02A53"/>
    <w:rsid w:val="00B03043"/>
    <w:rsid w:val="00B044A2"/>
    <w:rsid w:val="00B04AC2"/>
    <w:rsid w:val="00B05EE8"/>
    <w:rsid w:val="00B075FA"/>
    <w:rsid w:val="00B07D53"/>
    <w:rsid w:val="00B07E20"/>
    <w:rsid w:val="00B10DE1"/>
    <w:rsid w:val="00B1117C"/>
    <w:rsid w:val="00B11CC3"/>
    <w:rsid w:val="00B12677"/>
    <w:rsid w:val="00B128CA"/>
    <w:rsid w:val="00B13621"/>
    <w:rsid w:val="00B143F4"/>
    <w:rsid w:val="00B144FA"/>
    <w:rsid w:val="00B169DA"/>
    <w:rsid w:val="00B1797D"/>
    <w:rsid w:val="00B17F79"/>
    <w:rsid w:val="00B21988"/>
    <w:rsid w:val="00B22DDE"/>
    <w:rsid w:val="00B23119"/>
    <w:rsid w:val="00B2387D"/>
    <w:rsid w:val="00B241A5"/>
    <w:rsid w:val="00B242ED"/>
    <w:rsid w:val="00B248CA"/>
    <w:rsid w:val="00B278B9"/>
    <w:rsid w:val="00B27F17"/>
    <w:rsid w:val="00B3000E"/>
    <w:rsid w:val="00B3095B"/>
    <w:rsid w:val="00B31117"/>
    <w:rsid w:val="00B32419"/>
    <w:rsid w:val="00B32A54"/>
    <w:rsid w:val="00B32AA0"/>
    <w:rsid w:val="00B3385E"/>
    <w:rsid w:val="00B33E55"/>
    <w:rsid w:val="00B33E5E"/>
    <w:rsid w:val="00B34C5D"/>
    <w:rsid w:val="00B353C3"/>
    <w:rsid w:val="00B364E6"/>
    <w:rsid w:val="00B36DCF"/>
    <w:rsid w:val="00B37F91"/>
    <w:rsid w:val="00B400D1"/>
    <w:rsid w:val="00B40825"/>
    <w:rsid w:val="00B42703"/>
    <w:rsid w:val="00B42B45"/>
    <w:rsid w:val="00B42EE7"/>
    <w:rsid w:val="00B43208"/>
    <w:rsid w:val="00B43384"/>
    <w:rsid w:val="00B4341F"/>
    <w:rsid w:val="00B44A36"/>
    <w:rsid w:val="00B44E49"/>
    <w:rsid w:val="00B469E1"/>
    <w:rsid w:val="00B46D4C"/>
    <w:rsid w:val="00B47222"/>
    <w:rsid w:val="00B4798D"/>
    <w:rsid w:val="00B47EFF"/>
    <w:rsid w:val="00B506A5"/>
    <w:rsid w:val="00B537BC"/>
    <w:rsid w:val="00B54162"/>
    <w:rsid w:val="00B549ED"/>
    <w:rsid w:val="00B54CD6"/>
    <w:rsid w:val="00B554AD"/>
    <w:rsid w:val="00B568EB"/>
    <w:rsid w:val="00B56A25"/>
    <w:rsid w:val="00B5705B"/>
    <w:rsid w:val="00B5719D"/>
    <w:rsid w:val="00B577D8"/>
    <w:rsid w:val="00B6016A"/>
    <w:rsid w:val="00B60B17"/>
    <w:rsid w:val="00B610FD"/>
    <w:rsid w:val="00B61386"/>
    <w:rsid w:val="00B614B8"/>
    <w:rsid w:val="00B62E35"/>
    <w:rsid w:val="00B63B6E"/>
    <w:rsid w:val="00B641C0"/>
    <w:rsid w:val="00B648E7"/>
    <w:rsid w:val="00B658A7"/>
    <w:rsid w:val="00B6663A"/>
    <w:rsid w:val="00B66882"/>
    <w:rsid w:val="00B668DC"/>
    <w:rsid w:val="00B67382"/>
    <w:rsid w:val="00B67427"/>
    <w:rsid w:val="00B71B06"/>
    <w:rsid w:val="00B71DCC"/>
    <w:rsid w:val="00B71FC0"/>
    <w:rsid w:val="00B7289B"/>
    <w:rsid w:val="00B728C9"/>
    <w:rsid w:val="00B731D6"/>
    <w:rsid w:val="00B73E17"/>
    <w:rsid w:val="00B742F2"/>
    <w:rsid w:val="00B74507"/>
    <w:rsid w:val="00B75203"/>
    <w:rsid w:val="00B76395"/>
    <w:rsid w:val="00B7699A"/>
    <w:rsid w:val="00B77121"/>
    <w:rsid w:val="00B77175"/>
    <w:rsid w:val="00B80297"/>
    <w:rsid w:val="00B80E72"/>
    <w:rsid w:val="00B81328"/>
    <w:rsid w:val="00B81561"/>
    <w:rsid w:val="00B8173A"/>
    <w:rsid w:val="00B81BEE"/>
    <w:rsid w:val="00B82D1A"/>
    <w:rsid w:val="00B82E58"/>
    <w:rsid w:val="00B83506"/>
    <w:rsid w:val="00B83CDF"/>
    <w:rsid w:val="00B83E5F"/>
    <w:rsid w:val="00B8442C"/>
    <w:rsid w:val="00B84A32"/>
    <w:rsid w:val="00B86007"/>
    <w:rsid w:val="00B864EA"/>
    <w:rsid w:val="00B86E71"/>
    <w:rsid w:val="00B86E73"/>
    <w:rsid w:val="00B86F1D"/>
    <w:rsid w:val="00B872CE"/>
    <w:rsid w:val="00B873FF"/>
    <w:rsid w:val="00B87E37"/>
    <w:rsid w:val="00B87ECA"/>
    <w:rsid w:val="00B9097F"/>
    <w:rsid w:val="00B90E6E"/>
    <w:rsid w:val="00B910EE"/>
    <w:rsid w:val="00B920C1"/>
    <w:rsid w:val="00B92F6D"/>
    <w:rsid w:val="00B93811"/>
    <w:rsid w:val="00B9791E"/>
    <w:rsid w:val="00BA0DE3"/>
    <w:rsid w:val="00BA0F6E"/>
    <w:rsid w:val="00BA3778"/>
    <w:rsid w:val="00BA380E"/>
    <w:rsid w:val="00BA3992"/>
    <w:rsid w:val="00BA7054"/>
    <w:rsid w:val="00BB0701"/>
    <w:rsid w:val="00BB0D99"/>
    <w:rsid w:val="00BB13F2"/>
    <w:rsid w:val="00BB21C9"/>
    <w:rsid w:val="00BB235C"/>
    <w:rsid w:val="00BB2E54"/>
    <w:rsid w:val="00BB3F8F"/>
    <w:rsid w:val="00BB4726"/>
    <w:rsid w:val="00BB4751"/>
    <w:rsid w:val="00BB4A4C"/>
    <w:rsid w:val="00BB55BF"/>
    <w:rsid w:val="00BB6126"/>
    <w:rsid w:val="00BB6E5B"/>
    <w:rsid w:val="00BB76EB"/>
    <w:rsid w:val="00BC0428"/>
    <w:rsid w:val="00BC0702"/>
    <w:rsid w:val="00BC084F"/>
    <w:rsid w:val="00BC0D09"/>
    <w:rsid w:val="00BC1505"/>
    <w:rsid w:val="00BC1B6F"/>
    <w:rsid w:val="00BC314E"/>
    <w:rsid w:val="00BC3168"/>
    <w:rsid w:val="00BC360A"/>
    <w:rsid w:val="00BC4E92"/>
    <w:rsid w:val="00BC56AC"/>
    <w:rsid w:val="00BC63A9"/>
    <w:rsid w:val="00BC6551"/>
    <w:rsid w:val="00BC74AC"/>
    <w:rsid w:val="00BD1299"/>
    <w:rsid w:val="00BD1471"/>
    <w:rsid w:val="00BD2107"/>
    <w:rsid w:val="00BD22B3"/>
    <w:rsid w:val="00BD2442"/>
    <w:rsid w:val="00BD2EE7"/>
    <w:rsid w:val="00BD3220"/>
    <w:rsid w:val="00BD34AE"/>
    <w:rsid w:val="00BD3B0C"/>
    <w:rsid w:val="00BD4309"/>
    <w:rsid w:val="00BD5BB0"/>
    <w:rsid w:val="00BD5F10"/>
    <w:rsid w:val="00BD5F74"/>
    <w:rsid w:val="00BD632A"/>
    <w:rsid w:val="00BD64A4"/>
    <w:rsid w:val="00BD6D50"/>
    <w:rsid w:val="00BD773E"/>
    <w:rsid w:val="00BE0A7B"/>
    <w:rsid w:val="00BE1DCC"/>
    <w:rsid w:val="00BE26E7"/>
    <w:rsid w:val="00BE2800"/>
    <w:rsid w:val="00BE2E5D"/>
    <w:rsid w:val="00BE2F13"/>
    <w:rsid w:val="00BE31C0"/>
    <w:rsid w:val="00BE39E4"/>
    <w:rsid w:val="00BE4D3C"/>
    <w:rsid w:val="00BE549E"/>
    <w:rsid w:val="00BE60DC"/>
    <w:rsid w:val="00BE6228"/>
    <w:rsid w:val="00BE7097"/>
    <w:rsid w:val="00BE7789"/>
    <w:rsid w:val="00BF1643"/>
    <w:rsid w:val="00BF1AAF"/>
    <w:rsid w:val="00BF2266"/>
    <w:rsid w:val="00BF2DFB"/>
    <w:rsid w:val="00BF311A"/>
    <w:rsid w:val="00BF3573"/>
    <w:rsid w:val="00BF4880"/>
    <w:rsid w:val="00BF539D"/>
    <w:rsid w:val="00BF5E7B"/>
    <w:rsid w:val="00BF60DB"/>
    <w:rsid w:val="00BF6635"/>
    <w:rsid w:val="00BF6E96"/>
    <w:rsid w:val="00BF7020"/>
    <w:rsid w:val="00BF7252"/>
    <w:rsid w:val="00BF7B0B"/>
    <w:rsid w:val="00C007E1"/>
    <w:rsid w:val="00C009F6"/>
    <w:rsid w:val="00C01429"/>
    <w:rsid w:val="00C016A4"/>
    <w:rsid w:val="00C018D5"/>
    <w:rsid w:val="00C01BD1"/>
    <w:rsid w:val="00C02673"/>
    <w:rsid w:val="00C02D2E"/>
    <w:rsid w:val="00C03688"/>
    <w:rsid w:val="00C03694"/>
    <w:rsid w:val="00C045D7"/>
    <w:rsid w:val="00C04BC3"/>
    <w:rsid w:val="00C04FDD"/>
    <w:rsid w:val="00C05A27"/>
    <w:rsid w:val="00C0643F"/>
    <w:rsid w:val="00C07219"/>
    <w:rsid w:val="00C10251"/>
    <w:rsid w:val="00C10E63"/>
    <w:rsid w:val="00C11371"/>
    <w:rsid w:val="00C1214A"/>
    <w:rsid w:val="00C1241A"/>
    <w:rsid w:val="00C12E09"/>
    <w:rsid w:val="00C1317F"/>
    <w:rsid w:val="00C13D8D"/>
    <w:rsid w:val="00C15623"/>
    <w:rsid w:val="00C168FA"/>
    <w:rsid w:val="00C16E4A"/>
    <w:rsid w:val="00C17AF4"/>
    <w:rsid w:val="00C17CC6"/>
    <w:rsid w:val="00C20DE2"/>
    <w:rsid w:val="00C211AA"/>
    <w:rsid w:val="00C214B6"/>
    <w:rsid w:val="00C21738"/>
    <w:rsid w:val="00C218BF"/>
    <w:rsid w:val="00C22233"/>
    <w:rsid w:val="00C22714"/>
    <w:rsid w:val="00C233F2"/>
    <w:rsid w:val="00C2359D"/>
    <w:rsid w:val="00C23E77"/>
    <w:rsid w:val="00C249DD"/>
    <w:rsid w:val="00C24DCC"/>
    <w:rsid w:val="00C252C9"/>
    <w:rsid w:val="00C2547D"/>
    <w:rsid w:val="00C27FE2"/>
    <w:rsid w:val="00C309A8"/>
    <w:rsid w:val="00C324E0"/>
    <w:rsid w:val="00C32DFB"/>
    <w:rsid w:val="00C34995"/>
    <w:rsid w:val="00C35801"/>
    <w:rsid w:val="00C3605A"/>
    <w:rsid w:val="00C36688"/>
    <w:rsid w:val="00C374CB"/>
    <w:rsid w:val="00C374D2"/>
    <w:rsid w:val="00C401DB"/>
    <w:rsid w:val="00C404E8"/>
    <w:rsid w:val="00C41695"/>
    <w:rsid w:val="00C41801"/>
    <w:rsid w:val="00C41C08"/>
    <w:rsid w:val="00C41CCF"/>
    <w:rsid w:val="00C43818"/>
    <w:rsid w:val="00C43DC5"/>
    <w:rsid w:val="00C441F0"/>
    <w:rsid w:val="00C44B3C"/>
    <w:rsid w:val="00C44F7D"/>
    <w:rsid w:val="00C45913"/>
    <w:rsid w:val="00C464CB"/>
    <w:rsid w:val="00C4753D"/>
    <w:rsid w:val="00C47F1B"/>
    <w:rsid w:val="00C504C3"/>
    <w:rsid w:val="00C51683"/>
    <w:rsid w:val="00C51742"/>
    <w:rsid w:val="00C51CD2"/>
    <w:rsid w:val="00C52195"/>
    <w:rsid w:val="00C521F5"/>
    <w:rsid w:val="00C524EF"/>
    <w:rsid w:val="00C538B1"/>
    <w:rsid w:val="00C53B3F"/>
    <w:rsid w:val="00C53E3C"/>
    <w:rsid w:val="00C542C1"/>
    <w:rsid w:val="00C5452B"/>
    <w:rsid w:val="00C54890"/>
    <w:rsid w:val="00C56047"/>
    <w:rsid w:val="00C565E0"/>
    <w:rsid w:val="00C5721C"/>
    <w:rsid w:val="00C5797C"/>
    <w:rsid w:val="00C603FA"/>
    <w:rsid w:val="00C6062B"/>
    <w:rsid w:val="00C60809"/>
    <w:rsid w:val="00C61325"/>
    <w:rsid w:val="00C61BBE"/>
    <w:rsid w:val="00C61C7D"/>
    <w:rsid w:val="00C625C9"/>
    <w:rsid w:val="00C62984"/>
    <w:rsid w:val="00C632E9"/>
    <w:rsid w:val="00C64176"/>
    <w:rsid w:val="00C64A4E"/>
    <w:rsid w:val="00C65595"/>
    <w:rsid w:val="00C676CD"/>
    <w:rsid w:val="00C67BF2"/>
    <w:rsid w:val="00C71244"/>
    <w:rsid w:val="00C71D4C"/>
    <w:rsid w:val="00C72191"/>
    <w:rsid w:val="00C72DB4"/>
    <w:rsid w:val="00C75167"/>
    <w:rsid w:val="00C75682"/>
    <w:rsid w:val="00C77AA6"/>
    <w:rsid w:val="00C80080"/>
    <w:rsid w:val="00C8094F"/>
    <w:rsid w:val="00C80E67"/>
    <w:rsid w:val="00C810B7"/>
    <w:rsid w:val="00C81309"/>
    <w:rsid w:val="00C8185A"/>
    <w:rsid w:val="00C820C1"/>
    <w:rsid w:val="00C82B4D"/>
    <w:rsid w:val="00C83463"/>
    <w:rsid w:val="00C835BE"/>
    <w:rsid w:val="00C837B7"/>
    <w:rsid w:val="00C842D0"/>
    <w:rsid w:val="00C847EB"/>
    <w:rsid w:val="00C84943"/>
    <w:rsid w:val="00C85176"/>
    <w:rsid w:val="00C854BC"/>
    <w:rsid w:val="00C86586"/>
    <w:rsid w:val="00C8763C"/>
    <w:rsid w:val="00C87B9A"/>
    <w:rsid w:val="00C9101D"/>
    <w:rsid w:val="00C92954"/>
    <w:rsid w:val="00C95363"/>
    <w:rsid w:val="00C95418"/>
    <w:rsid w:val="00C96139"/>
    <w:rsid w:val="00C967C5"/>
    <w:rsid w:val="00C96C55"/>
    <w:rsid w:val="00C97561"/>
    <w:rsid w:val="00CA0070"/>
    <w:rsid w:val="00CA007E"/>
    <w:rsid w:val="00CA173F"/>
    <w:rsid w:val="00CA24F4"/>
    <w:rsid w:val="00CA3009"/>
    <w:rsid w:val="00CA3026"/>
    <w:rsid w:val="00CA4215"/>
    <w:rsid w:val="00CA5120"/>
    <w:rsid w:val="00CA51CA"/>
    <w:rsid w:val="00CA55BF"/>
    <w:rsid w:val="00CA7234"/>
    <w:rsid w:val="00CA7530"/>
    <w:rsid w:val="00CA7800"/>
    <w:rsid w:val="00CB0135"/>
    <w:rsid w:val="00CB02F9"/>
    <w:rsid w:val="00CB0371"/>
    <w:rsid w:val="00CB0638"/>
    <w:rsid w:val="00CB06F5"/>
    <w:rsid w:val="00CB12C5"/>
    <w:rsid w:val="00CB207A"/>
    <w:rsid w:val="00CB2251"/>
    <w:rsid w:val="00CB2876"/>
    <w:rsid w:val="00CB2E9C"/>
    <w:rsid w:val="00CB3A2C"/>
    <w:rsid w:val="00CB3CF5"/>
    <w:rsid w:val="00CB3D7C"/>
    <w:rsid w:val="00CB459D"/>
    <w:rsid w:val="00CB4870"/>
    <w:rsid w:val="00CB4D51"/>
    <w:rsid w:val="00CB5370"/>
    <w:rsid w:val="00CB57CD"/>
    <w:rsid w:val="00CB5BEB"/>
    <w:rsid w:val="00CB743C"/>
    <w:rsid w:val="00CB7DB1"/>
    <w:rsid w:val="00CB7F41"/>
    <w:rsid w:val="00CC19D5"/>
    <w:rsid w:val="00CC1BDF"/>
    <w:rsid w:val="00CC1F43"/>
    <w:rsid w:val="00CC2194"/>
    <w:rsid w:val="00CC2658"/>
    <w:rsid w:val="00CC28EB"/>
    <w:rsid w:val="00CC46AE"/>
    <w:rsid w:val="00CC5394"/>
    <w:rsid w:val="00CC6D8E"/>
    <w:rsid w:val="00CC6E0E"/>
    <w:rsid w:val="00CC7D83"/>
    <w:rsid w:val="00CC7FD3"/>
    <w:rsid w:val="00CD03F3"/>
    <w:rsid w:val="00CD0517"/>
    <w:rsid w:val="00CD0D5E"/>
    <w:rsid w:val="00CD1C1D"/>
    <w:rsid w:val="00CD2AA2"/>
    <w:rsid w:val="00CD3559"/>
    <w:rsid w:val="00CD3689"/>
    <w:rsid w:val="00CD3C75"/>
    <w:rsid w:val="00CD43CA"/>
    <w:rsid w:val="00CD4649"/>
    <w:rsid w:val="00CD4AAB"/>
    <w:rsid w:val="00CD4E48"/>
    <w:rsid w:val="00CD50F8"/>
    <w:rsid w:val="00CD5804"/>
    <w:rsid w:val="00CD5A60"/>
    <w:rsid w:val="00CD62FB"/>
    <w:rsid w:val="00CD6D09"/>
    <w:rsid w:val="00CD6E33"/>
    <w:rsid w:val="00CD6EF2"/>
    <w:rsid w:val="00CD7FBF"/>
    <w:rsid w:val="00CE0A62"/>
    <w:rsid w:val="00CE0B7C"/>
    <w:rsid w:val="00CE0D72"/>
    <w:rsid w:val="00CE14F3"/>
    <w:rsid w:val="00CE1D62"/>
    <w:rsid w:val="00CE1FD3"/>
    <w:rsid w:val="00CE2C45"/>
    <w:rsid w:val="00CE2DFA"/>
    <w:rsid w:val="00CE2F0B"/>
    <w:rsid w:val="00CE31E6"/>
    <w:rsid w:val="00CE3E4A"/>
    <w:rsid w:val="00CE4CF0"/>
    <w:rsid w:val="00CE4D6D"/>
    <w:rsid w:val="00CE50DC"/>
    <w:rsid w:val="00CE5DE7"/>
    <w:rsid w:val="00CE5DEE"/>
    <w:rsid w:val="00CE5FC5"/>
    <w:rsid w:val="00CE6665"/>
    <w:rsid w:val="00CE696C"/>
    <w:rsid w:val="00CE73BB"/>
    <w:rsid w:val="00CE766D"/>
    <w:rsid w:val="00CE7D0C"/>
    <w:rsid w:val="00CF09FD"/>
    <w:rsid w:val="00CF1199"/>
    <w:rsid w:val="00CF11B2"/>
    <w:rsid w:val="00CF1798"/>
    <w:rsid w:val="00CF18BD"/>
    <w:rsid w:val="00CF2122"/>
    <w:rsid w:val="00CF3588"/>
    <w:rsid w:val="00CF391B"/>
    <w:rsid w:val="00CF4AB1"/>
    <w:rsid w:val="00CF5379"/>
    <w:rsid w:val="00CF751A"/>
    <w:rsid w:val="00CF77C0"/>
    <w:rsid w:val="00CF7F67"/>
    <w:rsid w:val="00D003DC"/>
    <w:rsid w:val="00D00CE3"/>
    <w:rsid w:val="00D01664"/>
    <w:rsid w:val="00D0456F"/>
    <w:rsid w:val="00D045E1"/>
    <w:rsid w:val="00D05669"/>
    <w:rsid w:val="00D057E0"/>
    <w:rsid w:val="00D0696C"/>
    <w:rsid w:val="00D10363"/>
    <w:rsid w:val="00D10812"/>
    <w:rsid w:val="00D119F2"/>
    <w:rsid w:val="00D11CD3"/>
    <w:rsid w:val="00D11F70"/>
    <w:rsid w:val="00D1231D"/>
    <w:rsid w:val="00D1318B"/>
    <w:rsid w:val="00D1323E"/>
    <w:rsid w:val="00D1333A"/>
    <w:rsid w:val="00D13659"/>
    <w:rsid w:val="00D14330"/>
    <w:rsid w:val="00D1460E"/>
    <w:rsid w:val="00D14C46"/>
    <w:rsid w:val="00D158AE"/>
    <w:rsid w:val="00D15925"/>
    <w:rsid w:val="00D16C79"/>
    <w:rsid w:val="00D20094"/>
    <w:rsid w:val="00D200B9"/>
    <w:rsid w:val="00D20119"/>
    <w:rsid w:val="00D20CBE"/>
    <w:rsid w:val="00D20D45"/>
    <w:rsid w:val="00D21B4B"/>
    <w:rsid w:val="00D22D34"/>
    <w:rsid w:val="00D23528"/>
    <w:rsid w:val="00D24260"/>
    <w:rsid w:val="00D24E04"/>
    <w:rsid w:val="00D24F75"/>
    <w:rsid w:val="00D2548B"/>
    <w:rsid w:val="00D254FB"/>
    <w:rsid w:val="00D25862"/>
    <w:rsid w:val="00D25C32"/>
    <w:rsid w:val="00D262A2"/>
    <w:rsid w:val="00D26786"/>
    <w:rsid w:val="00D273DA"/>
    <w:rsid w:val="00D273E8"/>
    <w:rsid w:val="00D304AA"/>
    <w:rsid w:val="00D310BA"/>
    <w:rsid w:val="00D318BD"/>
    <w:rsid w:val="00D32509"/>
    <w:rsid w:val="00D34296"/>
    <w:rsid w:val="00D34BB6"/>
    <w:rsid w:val="00D34C9A"/>
    <w:rsid w:val="00D354B4"/>
    <w:rsid w:val="00D3647D"/>
    <w:rsid w:val="00D364B3"/>
    <w:rsid w:val="00D36CEC"/>
    <w:rsid w:val="00D37611"/>
    <w:rsid w:val="00D377B1"/>
    <w:rsid w:val="00D37801"/>
    <w:rsid w:val="00D37A56"/>
    <w:rsid w:val="00D40AE7"/>
    <w:rsid w:val="00D40C7E"/>
    <w:rsid w:val="00D40CF6"/>
    <w:rsid w:val="00D4150B"/>
    <w:rsid w:val="00D41C2D"/>
    <w:rsid w:val="00D42786"/>
    <w:rsid w:val="00D43824"/>
    <w:rsid w:val="00D43CA2"/>
    <w:rsid w:val="00D442BB"/>
    <w:rsid w:val="00D444A3"/>
    <w:rsid w:val="00D4477A"/>
    <w:rsid w:val="00D44C08"/>
    <w:rsid w:val="00D44D9C"/>
    <w:rsid w:val="00D454CD"/>
    <w:rsid w:val="00D45A33"/>
    <w:rsid w:val="00D45AA8"/>
    <w:rsid w:val="00D4611C"/>
    <w:rsid w:val="00D4629C"/>
    <w:rsid w:val="00D46BAF"/>
    <w:rsid w:val="00D46C08"/>
    <w:rsid w:val="00D46C25"/>
    <w:rsid w:val="00D47BD1"/>
    <w:rsid w:val="00D50467"/>
    <w:rsid w:val="00D51100"/>
    <w:rsid w:val="00D51689"/>
    <w:rsid w:val="00D52CBB"/>
    <w:rsid w:val="00D53321"/>
    <w:rsid w:val="00D53981"/>
    <w:rsid w:val="00D53A02"/>
    <w:rsid w:val="00D53C20"/>
    <w:rsid w:val="00D53D3F"/>
    <w:rsid w:val="00D53D4A"/>
    <w:rsid w:val="00D542BC"/>
    <w:rsid w:val="00D546D5"/>
    <w:rsid w:val="00D55455"/>
    <w:rsid w:val="00D559D7"/>
    <w:rsid w:val="00D55A04"/>
    <w:rsid w:val="00D55FA7"/>
    <w:rsid w:val="00D57541"/>
    <w:rsid w:val="00D60B88"/>
    <w:rsid w:val="00D612CD"/>
    <w:rsid w:val="00D61493"/>
    <w:rsid w:val="00D61698"/>
    <w:rsid w:val="00D61991"/>
    <w:rsid w:val="00D61F4E"/>
    <w:rsid w:val="00D62B74"/>
    <w:rsid w:val="00D63314"/>
    <w:rsid w:val="00D636A6"/>
    <w:rsid w:val="00D6440C"/>
    <w:rsid w:val="00D64988"/>
    <w:rsid w:val="00D64D3A"/>
    <w:rsid w:val="00D6575D"/>
    <w:rsid w:val="00D65F7A"/>
    <w:rsid w:val="00D665C0"/>
    <w:rsid w:val="00D66B0D"/>
    <w:rsid w:val="00D66E85"/>
    <w:rsid w:val="00D672DB"/>
    <w:rsid w:val="00D6765E"/>
    <w:rsid w:val="00D67E60"/>
    <w:rsid w:val="00D70310"/>
    <w:rsid w:val="00D70BD2"/>
    <w:rsid w:val="00D70E87"/>
    <w:rsid w:val="00D72ABF"/>
    <w:rsid w:val="00D72B88"/>
    <w:rsid w:val="00D72D17"/>
    <w:rsid w:val="00D7598D"/>
    <w:rsid w:val="00D75A41"/>
    <w:rsid w:val="00D75D78"/>
    <w:rsid w:val="00D768BF"/>
    <w:rsid w:val="00D76AF5"/>
    <w:rsid w:val="00D80A46"/>
    <w:rsid w:val="00D8120D"/>
    <w:rsid w:val="00D818C2"/>
    <w:rsid w:val="00D81A07"/>
    <w:rsid w:val="00D820BA"/>
    <w:rsid w:val="00D821A9"/>
    <w:rsid w:val="00D82862"/>
    <w:rsid w:val="00D8358E"/>
    <w:rsid w:val="00D843C8"/>
    <w:rsid w:val="00D8471C"/>
    <w:rsid w:val="00D86070"/>
    <w:rsid w:val="00D87EA3"/>
    <w:rsid w:val="00D9046A"/>
    <w:rsid w:val="00D90B09"/>
    <w:rsid w:val="00D91106"/>
    <w:rsid w:val="00D91C64"/>
    <w:rsid w:val="00D91D02"/>
    <w:rsid w:val="00D91F49"/>
    <w:rsid w:val="00D92C8F"/>
    <w:rsid w:val="00D94E0B"/>
    <w:rsid w:val="00D9509C"/>
    <w:rsid w:val="00D96B6C"/>
    <w:rsid w:val="00D970D2"/>
    <w:rsid w:val="00D97397"/>
    <w:rsid w:val="00D97CA6"/>
    <w:rsid w:val="00DA0F84"/>
    <w:rsid w:val="00DA1A2B"/>
    <w:rsid w:val="00DA214F"/>
    <w:rsid w:val="00DA22D7"/>
    <w:rsid w:val="00DA2C09"/>
    <w:rsid w:val="00DA3D2D"/>
    <w:rsid w:val="00DA3D93"/>
    <w:rsid w:val="00DA4199"/>
    <w:rsid w:val="00DA42C9"/>
    <w:rsid w:val="00DA4769"/>
    <w:rsid w:val="00DA5AA3"/>
    <w:rsid w:val="00DA5D55"/>
    <w:rsid w:val="00DB0215"/>
    <w:rsid w:val="00DB05AD"/>
    <w:rsid w:val="00DB1338"/>
    <w:rsid w:val="00DB15A8"/>
    <w:rsid w:val="00DB1993"/>
    <w:rsid w:val="00DB2110"/>
    <w:rsid w:val="00DB2C4B"/>
    <w:rsid w:val="00DB30CE"/>
    <w:rsid w:val="00DB396B"/>
    <w:rsid w:val="00DB3A1C"/>
    <w:rsid w:val="00DB3B95"/>
    <w:rsid w:val="00DB3BAF"/>
    <w:rsid w:val="00DB4252"/>
    <w:rsid w:val="00DB5682"/>
    <w:rsid w:val="00DB6605"/>
    <w:rsid w:val="00DC18A0"/>
    <w:rsid w:val="00DC3134"/>
    <w:rsid w:val="00DC34FB"/>
    <w:rsid w:val="00DC54C7"/>
    <w:rsid w:val="00DC5547"/>
    <w:rsid w:val="00DC5A56"/>
    <w:rsid w:val="00DC5AEB"/>
    <w:rsid w:val="00DC647C"/>
    <w:rsid w:val="00DC68B6"/>
    <w:rsid w:val="00DC7270"/>
    <w:rsid w:val="00DC7283"/>
    <w:rsid w:val="00DC7413"/>
    <w:rsid w:val="00DC7A33"/>
    <w:rsid w:val="00DD0406"/>
    <w:rsid w:val="00DD0C80"/>
    <w:rsid w:val="00DD0F2D"/>
    <w:rsid w:val="00DD25BD"/>
    <w:rsid w:val="00DD2A73"/>
    <w:rsid w:val="00DD2B2C"/>
    <w:rsid w:val="00DD2E71"/>
    <w:rsid w:val="00DD347B"/>
    <w:rsid w:val="00DD350B"/>
    <w:rsid w:val="00DD36DA"/>
    <w:rsid w:val="00DD42F4"/>
    <w:rsid w:val="00DD4C23"/>
    <w:rsid w:val="00DD4E09"/>
    <w:rsid w:val="00DD557A"/>
    <w:rsid w:val="00DD57D9"/>
    <w:rsid w:val="00DD6662"/>
    <w:rsid w:val="00DD67EB"/>
    <w:rsid w:val="00DD6ED9"/>
    <w:rsid w:val="00DE033E"/>
    <w:rsid w:val="00DE056A"/>
    <w:rsid w:val="00DE0996"/>
    <w:rsid w:val="00DE0B5C"/>
    <w:rsid w:val="00DE128E"/>
    <w:rsid w:val="00DE1510"/>
    <w:rsid w:val="00DE2120"/>
    <w:rsid w:val="00DE2286"/>
    <w:rsid w:val="00DE2CBB"/>
    <w:rsid w:val="00DE307B"/>
    <w:rsid w:val="00DE3875"/>
    <w:rsid w:val="00DE3959"/>
    <w:rsid w:val="00DE3A13"/>
    <w:rsid w:val="00DE4082"/>
    <w:rsid w:val="00DE4E70"/>
    <w:rsid w:val="00DE516E"/>
    <w:rsid w:val="00DE52F4"/>
    <w:rsid w:val="00DE57B6"/>
    <w:rsid w:val="00DE65C1"/>
    <w:rsid w:val="00DE7218"/>
    <w:rsid w:val="00DE7547"/>
    <w:rsid w:val="00DE7864"/>
    <w:rsid w:val="00DF0438"/>
    <w:rsid w:val="00DF18BB"/>
    <w:rsid w:val="00DF1DBF"/>
    <w:rsid w:val="00DF1E57"/>
    <w:rsid w:val="00DF355D"/>
    <w:rsid w:val="00DF3CF3"/>
    <w:rsid w:val="00DF528A"/>
    <w:rsid w:val="00DF5602"/>
    <w:rsid w:val="00DF5FB9"/>
    <w:rsid w:val="00DF67A8"/>
    <w:rsid w:val="00DF6F87"/>
    <w:rsid w:val="00DF74C2"/>
    <w:rsid w:val="00DF7CF5"/>
    <w:rsid w:val="00E0083A"/>
    <w:rsid w:val="00E00B1A"/>
    <w:rsid w:val="00E015E5"/>
    <w:rsid w:val="00E0521C"/>
    <w:rsid w:val="00E05DD7"/>
    <w:rsid w:val="00E06711"/>
    <w:rsid w:val="00E06B42"/>
    <w:rsid w:val="00E0737D"/>
    <w:rsid w:val="00E11AB6"/>
    <w:rsid w:val="00E1231D"/>
    <w:rsid w:val="00E123E4"/>
    <w:rsid w:val="00E12DBA"/>
    <w:rsid w:val="00E15348"/>
    <w:rsid w:val="00E16973"/>
    <w:rsid w:val="00E16AA9"/>
    <w:rsid w:val="00E16D6A"/>
    <w:rsid w:val="00E17372"/>
    <w:rsid w:val="00E17AF7"/>
    <w:rsid w:val="00E17C2E"/>
    <w:rsid w:val="00E204EC"/>
    <w:rsid w:val="00E20CBF"/>
    <w:rsid w:val="00E2159C"/>
    <w:rsid w:val="00E21A4D"/>
    <w:rsid w:val="00E21C97"/>
    <w:rsid w:val="00E2246C"/>
    <w:rsid w:val="00E2274B"/>
    <w:rsid w:val="00E24250"/>
    <w:rsid w:val="00E25E61"/>
    <w:rsid w:val="00E26856"/>
    <w:rsid w:val="00E2698D"/>
    <w:rsid w:val="00E277C6"/>
    <w:rsid w:val="00E30520"/>
    <w:rsid w:val="00E3053D"/>
    <w:rsid w:val="00E30AFE"/>
    <w:rsid w:val="00E310DA"/>
    <w:rsid w:val="00E310DE"/>
    <w:rsid w:val="00E318D5"/>
    <w:rsid w:val="00E31DC1"/>
    <w:rsid w:val="00E32182"/>
    <w:rsid w:val="00E3287A"/>
    <w:rsid w:val="00E32F9B"/>
    <w:rsid w:val="00E331FD"/>
    <w:rsid w:val="00E3492E"/>
    <w:rsid w:val="00E34B0B"/>
    <w:rsid w:val="00E34B6A"/>
    <w:rsid w:val="00E35BD4"/>
    <w:rsid w:val="00E372A7"/>
    <w:rsid w:val="00E375B3"/>
    <w:rsid w:val="00E403CB"/>
    <w:rsid w:val="00E407EF"/>
    <w:rsid w:val="00E41983"/>
    <w:rsid w:val="00E427FA"/>
    <w:rsid w:val="00E42F05"/>
    <w:rsid w:val="00E441A2"/>
    <w:rsid w:val="00E444E3"/>
    <w:rsid w:val="00E455BF"/>
    <w:rsid w:val="00E4730A"/>
    <w:rsid w:val="00E47B93"/>
    <w:rsid w:val="00E47FA7"/>
    <w:rsid w:val="00E506B8"/>
    <w:rsid w:val="00E5110A"/>
    <w:rsid w:val="00E519AE"/>
    <w:rsid w:val="00E524BB"/>
    <w:rsid w:val="00E5257F"/>
    <w:rsid w:val="00E527A1"/>
    <w:rsid w:val="00E534C6"/>
    <w:rsid w:val="00E535E8"/>
    <w:rsid w:val="00E54388"/>
    <w:rsid w:val="00E57BD2"/>
    <w:rsid w:val="00E57F93"/>
    <w:rsid w:val="00E611E8"/>
    <w:rsid w:val="00E6187C"/>
    <w:rsid w:val="00E63463"/>
    <w:rsid w:val="00E63637"/>
    <w:rsid w:val="00E63644"/>
    <w:rsid w:val="00E63DC5"/>
    <w:rsid w:val="00E640AD"/>
    <w:rsid w:val="00E64B45"/>
    <w:rsid w:val="00E651DB"/>
    <w:rsid w:val="00E65850"/>
    <w:rsid w:val="00E669F4"/>
    <w:rsid w:val="00E67962"/>
    <w:rsid w:val="00E722E2"/>
    <w:rsid w:val="00E729B4"/>
    <w:rsid w:val="00E73221"/>
    <w:rsid w:val="00E735BF"/>
    <w:rsid w:val="00E740D9"/>
    <w:rsid w:val="00E7445A"/>
    <w:rsid w:val="00E7488D"/>
    <w:rsid w:val="00E75AC7"/>
    <w:rsid w:val="00E75B36"/>
    <w:rsid w:val="00E75E38"/>
    <w:rsid w:val="00E7674C"/>
    <w:rsid w:val="00E7720A"/>
    <w:rsid w:val="00E772C1"/>
    <w:rsid w:val="00E772C4"/>
    <w:rsid w:val="00E80802"/>
    <w:rsid w:val="00E80B2E"/>
    <w:rsid w:val="00E81402"/>
    <w:rsid w:val="00E81E6D"/>
    <w:rsid w:val="00E8361D"/>
    <w:rsid w:val="00E83DE0"/>
    <w:rsid w:val="00E8442B"/>
    <w:rsid w:val="00E84C48"/>
    <w:rsid w:val="00E84CCC"/>
    <w:rsid w:val="00E85EC1"/>
    <w:rsid w:val="00E86471"/>
    <w:rsid w:val="00E8684D"/>
    <w:rsid w:val="00E86B57"/>
    <w:rsid w:val="00E872A8"/>
    <w:rsid w:val="00E875A7"/>
    <w:rsid w:val="00E8770E"/>
    <w:rsid w:val="00E90544"/>
    <w:rsid w:val="00E9089B"/>
    <w:rsid w:val="00E913BD"/>
    <w:rsid w:val="00E92948"/>
    <w:rsid w:val="00E92BBC"/>
    <w:rsid w:val="00E930F3"/>
    <w:rsid w:val="00E96164"/>
    <w:rsid w:val="00E96357"/>
    <w:rsid w:val="00E96440"/>
    <w:rsid w:val="00E968AD"/>
    <w:rsid w:val="00E969A3"/>
    <w:rsid w:val="00E97C54"/>
    <w:rsid w:val="00EA0020"/>
    <w:rsid w:val="00EA1585"/>
    <w:rsid w:val="00EA15E3"/>
    <w:rsid w:val="00EA2708"/>
    <w:rsid w:val="00EA292D"/>
    <w:rsid w:val="00EA2E6C"/>
    <w:rsid w:val="00EA2F42"/>
    <w:rsid w:val="00EA324D"/>
    <w:rsid w:val="00EA3AE3"/>
    <w:rsid w:val="00EA3D91"/>
    <w:rsid w:val="00EA41C6"/>
    <w:rsid w:val="00EA5EAE"/>
    <w:rsid w:val="00EA60E3"/>
    <w:rsid w:val="00EA6EC9"/>
    <w:rsid w:val="00EA79D9"/>
    <w:rsid w:val="00EA7E26"/>
    <w:rsid w:val="00EB00D8"/>
    <w:rsid w:val="00EB06CB"/>
    <w:rsid w:val="00EB2498"/>
    <w:rsid w:val="00EB3C5F"/>
    <w:rsid w:val="00EB4A0D"/>
    <w:rsid w:val="00EB4A48"/>
    <w:rsid w:val="00EB57D3"/>
    <w:rsid w:val="00EB65C9"/>
    <w:rsid w:val="00EB67B4"/>
    <w:rsid w:val="00EB7188"/>
    <w:rsid w:val="00EB7587"/>
    <w:rsid w:val="00EB7E2A"/>
    <w:rsid w:val="00EB7F26"/>
    <w:rsid w:val="00EB7F63"/>
    <w:rsid w:val="00EC135E"/>
    <w:rsid w:val="00EC2036"/>
    <w:rsid w:val="00EC2E4E"/>
    <w:rsid w:val="00EC4F1E"/>
    <w:rsid w:val="00EC73C8"/>
    <w:rsid w:val="00EC782C"/>
    <w:rsid w:val="00EC7ADE"/>
    <w:rsid w:val="00EC7B47"/>
    <w:rsid w:val="00ED0055"/>
    <w:rsid w:val="00ED06F4"/>
    <w:rsid w:val="00ED0E92"/>
    <w:rsid w:val="00ED0EF7"/>
    <w:rsid w:val="00ED0F3D"/>
    <w:rsid w:val="00ED27D5"/>
    <w:rsid w:val="00ED3558"/>
    <w:rsid w:val="00ED3BEB"/>
    <w:rsid w:val="00ED4D9C"/>
    <w:rsid w:val="00ED587A"/>
    <w:rsid w:val="00ED6364"/>
    <w:rsid w:val="00ED669A"/>
    <w:rsid w:val="00ED70A1"/>
    <w:rsid w:val="00ED7270"/>
    <w:rsid w:val="00ED76D5"/>
    <w:rsid w:val="00ED7F1A"/>
    <w:rsid w:val="00ED7FB3"/>
    <w:rsid w:val="00EE08CB"/>
    <w:rsid w:val="00EE1E1D"/>
    <w:rsid w:val="00EE2705"/>
    <w:rsid w:val="00EE2D44"/>
    <w:rsid w:val="00EE3392"/>
    <w:rsid w:val="00EE406A"/>
    <w:rsid w:val="00EE4581"/>
    <w:rsid w:val="00EE57F8"/>
    <w:rsid w:val="00EE6103"/>
    <w:rsid w:val="00EE67C7"/>
    <w:rsid w:val="00EE6920"/>
    <w:rsid w:val="00EE79F2"/>
    <w:rsid w:val="00EE7B5F"/>
    <w:rsid w:val="00EF054F"/>
    <w:rsid w:val="00EF0C96"/>
    <w:rsid w:val="00EF0DB4"/>
    <w:rsid w:val="00EF0F3D"/>
    <w:rsid w:val="00EF16FE"/>
    <w:rsid w:val="00EF248C"/>
    <w:rsid w:val="00EF2ECD"/>
    <w:rsid w:val="00EF4130"/>
    <w:rsid w:val="00EF46D3"/>
    <w:rsid w:val="00EF499F"/>
    <w:rsid w:val="00EF4BCC"/>
    <w:rsid w:val="00EF593F"/>
    <w:rsid w:val="00EF5D58"/>
    <w:rsid w:val="00EF64AA"/>
    <w:rsid w:val="00EF6584"/>
    <w:rsid w:val="00EF6615"/>
    <w:rsid w:val="00EF6E43"/>
    <w:rsid w:val="00EF7931"/>
    <w:rsid w:val="00F00827"/>
    <w:rsid w:val="00F0090B"/>
    <w:rsid w:val="00F00D06"/>
    <w:rsid w:val="00F01BC3"/>
    <w:rsid w:val="00F0201B"/>
    <w:rsid w:val="00F021C8"/>
    <w:rsid w:val="00F03508"/>
    <w:rsid w:val="00F03786"/>
    <w:rsid w:val="00F058E0"/>
    <w:rsid w:val="00F05B88"/>
    <w:rsid w:val="00F05D2E"/>
    <w:rsid w:val="00F062CA"/>
    <w:rsid w:val="00F06B84"/>
    <w:rsid w:val="00F06CB9"/>
    <w:rsid w:val="00F0742C"/>
    <w:rsid w:val="00F07447"/>
    <w:rsid w:val="00F106D3"/>
    <w:rsid w:val="00F10E76"/>
    <w:rsid w:val="00F123A1"/>
    <w:rsid w:val="00F12969"/>
    <w:rsid w:val="00F13C51"/>
    <w:rsid w:val="00F14482"/>
    <w:rsid w:val="00F145F6"/>
    <w:rsid w:val="00F15A6C"/>
    <w:rsid w:val="00F15C65"/>
    <w:rsid w:val="00F15F93"/>
    <w:rsid w:val="00F1615F"/>
    <w:rsid w:val="00F1633D"/>
    <w:rsid w:val="00F16530"/>
    <w:rsid w:val="00F203AA"/>
    <w:rsid w:val="00F205B4"/>
    <w:rsid w:val="00F20736"/>
    <w:rsid w:val="00F21230"/>
    <w:rsid w:val="00F21F3D"/>
    <w:rsid w:val="00F22470"/>
    <w:rsid w:val="00F226BA"/>
    <w:rsid w:val="00F22717"/>
    <w:rsid w:val="00F22FEB"/>
    <w:rsid w:val="00F23506"/>
    <w:rsid w:val="00F236B7"/>
    <w:rsid w:val="00F23DF4"/>
    <w:rsid w:val="00F243E6"/>
    <w:rsid w:val="00F262EC"/>
    <w:rsid w:val="00F262F1"/>
    <w:rsid w:val="00F26647"/>
    <w:rsid w:val="00F266E5"/>
    <w:rsid w:val="00F2710B"/>
    <w:rsid w:val="00F27273"/>
    <w:rsid w:val="00F27455"/>
    <w:rsid w:val="00F27E34"/>
    <w:rsid w:val="00F30329"/>
    <w:rsid w:val="00F30481"/>
    <w:rsid w:val="00F30981"/>
    <w:rsid w:val="00F3104F"/>
    <w:rsid w:val="00F32483"/>
    <w:rsid w:val="00F3281C"/>
    <w:rsid w:val="00F33BDA"/>
    <w:rsid w:val="00F33C50"/>
    <w:rsid w:val="00F33CA6"/>
    <w:rsid w:val="00F3406C"/>
    <w:rsid w:val="00F34F45"/>
    <w:rsid w:val="00F35AA8"/>
    <w:rsid w:val="00F364C7"/>
    <w:rsid w:val="00F37235"/>
    <w:rsid w:val="00F402F9"/>
    <w:rsid w:val="00F40A80"/>
    <w:rsid w:val="00F415BC"/>
    <w:rsid w:val="00F41737"/>
    <w:rsid w:val="00F417D0"/>
    <w:rsid w:val="00F41F85"/>
    <w:rsid w:val="00F42551"/>
    <w:rsid w:val="00F42696"/>
    <w:rsid w:val="00F42775"/>
    <w:rsid w:val="00F42841"/>
    <w:rsid w:val="00F42CB9"/>
    <w:rsid w:val="00F4388D"/>
    <w:rsid w:val="00F43BA9"/>
    <w:rsid w:val="00F43E10"/>
    <w:rsid w:val="00F458A1"/>
    <w:rsid w:val="00F4675E"/>
    <w:rsid w:val="00F46841"/>
    <w:rsid w:val="00F4698F"/>
    <w:rsid w:val="00F46E0D"/>
    <w:rsid w:val="00F500DA"/>
    <w:rsid w:val="00F51BDF"/>
    <w:rsid w:val="00F52866"/>
    <w:rsid w:val="00F54CD2"/>
    <w:rsid w:val="00F54F61"/>
    <w:rsid w:val="00F5648A"/>
    <w:rsid w:val="00F5708B"/>
    <w:rsid w:val="00F57D02"/>
    <w:rsid w:val="00F60847"/>
    <w:rsid w:val="00F611A3"/>
    <w:rsid w:val="00F611B3"/>
    <w:rsid w:val="00F61A56"/>
    <w:rsid w:val="00F61C9B"/>
    <w:rsid w:val="00F6265E"/>
    <w:rsid w:val="00F62FDF"/>
    <w:rsid w:val="00F63DA4"/>
    <w:rsid w:val="00F6417B"/>
    <w:rsid w:val="00F6469B"/>
    <w:rsid w:val="00F64CB3"/>
    <w:rsid w:val="00F650E4"/>
    <w:rsid w:val="00F658FC"/>
    <w:rsid w:val="00F65E4B"/>
    <w:rsid w:val="00F66434"/>
    <w:rsid w:val="00F66523"/>
    <w:rsid w:val="00F66CAA"/>
    <w:rsid w:val="00F66E83"/>
    <w:rsid w:val="00F66FCE"/>
    <w:rsid w:val="00F67AE9"/>
    <w:rsid w:val="00F67C16"/>
    <w:rsid w:val="00F70290"/>
    <w:rsid w:val="00F70E51"/>
    <w:rsid w:val="00F71D87"/>
    <w:rsid w:val="00F72B9D"/>
    <w:rsid w:val="00F73BFA"/>
    <w:rsid w:val="00F749E4"/>
    <w:rsid w:val="00F74B66"/>
    <w:rsid w:val="00F751C5"/>
    <w:rsid w:val="00F757DA"/>
    <w:rsid w:val="00F7673E"/>
    <w:rsid w:val="00F77029"/>
    <w:rsid w:val="00F77213"/>
    <w:rsid w:val="00F800A5"/>
    <w:rsid w:val="00F815F6"/>
    <w:rsid w:val="00F818C4"/>
    <w:rsid w:val="00F820AE"/>
    <w:rsid w:val="00F8468D"/>
    <w:rsid w:val="00F846D1"/>
    <w:rsid w:val="00F84A02"/>
    <w:rsid w:val="00F857E8"/>
    <w:rsid w:val="00F8621F"/>
    <w:rsid w:val="00F8678B"/>
    <w:rsid w:val="00F87E21"/>
    <w:rsid w:val="00F90B03"/>
    <w:rsid w:val="00F91079"/>
    <w:rsid w:val="00F926C8"/>
    <w:rsid w:val="00F92C19"/>
    <w:rsid w:val="00F92E8E"/>
    <w:rsid w:val="00F936FF"/>
    <w:rsid w:val="00F949E5"/>
    <w:rsid w:val="00F94BF0"/>
    <w:rsid w:val="00F96065"/>
    <w:rsid w:val="00FA0E8F"/>
    <w:rsid w:val="00FA29CF"/>
    <w:rsid w:val="00FA2C31"/>
    <w:rsid w:val="00FA32CE"/>
    <w:rsid w:val="00FA361C"/>
    <w:rsid w:val="00FA37C5"/>
    <w:rsid w:val="00FA481D"/>
    <w:rsid w:val="00FA4B23"/>
    <w:rsid w:val="00FA6883"/>
    <w:rsid w:val="00FA742A"/>
    <w:rsid w:val="00FA78DC"/>
    <w:rsid w:val="00FB0AD7"/>
    <w:rsid w:val="00FB0DF0"/>
    <w:rsid w:val="00FB0F38"/>
    <w:rsid w:val="00FB12A5"/>
    <w:rsid w:val="00FB1E3A"/>
    <w:rsid w:val="00FB229B"/>
    <w:rsid w:val="00FB4DE5"/>
    <w:rsid w:val="00FB4F04"/>
    <w:rsid w:val="00FB6A56"/>
    <w:rsid w:val="00FB709E"/>
    <w:rsid w:val="00FB7483"/>
    <w:rsid w:val="00FC10D6"/>
    <w:rsid w:val="00FC1173"/>
    <w:rsid w:val="00FC15DF"/>
    <w:rsid w:val="00FC21AC"/>
    <w:rsid w:val="00FC2A97"/>
    <w:rsid w:val="00FC38AA"/>
    <w:rsid w:val="00FC3911"/>
    <w:rsid w:val="00FC4C30"/>
    <w:rsid w:val="00FC6841"/>
    <w:rsid w:val="00FC7487"/>
    <w:rsid w:val="00FD028F"/>
    <w:rsid w:val="00FD08F4"/>
    <w:rsid w:val="00FD2592"/>
    <w:rsid w:val="00FD262F"/>
    <w:rsid w:val="00FD36BD"/>
    <w:rsid w:val="00FD3892"/>
    <w:rsid w:val="00FD3B74"/>
    <w:rsid w:val="00FD3C0C"/>
    <w:rsid w:val="00FD3DF3"/>
    <w:rsid w:val="00FD41A8"/>
    <w:rsid w:val="00FD5363"/>
    <w:rsid w:val="00FD5E7F"/>
    <w:rsid w:val="00FD5FC6"/>
    <w:rsid w:val="00FD6BEC"/>
    <w:rsid w:val="00FD6D06"/>
    <w:rsid w:val="00FD7173"/>
    <w:rsid w:val="00FD739A"/>
    <w:rsid w:val="00FD783A"/>
    <w:rsid w:val="00FE02DD"/>
    <w:rsid w:val="00FE0536"/>
    <w:rsid w:val="00FE172C"/>
    <w:rsid w:val="00FE20A0"/>
    <w:rsid w:val="00FE2464"/>
    <w:rsid w:val="00FE2672"/>
    <w:rsid w:val="00FE2981"/>
    <w:rsid w:val="00FE2D62"/>
    <w:rsid w:val="00FE2F68"/>
    <w:rsid w:val="00FE3272"/>
    <w:rsid w:val="00FE358E"/>
    <w:rsid w:val="00FE37A9"/>
    <w:rsid w:val="00FE3BCB"/>
    <w:rsid w:val="00FE51C5"/>
    <w:rsid w:val="00FE5395"/>
    <w:rsid w:val="00FF04A4"/>
    <w:rsid w:val="00FF105B"/>
    <w:rsid w:val="00FF2723"/>
    <w:rsid w:val="00FF3DD9"/>
    <w:rsid w:val="00FF4921"/>
    <w:rsid w:val="00FF4991"/>
    <w:rsid w:val="00FF4B39"/>
    <w:rsid w:val="00FF4F14"/>
    <w:rsid w:val="00FF50AE"/>
    <w:rsid w:val="00FF5210"/>
    <w:rsid w:val="00FF5617"/>
    <w:rsid w:val="00FF59A7"/>
    <w:rsid w:val="00FF5F7E"/>
    <w:rsid w:val="00FF6493"/>
    <w:rsid w:val="00FF68FC"/>
    <w:rsid w:val="00FF6B8E"/>
    <w:rsid w:val="00FF7A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CAAA4F"/>
  <w15:chartTrackingRefBased/>
  <w15:docId w15:val="{EA2CD128-E339-47C0-817B-329A458B5E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15194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51943"/>
    <w:rPr>
      <w:sz w:val="20"/>
      <w:szCs w:val="20"/>
    </w:rPr>
  </w:style>
  <w:style w:type="character" w:styleId="EndnoteReference">
    <w:name w:val="endnote reference"/>
    <w:basedOn w:val="DefaultParagraphFont"/>
    <w:uiPriority w:val="99"/>
    <w:semiHidden/>
    <w:unhideWhenUsed/>
    <w:rsid w:val="00151943"/>
    <w:rPr>
      <w:vertAlign w:val="superscript"/>
    </w:rPr>
  </w:style>
  <w:style w:type="paragraph" w:styleId="FootnoteText">
    <w:name w:val="footnote text"/>
    <w:basedOn w:val="Normal"/>
    <w:link w:val="FootnoteTextChar"/>
    <w:uiPriority w:val="99"/>
    <w:semiHidden/>
    <w:unhideWhenUsed/>
    <w:rsid w:val="0015194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51943"/>
    <w:rPr>
      <w:sz w:val="20"/>
      <w:szCs w:val="20"/>
    </w:rPr>
  </w:style>
  <w:style w:type="character" w:styleId="FootnoteReference">
    <w:name w:val="footnote reference"/>
    <w:basedOn w:val="DefaultParagraphFont"/>
    <w:uiPriority w:val="99"/>
    <w:semiHidden/>
    <w:unhideWhenUsed/>
    <w:rsid w:val="00151943"/>
    <w:rPr>
      <w:vertAlign w:val="superscript"/>
    </w:rPr>
  </w:style>
  <w:style w:type="paragraph" w:styleId="Header">
    <w:name w:val="header"/>
    <w:basedOn w:val="Normal"/>
    <w:link w:val="HeaderChar"/>
    <w:uiPriority w:val="99"/>
    <w:unhideWhenUsed/>
    <w:rsid w:val="00F749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49E4"/>
  </w:style>
  <w:style w:type="paragraph" w:styleId="Footer">
    <w:name w:val="footer"/>
    <w:basedOn w:val="Normal"/>
    <w:link w:val="FooterChar"/>
    <w:uiPriority w:val="99"/>
    <w:unhideWhenUsed/>
    <w:rsid w:val="00F749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49E4"/>
  </w:style>
  <w:style w:type="character" w:styleId="CommentReference">
    <w:name w:val="annotation reference"/>
    <w:basedOn w:val="DefaultParagraphFont"/>
    <w:uiPriority w:val="99"/>
    <w:semiHidden/>
    <w:unhideWhenUsed/>
    <w:rsid w:val="005E45A3"/>
    <w:rPr>
      <w:sz w:val="16"/>
      <w:szCs w:val="16"/>
    </w:rPr>
  </w:style>
  <w:style w:type="paragraph" w:styleId="CommentText">
    <w:name w:val="annotation text"/>
    <w:basedOn w:val="Normal"/>
    <w:link w:val="CommentTextChar"/>
    <w:uiPriority w:val="99"/>
    <w:semiHidden/>
    <w:unhideWhenUsed/>
    <w:rsid w:val="005E45A3"/>
    <w:pPr>
      <w:spacing w:line="240" w:lineRule="auto"/>
    </w:pPr>
    <w:rPr>
      <w:sz w:val="20"/>
      <w:szCs w:val="20"/>
    </w:rPr>
  </w:style>
  <w:style w:type="character" w:customStyle="1" w:styleId="CommentTextChar">
    <w:name w:val="Comment Text Char"/>
    <w:basedOn w:val="DefaultParagraphFont"/>
    <w:link w:val="CommentText"/>
    <w:uiPriority w:val="99"/>
    <w:semiHidden/>
    <w:rsid w:val="005E45A3"/>
    <w:rPr>
      <w:sz w:val="20"/>
      <w:szCs w:val="20"/>
    </w:rPr>
  </w:style>
  <w:style w:type="paragraph" w:styleId="CommentSubject">
    <w:name w:val="annotation subject"/>
    <w:basedOn w:val="CommentText"/>
    <w:next w:val="CommentText"/>
    <w:link w:val="CommentSubjectChar"/>
    <w:uiPriority w:val="99"/>
    <w:semiHidden/>
    <w:unhideWhenUsed/>
    <w:rsid w:val="005E45A3"/>
    <w:rPr>
      <w:b/>
      <w:bCs/>
    </w:rPr>
  </w:style>
  <w:style w:type="character" w:customStyle="1" w:styleId="CommentSubjectChar">
    <w:name w:val="Comment Subject Char"/>
    <w:basedOn w:val="CommentTextChar"/>
    <w:link w:val="CommentSubject"/>
    <w:uiPriority w:val="99"/>
    <w:semiHidden/>
    <w:rsid w:val="005E45A3"/>
    <w:rPr>
      <w:b/>
      <w:bCs/>
      <w:sz w:val="20"/>
      <w:szCs w:val="20"/>
    </w:rPr>
  </w:style>
  <w:style w:type="paragraph" w:styleId="BalloonText">
    <w:name w:val="Balloon Text"/>
    <w:basedOn w:val="Normal"/>
    <w:link w:val="BalloonTextChar"/>
    <w:uiPriority w:val="99"/>
    <w:semiHidden/>
    <w:unhideWhenUsed/>
    <w:rsid w:val="005E45A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45A3"/>
    <w:rPr>
      <w:rFonts w:ascii="Segoe UI" w:hAnsi="Segoe UI" w:cs="Segoe UI"/>
      <w:sz w:val="18"/>
      <w:szCs w:val="18"/>
    </w:rPr>
  </w:style>
  <w:style w:type="character" w:styleId="Hyperlink">
    <w:name w:val="Hyperlink"/>
    <w:basedOn w:val="DefaultParagraphFont"/>
    <w:uiPriority w:val="99"/>
    <w:unhideWhenUsed/>
    <w:rsid w:val="00106B10"/>
    <w:rPr>
      <w:color w:val="0563C1" w:themeColor="hyperlink"/>
      <w:u w:val="single"/>
    </w:rPr>
  </w:style>
  <w:style w:type="character" w:styleId="UnresolvedMention">
    <w:name w:val="Unresolved Mention"/>
    <w:basedOn w:val="DefaultParagraphFont"/>
    <w:uiPriority w:val="99"/>
    <w:semiHidden/>
    <w:unhideWhenUsed/>
    <w:rsid w:val="00106B10"/>
    <w:rPr>
      <w:color w:val="605E5C"/>
      <w:shd w:val="clear" w:color="auto" w:fill="E1DFDD"/>
    </w:rPr>
  </w:style>
  <w:style w:type="table" w:styleId="TableGrid">
    <w:name w:val="Table Grid"/>
    <w:basedOn w:val="TableNormal"/>
    <w:uiPriority w:val="39"/>
    <w:rsid w:val="001C2B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966664">
      <w:bodyDiv w:val="1"/>
      <w:marLeft w:val="0"/>
      <w:marRight w:val="0"/>
      <w:marTop w:val="0"/>
      <w:marBottom w:val="0"/>
      <w:divBdr>
        <w:top w:val="none" w:sz="0" w:space="0" w:color="auto"/>
        <w:left w:val="none" w:sz="0" w:space="0" w:color="auto"/>
        <w:bottom w:val="none" w:sz="0" w:space="0" w:color="auto"/>
        <w:right w:val="none" w:sz="0" w:space="0" w:color="auto"/>
      </w:divBdr>
    </w:div>
    <w:div w:id="406222472">
      <w:bodyDiv w:val="1"/>
      <w:marLeft w:val="0"/>
      <w:marRight w:val="0"/>
      <w:marTop w:val="0"/>
      <w:marBottom w:val="0"/>
      <w:divBdr>
        <w:top w:val="none" w:sz="0" w:space="0" w:color="auto"/>
        <w:left w:val="none" w:sz="0" w:space="0" w:color="auto"/>
        <w:bottom w:val="none" w:sz="0" w:space="0" w:color="auto"/>
        <w:right w:val="none" w:sz="0" w:space="0" w:color="auto"/>
      </w:divBdr>
      <w:divsChild>
        <w:div w:id="1087193560">
          <w:marLeft w:val="0"/>
          <w:marRight w:val="0"/>
          <w:marTop w:val="0"/>
          <w:marBottom w:val="0"/>
          <w:divBdr>
            <w:top w:val="none" w:sz="0" w:space="0" w:color="auto"/>
            <w:left w:val="none" w:sz="0" w:space="0" w:color="auto"/>
            <w:bottom w:val="none" w:sz="0" w:space="0" w:color="auto"/>
            <w:right w:val="none" w:sz="0" w:space="0" w:color="auto"/>
          </w:divBdr>
        </w:div>
      </w:divsChild>
    </w:div>
    <w:div w:id="480540109">
      <w:bodyDiv w:val="1"/>
      <w:marLeft w:val="0"/>
      <w:marRight w:val="0"/>
      <w:marTop w:val="0"/>
      <w:marBottom w:val="0"/>
      <w:divBdr>
        <w:top w:val="none" w:sz="0" w:space="0" w:color="auto"/>
        <w:left w:val="none" w:sz="0" w:space="0" w:color="auto"/>
        <w:bottom w:val="none" w:sz="0" w:space="0" w:color="auto"/>
        <w:right w:val="none" w:sz="0" w:space="0" w:color="auto"/>
      </w:divBdr>
      <w:divsChild>
        <w:div w:id="1726447115">
          <w:marLeft w:val="0"/>
          <w:marRight w:val="0"/>
          <w:marTop w:val="0"/>
          <w:marBottom w:val="0"/>
          <w:divBdr>
            <w:top w:val="none" w:sz="0" w:space="0" w:color="auto"/>
            <w:left w:val="none" w:sz="0" w:space="0" w:color="auto"/>
            <w:bottom w:val="none" w:sz="0" w:space="0" w:color="auto"/>
            <w:right w:val="none" w:sz="0" w:space="0" w:color="auto"/>
          </w:divBdr>
          <w:divsChild>
            <w:div w:id="711460070">
              <w:marLeft w:val="0"/>
              <w:marRight w:val="0"/>
              <w:marTop w:val="0"/>
              <w:marBottom w:val="0"/>
              <w:divBdr>
                <w:top w:val="none" w:sz="0" w:space="0" w:color="auto"/>
                <w:left w:val="none" w:sz="0" w:space="0" w:color="auto"/>
                <w:bottom w:val="none" w:sz="0" w:space="0" w:color="auto"/>
                <w:right w:val="none" w:sz="0" w:space="0" w:color="auto"/>
              </w:divBdr>
              <w:divsChild>
                <w:div w:id="1987852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8350088">
      <w:bodyDiv w:val="1"/>
      <w:marLeft w:val="0"/>
      <w:marRight w:val="0"/>
      <w:marTop w:val="0"/>
      <w:marBottom w:val="0"/>
      <w:divBdr>
        <w:top w:val="none" w:sz="0" w:space="0" w:color="auto"/>
        <w:left w:val="none" w:sz="0" w:space="0" w:color="auto"/>
        <w:bottom w:val="none" w:sz="0" w:space="0" w:color="auto"/>
        <w:right w:val="none" w:sz="0" w:space="0" w:color="auto"/>
      </w:divBdr>
      <w:divsChild>
        <w:div w:id="415325128">
          <w:marLeft w:val="0"/>
          <w:marRight w:val="0"/>
          <w:marTop w:val="0"/>
          <w:marBottom w:val="0"/>
          <w:divBdr>
            <w:top w:val="none" w:sz="0" w:space="0" w:color="auto"/>
            <w:left w:val="none" w:sz="0" w:space="0" w:color="auto"/>
            <w:bottom w:val="none" w:sz="0" w:space="0" w:color="auto"/>
            <w:right w:val="none" w:sz="0" w:space="0" w:color="auto"/>
          </w:divBdr>
        </w:div>
      </w:divsChild>
    </w:div>
    <w:div w:id="1245648212">
      <w:bodyDiv w:val="1"/>
      <w:marLeft w:val="0"/>
      <w:marRight w:val="0"/>
      <w:marTop w:val="0"/>
      <w:marBottom w:val="0"/>
      <w:divBdr>
        <w:top w:val="none" w:sz="0" w:space="0" w:color="auto"/>
        <w:left w:val="none" w:sz="0" w:space="0" w:color="auto"/>
        <w:bottom w:val="none" w:sz="0" w:space="0" w:color="auto"/>
        <w:right w:val="none" w:sz="0" w:space="0" w:color="auto"/>
      </w:divBdr>
      <w:divsChild>
        <w:div w:id="1245725005">
          <w:marLeft w:val="0"/>
          <w:marRight w:val="0"/>
          <w:marTop w:val="0"/>
          <w:marBottom w:val="0"/>
          <w:divBdr>
            <w:top w:val="none" w:sz="0" w:space="0" w:color="auto"/>
            <w:left w:val="none" w:sz="0" w:space="0" w:color="auto"/>
            <w:bottom w:val="none" w:sz="0" w:space="0" w:color="auto"/>
            <w:right w:val="none" w:sz="0" w:space="0" w:color="auto"/>
          </w:divBdr>
          <w:divsChild>
            <w:div w:id="1448349025">
              <w:marLeft w:val="0"/>
              <w:marRight w:val="0"/>
              <w:marTop w:val="0"/>
              <w:marBottom w:val="0"/>
              <w:divBdr>
                <w:top w:val="none" w:sz="0" w:space="0" w:color="auto"/>
                <w:left w:val="none" w:sz="0" w:space="0" w:color="auto"/>
                <w:bottom w:val="none" w:sz="0" w:space="0" w:color="auto"/>
                <w:right w:val="none" w:sz="0" w:space="0" w:color="auto"/>
              </w:divBdr>
              <w:divsChild>
                <w:div w:id="705302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9888948">
      <w:bodyDiv w:val="1"/>
      <w:marLeft w:val="0"/>
      <w:marRight w:val="0"/>
      <w:marTop w:val="0"/>
      <w:marBottom w:val="0"/>
      <w:divBdr>
        <w:top w:val="none" w:sz="0" w:space="0" w:color="auto"/>
        <w:left w:val="none" w:sz="0" w:space="0" w:color="auto"/>
        <w:bottom w:val="none" w:sz="0" w:space="0" w:color="auto"/>
        <w:right w:val="none" w:sz="0" w:space="0" w:color="auto"/>
      </w:divBdr>
      <w:divsChild>
        <w:div w:id="1936858981">
          <w:marLeft w:val="0"/>
          <w:marRight w:val="0"/>
          <w:marTop w:val="0"/>
          <w:marBottom w:val="0"/>
          <w:divBdr>
            <w:top w:val="none" w:sz="0" w:space="0" w:color="auto"/>
            <w:left w:val="none" w:sz="0" w:space="0" w:color="auto"/>
            <w:bottom w:val="none" w:sz="0" w:space="0" w:color="auto"/>
            <w:right w:val="none" w:sz="0" w:space="0" w:color="auto"/>
          </w:divBdr>
          <w:divsChild>
            <w:div w:id="948925147">
              <w:marLeft w:val="0"/>
              <w:marRight w:val="0"/>
              <w:marTop w:val="0"/>
              <w:marBottom w:val="0"/>
              <w:divBdr>
                <w:top w:val="none" w:sz="0" w:space="0" w:color="auto"/>
                <w:left w:val="none" w:sz="0" w:space="0" w:color="auto"/>
                <w:bottom w:val="none" w:sz="0" w:space="0" w:color="auto"/>
                <w:right w:val="none" w:sz="0" w:space="0" w:color="auto"/>
              </w:divBdr>
              <w:divsChild>
                <w:div w:id="33923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4296689">
      <w:bodyDiv w:val="1"/>
      <w:marLeft w:val="0"/>
      <w:marRight w:val="0"/>
      <w:marTop w:val="0"/>
      <w:marBottom w:val="0"/>
      <w:divBdr>
        <w:top w:val="none" w:sz="0" w:space="0" w:color="auto"/>
        <w:left w:val="none" w:sz="0" w:space="0" w:color="auto"/>
        <w:bottom w:val="none" w:sz="0" w:space="0" w:color="auto"/>
        <w:right w:val="none" w:sz="0" w:space="0" w:color="auto"/>
      </w:divBdr>
    </w:div>
    <w:div w:id="2081324230">
      <w:bodyDiv w:val="1"/>
      <w:marLeft w:val="0"/>
      <w:marRight w:val="0"/>
      <w:marTop w:val="0"/>
      <w:marBottom w:val="0"/>
      <w:divBdr>
        <w:top w:val="none" w:sz="0" w:space="0" w:color="auto"/>
        <w:left w:val="none" w:sz="0" w:space="0" w:color="auto"/>
        <w:bottom w:val="none" w:sz="0" w:space="0" w:color="auto"/>
        <w:right w:val="none" w:sz="0" w:space="0" w:color="auto"/>
      </w:divBdr>
      <w:divsChild>
        <w:div w:id="952395319">
          <w:marLeft w:val="0"/>
          <w:marRight w:val="0"/>
          <w:marTop w:val="0"/>
          <w:marBottom w:val="0"/>
          <w:divBdr>
            <w:top w:val="none" w:sz="0" w:space="0" w:color="auto"/>
            <w:left w:val="none" w:sz="0" w:space="0" w:color="auto"/>
            <w:bottom w:val="none" w:sz="0" w:space="0" w:color="auto"/>
            <w:right w:val="none" w:sz="0" w:space="0" w:color="auto"/>
          </w:divBdr>
          <w:divsChild>
            <w:div w:id="1120687004">
              <w:marLeft w:val="0"/>
              <w:marRight w:val="0"/>
              <w:marTop w:val="0"/>
              <w:marBottom w:val="0"/>
              <w:divBdr>
                <w:top w:val="none" w:sz="0" w:space="0" w:color="auto"/>
                <w:left w:val="none" w:sz="0" w:space="0" w:color="auto"/>
                <w:bottom w:val="none" w:sz="0" w:space="0" w:color="auto"/>
                <w:right w:val="none" w:sz="0" w:space="0" w:color="auto"/>
              </w:divBdr>
              <w:divsChild>
                <w:div w:id="622004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01306795-662B-48B3-B870-F8666BD61A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10495</TotalTime>
  <Pages>25</Pages>
  <Words>5923</Words>
  <Characters>33765</Characters>
  <Application>Microsoft Office Word</Application>
  <DocSecurity>0</DocSecurity>
  <Lines>281</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Corp</dc:creator>
  <cp:keywords/>
  <dc:description/>
  <cp:lastModifiedBy>Jack Corp</cp:lastModifiedBy>
  <cp:revision>5028</cp:revision>
  <dcterms:created xsi:type="dcterms:W3CDTF">2020-11-03T08:09:00Z</dcterms:created>
  <dcterms:modified xsi:type="dcterms:W3CDTF">2021-12-09T18:30:00Z</dcterms:modified>
</cp:coreProperties>
</file>