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B7EA" w14:textId="77777777" w:rsidR="00D3353B" w:rsidRDefault="008C2EEF" w:rsidP="00207107">
      <w:pPr>
        <w:spacing w:after="0" w:line="480" w:lineRule="auto"/>
        <w:ind w:firstLine="720"/>
      </w:pPr>
      <w:r w:rsidRPr="008C2EEF">
        <w:t>In 811, after several years of violent skirmishes with Danish pirates, a sick and weary Charlemagne asked, “are we really Christians?”</w:t>
      </w:r>
      <w:r w:rsidRPr="008C2EEF">
        <w:rPr>
          <w:vertAlign w:val="superscript"/>
        </w:rPr>
        <w:footnoteReference w:id="1"/>
      </w:r>
      <w:r w:rsidRPr="008C2EEF">
        <w:t xml:space="preserve"> Religious diversity was not a trait of the Carolingian world. Paganism diminished with every conquest, Muslim communities remained isolated near the Pyrenees, and Jewish populations lacked the privileges afforded to their Christian counterparts.</w:t>
      </w:r>
      <w:r w:rsidRPr="008C2EEF">
        <w:rPr>
          <w:vertAlign w:val="superscript"/>
        </w:rPr>
        <w:footnoteReference w:id="2"/>
      </w:r>
      <w:r w:rsidRPr="008C2EEF">
        <w:t xml:space="preserve"> Modern answers split on whether the word “religion” has any meaning at all. Religious studies scholars, like Jonathan Z. Smith, </w:t>
      </w:r>
      <w:r w:rsidR="00544453">
        <w:t xml:space="preserve">for example, </w:t>
      </w:r>
      <w:r w:rsidRPr="008C2EEF">
        <w:t>claim that religion has no existence outside academic scholarship.</w:t>
      </w:r>
      <w:r w:rsidRPr="008C2EEF">
        <w:rPr>
          <w:vertAlign w:val="superscript"/>
        </w:rPr>
        <w:footnoteReference w:id="3"/>
      </w:r>
      <w:r w:rsidRPr="008C2EEF">
        <w:t xml:space="preserve"> Smith furthers that </w:t>
      </w:r>
      <w:r w:rsidR="00607051">
        <w:t xml:space="preserve">scholars engage in </w:t>
      </w:r>
      <w:r w:rsidR="008F78A2">
        <w:t>“</w:t>
      </w:r>
      <w:r w:rsidRPr="008C2EEF">
        <w:t>imaginative acts of comparison and generalization</w:t>
      </w:r>
      <w:r w:rsidR="008F78A2">
        <w:t xml:space="preserve">” </w:t>
      </w:r>
      <w:r w:rsidR="00607051">
        <w:t>to create</w:t>
      </w:r>
      <w:r w:rsidRPr="008C2EEF">
        <w:t xml:space="preserve"> religion for </w:t>
      </w:r>
      <w:r w:rsidR="008E3AED">
        <w:t>academic purposes</w:t>
      </w:r>
      <w:r w:rsidRPr="008C2EEF">
        <w:t>; in other words, it is little more than an analytical tool.</w:t>
      </w:r>
      <w:r w:rsidRPr="008C2EEF">
        <w:rPr>
          <w:vertAlign w:val="superscript"/>
        </w:rPr>
        <w:footnoteReference w:id="4"/>
      </w:r>
      <w:r w:rsidRPr="008C2EEF">
        <w:t xml:space="preserve"> </w:t>
      </w:r>
    </w:p>
    <w:p w14:paraId="7CB1B77D" w14:textId="083C915D" w:rsidR="00E23C7B" w:rsidRPr="00AB2C38" w:rsidRDefault="00FF61BA" w:rsidP="00207107">
      <w:pPr>
        <w:spacing w:after="0" w:line="480" w:lineRule="auto"/>
        <w:ind w:firstLine="720"/>
      </w:pPr>
      <w:r>
        <w:t>T</w:t>
      </w:r>
      <w:r w:rsidR="000C62B7">
        <w:t>he task of this thesis</w:t>
      </w:r>
      <w:r w:rsidR="00E13FF6">
        <w:t>, however,</w:t>
      </w:r>
      <w:r w:rsidR="000C62B7">
        <w:t xml:space="preserve"> is not to theorize religion but to historicize Carolingian Christianity</w:t>
      </w:r>
      <w:r w:rsidR="00AA7FE2">
        <w:t xml:space="preserve"> </w:t>
      </w:r>
      <w:r w:rsidR="00A75211">
        <w:t>as it</w:t>
      </w:r>
      <w:r w:rsidR="00E5705A">
        <w:t xml:space="preserve"> manifested in</w:t>
      </w:r>
      <w:r w:rsidR="0082414C">
        <w:t xml:space="preserve"> rural communities</w:t>
      </w:r>
      <w:r w:rsidR="000C62B7">
        <w:t xml:space="preserve">. </w:t>
      </w:r>
      <w:r w:rsidR="008C2EEF" w:rsidRPr="008C2EEF">
        <w:t xml:space="preserve">Marios Costambeys, Matthew Innes, and Simon MacLean, </w:t>
      </w:r>
      <w:r w:rsidR="00831437">
        <w:t xml:space="preserve">in their expansive survey, </w:t>
      </w:r>
      <w:r w:rsidR="00831437">
        <w:rPr>
          <w:i/>
          <w:iCs/>
        </w:rPr>
        <w:t>The Carolingian World</w:t>
      </w:r>
      <w:r w:rsidR="00831437">
        <w:t xml:space="preserve">, </w:t>
      </w:r>
      <w:r w:rsidR="00BD0466">
        <w:t xml:space="preserve">synthesize </w:t>
      </w:r>
      <w:r w:rsidR="00E604B1">
        <w:t>a vast body of modern scholarship and source material in the most up-to-date survey of the age.</w:t>
      </w:r>
      <w:r w:rsidR="00D54F8E">
        <w:t xml:space="preserve"> Not unlike Smith</w:t>
      </w:r>
      <w:r w:rsidR="00336525">
        <w:t xml:space="preserve">’s </w:t>
      </w:r>
      <w:r w:rsidR="005A20F0">
        <w:t xml:space="preserve">suspicions about </w:t>
      </w:r>
      <w:r w:rsidR="00FE77A5">
        <w:t>“religion,”</w:t>
      </w:r>
      <w:r w:rsidR="00D54F8E">
        <w:t xml:space="preserve"> </w:t>
      </w:r>
      <w:proofErr w:type="spellStart"/>
      <w:r w:rsidR="00D54F8E">
        <w:t>Costembeys</w:t>
      </w:r>
      <w:proofErr w:type="spellEnd"/>
      <w:r w:rsidR="00D54F8E">
        <w:t xml:space="preserve">, Innes, and MacLean are </w:t>
      </w:r>
      <w:r w:rsidR="000A284D">
        <w:t>wary</w:t>
      </w:r>
      <w:r w:rsidR="00D54F8E">
        <w:t xml:space="preserve"> of </w:t>
      </w:r>
      <w:r w:rsidR="005E18FB">
        <w:t>a</w:t>
      </w:r>
      <w:r w:rsidR="0057776D">
        <w:t>ny detailed outline of a Carolingian faith.</w:t>
      </w:r>
      <w:r w:rsidR="00E604B1">
        <w:t xml:space="preserve"> </w:t>
      </w:r>
      <w:r w:rsidR="00530A68">
        <w:t>Within the empire</w:t>
      </w:r>
      <w:r w:rsidR="00E15191">
        <w:t xml:space="preserve">, </w:t>
      </w:r>
      <w:r w:rsidR="00FB53DE">
        <w:t>“</w:t>
      </w:r>
      <w:r w:rsidR="00530A68">
        <w:t>there was not one Christianity, but many Christianities, not one Church, but many churche</w:t>
      </w:r>
      <w:r w:rsidR="007761A7">
        <w:t>s</w:t>
      </w:r>
      <w:r w:rsidR="00530A68">
        <w:t>.</w:t>
      </w:r>
      <w:r w:rsidR="007761A7">
        <w:t>”</w:t>
      </w:r>
      <w:r w:rsidR="00A74A89" w:rsidRPr="00A74A89">
        <w:rPr>
          <w:vertAlign w:val="superscript"/>
        </w:rPr>
        <w:t xml:space="preserve"> </w:t>
      </w:r>
      <w:r w:rsidR="00A74A89" w:rsidRPr="008C2EEF">
        <w:rPr>
          <w:vertAlign w:val="superscript"/>
        </w:rPr>
        <w:footnoteReference w:id="5"/>
      </w:r>
      <w:r w:rsidR="00A74A89" w:rsidRPr="008C2EEF">
        <w:t xml:space="preserve"> </w:t>
      </w:r>
      <w:r w:rsidR="001207B3">
        <w:t>Emerging genres of religious writing, namely hagiography</w:t>
      </w:r>
      <w:r w:rsidR="00ED5415">
        <w:t xml:space="preserve">, </w:t>
      </w:r>
      <w:r w:rsidR="006C09F4">
        <w:t xml:space="preserve">stressed that </w:t>
      </w:r>
      <w:r w:rsidR="00F403DB">
        <w:t xml:space="preserve">belief was </w:t>
      </w:r>
      <w:r w:rsidR="0095191C">
        <w:t xml:space="preserve">a matter of external practices rather than </w:t>
      </w:r>
      <w:r w:rsidR="00354368">
        <w:t>of internal mentality</w:t>
      </w:r>
      <w:r w:rsidR="007D616D">
        <w:t xml:space="preserve">, </w:t>
      </w:r>
      <w:r w:rsidR="007D616D" w:rsidRPr="008C2EEF">
        <w:t>where any sense of collectivity derive</w:t>
      </w:r>
      <w:r w:rsidR="003F30EE">
        <w:t>d</w:t>
      </w:r>
      <w:r w:rsidR="007D616D" w:rsidRPr="008C2EEF">
        <w:t xml:space="preserve"> itself from </w:t>
      </w:r>
      <w:r w:rsidR="007D616D">
        <w:t xml:space="preserve">the patterns </w:t>
      </w:r>
      <w:r w:rsidR="00E7650D">
        <w:t xml:space="preserve">of religious behavior adopted by </w:t>
      </w:r>
      <w:r w:rsidR="007D616D">
        <w:t>a community</w:t>
      </w:r>
      <w:r w:rsidR="00E7650D">
        <w:t>.</w:t>
      </w:r>
      <w:r w:rsidR="00DA4CE7">
        <w:rPr>
          <w:rStyle w:val="FootnoteReference"/>
        </w:rPr>
        <w:footnoteReference w:id="6"/>
      </w:r>
      <w:r w:rsidR="00096748">
        <w:t xml:space="preserve"> </w:t>
      </w:r>
      <w:r w:rsidR="0056122F">
        <w:t xml:space="preserve">Such genres </w:t>
      </w:r>
      <w:r w:rsidR="009D171D">
        <w:t xml:space="preserve">marked a disinterest in the precise </w:t>
      </w:r>
      <w:r w:rsidR="009D171D">
        <w:rPr>
          <w:i/>
          <w:iCs/>
        </w:rPr>
        <w:t xml:space="preserve">nature </w:t>
      </w:r>
      <w:r w:rsidR="009D171D">
        <w:t>of the divine</w:t>
      </w:r>
      <w:r w:rsidR="00224AE7">
        <w:t>, and instead a preference</w:t>
      </w:r>
      <w:r w:rsidR="00687185">
        <w:t xml:space="preserve"> for </w:t>
      </w:r>
      <w:r w:rsidR="00C537E8">
        <w:t xml:space="preserve">revealing the </w:t>
      </w:r>
      <w:r w:rsidR="00C537E8">
        <w:rPr>
          <w:i/>
          <w:iCs/>
        </w:rPr>
        <w:t>presence</w:t>
      </w:r>
      <w:r w:rsidR="00C537E8">
        <w:t xml:space="preserve"> of the divine in this world, and on the steps </w:t>
      </w:r>
      <w:r w:rsidR="00C537E8">
        <w:lastRenderedPageBreak/>
        <w:t>believers “might take to touch it, in both the here-and-now and the hereafter.”</w:t>
      </w:r>
      <w:r w:rsidR="00411E3B">
        <w:rPr>
          <w:rStyle w:val="FootnoteReference"/>
        </w:rPr>
        <w:footnoteReference w:id="7"/>
      </w:r>
      <w:r w:rsidR="00914FFE">
        <w:t xml:space="preserve"> Through wars of conquest and conversion, </w:t>
      </w:r>
      <w:r w:rsidR="00AB2C38">
        <w:t xml:space="preserve">an </w:t>
      </w:r>
      <w:r w:rsidR="003B6578">
        <w:t>obsessive</w:t>
      </w:r>
      <w:r w:rsidR="00AB2C38">
        <w:t xml:space="preserve"> attention to </w:t>
      </w:r>
      <w:r w:rsidR="00AB2C38">
        <w:rPr>
          <w:i/>
          <w:iCs/>
        </w:rPr>
        <w:t>correctio</w:t>
      </w:r>
      <w:r w:rsidR="00AB2C38">
        <w:t xml:space="preserve">, </w:t>
      </w:r>
      <w:r w:rsidR="001D7098">
        <w:t xml:space="preserve">and the </w:t>
      </w:r>
      <w:r w:rsidR="000734A1">
        <w:t>proliferation</w:t>
      </w:r>
      <w:r w:rsidR="00F21B32">
        <w:t xml:space="preserve"> of </w:t>
      </w:r>
      <w:r w:rsidR="000734A1">
        <w:t xml:space="preserve">the Carolingian Church’s </w:t>
      </w:r>
      <w:r w:rsidR="00F76094">
        <w:t xml:space="preserve">institutional profile – its buildings, its personnel, their organization </w:t>
      </w:r>
      <w:r w:rsidR="00DD3E67">
        <w:t>–</w:t>
      </w:r>
      <w:r w:rsidR="00F76094">
        <w:t xml:space="preserve"> </w:t>
      </w:r>
      <w:r w:rsidR="00DD3E67">
        <w:t xml:space="preserve">across </w:t>
      </w:r>
      <w:r w:rsidR="000761D2">
        <w:t xml:space="preserve">the empire, </w:t>
      </w:r>
      <w:r w:rsidR="008A482B">
        <w:t xml:space="preserve">the Carolingians </w:t>
      </w:r>
      <w:r w:rsidR="00B56497">
        <w:t xml:space="preserve">formed </w:t>
      </w:r>
      <w:r w:rsidR="004D0AC1">
        <w:t xml:space="preserve">an </w:t>
      </w:r>
      <w:r w:rsidR="003625F8">
        <w:t>symbiosis of the secular and the ecclesiastical.</w:t>
      </w:r>
      <w:r w:rsidR="003625F8">
        <w:rPr>
          <w:rStyle w:val="FootnoteReference"/>
        </w:rPr>
        <w:footnoteReference w:id="8"/>
      </w:r>
      <w:r w:rsidR="004D0AC1">
        <w:t xml:space="preserve"> </w:t>
      </w:r>
      <w:r w:rsidR="00C318C0" w:rsidRPr="00C318C0">
        <w:t/>
      </w:r>
    </w:p>
    <w:p w14:paraId="5EA54877" w14:textId="58CB0523" w:rsidR="00BF27B3" w:rsidRPr="008C2EEF" w:rsidRDefault="00BF27B3" w:rsidP="00207107">
      <w:pPr>
        <w:spacing w:after="0" w:line="480" w:lineRule="auto"/>
      </w:pPr>
      <w:r>
        <w:t>Historian Thomas F. X. Noble, drawing from the more “practical views” of Martin Marty’s six marks of religion, characterizes Carolingian Christianity as a distinct religious identity.</w:t>
      </w:r>
      <w:r>
        <w:rPr>
          <w:rStyle w:val="FootnoteReference"/>
        </w:rPr>
        <w:footnoteReference w:id="9"/>
      </w:r>
      <w:r>
        <w:t xml:space="preserve"> He suggests, as a broad interpretive framework, that Carolingian religion was unifying, specifying, and sanctifying. </w:t>
      </w:r>
      <w:r w:rsidR="00C2307F">
        <w:t xml:space="preserve">Noble forwards a bolder claim than </w:t>
      </w:r>
      <w:r w:rsidR="00C2307F" w:rsidRPr="008C2EEF">
        <w:t>Costambeys, Innes, and MacLean</w:t>
      </w:r>
      <w:r w:rsidR="00C2307F">
        <w:t>, arguing that the Carolingians gathered the “many Christianities” into one meaningful whole.</w:t>
      </w:r>
      <w:r w:rsidR="00C2307F">
        <w:rPr>
          <w:rStyle w:val="FootnoteReference"/>
        </w:rPr>
        <w:footnoteReference w:id="10"/>
      </w:r>
      <w:r w:rsidR="004F495B">
        <w:t xml:space="preserve"> </w:t>
      </w:r>
      <w:r>
        <w:t>A key dimension of Carolingian efforts at Christianization was that becoming Christian “meant discovering oneself the heir and beneficiary of and participant in a new history.”</w:t>
      </w:r>
      <w:r>
        <w:rPr>
          <w:rStyle w:val="FootnoteReference"/>
        </w:rPr>
        <w:footnoteReference w:id="11"/>
      </w:r>
      <w:r>
        <w:t xml:space="preserve"> This vertical dimension of Carolingian religion, withs its emphasis on history and tradition, also manifested across social divisions. Religious life in the Carolingian world, argues Noble, was set in the </w:t>
      </w:r>
      <w:r w:rsidR="006A0FCC">
        <w:t>royal</w:t>
      </w:r>
      <w:r w:rsidR="00F93D2C">
        <w:t xml:space="preserve"> </w:t>
      </w:r>
      <w:r w:rsidR="001C1CB8">
        <w:t xml:space="preserve">and imperial </w:t>
      </w:r>
      <w:r w:rsidR="00F93D2C">
        <w:t>court</w:t>
      </w:r>
      <w:r>
        <w:t>, where bishops contributed to plans for reform and renewal.</w:t>
      </w:r>
      <w:r>
        <w:rPr>
          <w:rStyle w:val="FootnoteReference"/>
        </w:rPr>
        <w:footnoteReference w:id="12"/>
      </w:r>
      <w:r>
        <w:t xml:space="preserve"> These plans promoted the expansion of education and committed the Carolingians to a standard of rightness. Clerical and ruling elites demanded norms, specifying proper religious behavior almost anywhere one cared to look. Charlemagne standardized liturgical chants; scholars produced guidebooks for kings, priests, and laymen; Louis the Pious regulated the use of images in the church; and a circular letter disseminated by the court required more than sixty-one bishops to </w:t>
      </w:r>
      <w:r>
        <w:lastRenderedPageBreak/>
        <w:t>detail the practice of baptism.</w:t>
      </w:r>
      <w:r>
        <w:rPr>
          <w:rStyle w:val="FootnoteReference"/>
        </w:rPr>
        <w:footnoteReference w:id="13"/>
      </w:r>
      <w:r>
        <w:t xml:space="preserve"> These attempts to establish a norm of rectitude were fundamental to the definitive Carolingian project: the creation of Christendom</w:t>
      </w:r>
      <w:r w:rsidR="00C85ACE">
        <w:t xml:space="preserve"> dependent on </w:t>
      </w:r>
      <w:r w:rsidR="005D4ABE">
        <w:t xml:space="preserve">a collective </w:t>
      </w:r>
      <w:r w:rsidR="00F5753E">
        <w:t>program of religious teaching and reform</w:t>
      </w:r>
      <w:r w:rsidR="00F17FEB">
        <w:t>.</w:t>
      </w:r>
    </w:p>
    <w:p w14:paraId="675521BD" w14:textId="77777777" w:rsidR="00253CAD" w:rsidRDefault="0081079C" w:rsidP="00207107">
      <w:pPr>
        <w:spacing w:after="0" w:line="480" w:lineRule="auto"/>
        <w:ind w:firstLine="720"/>
      </w:pPr>
      <w:r>
        <w:t xml:space="preserve">A bridge between the </w:t>
      </w:r>
      <w:r w:rsidR="00793F7F">
        <w:t xml:space="preserve">near structural-functionalist </w:t>
      </w:r>
      <w:r w:rsidR="00305DE2">
        <w:t xml:space="preserve">religion of </w:t>
      </w:r>
      <w:r w:rsidR="00305DE2" w:rsidRPr="00305DE2">
        <w:t>Costambeys, Innes, and MacLean</w:t>
      </w:r>
      <w:r w:rsidR="003F307C">
        <w:t xml:space="preserve">, and the </w:t>
      </w:r>
      <w:r w:rsidR="00374E10">
        <w:t xml:space="preserve">exacting, </w:t>
      </w:r>
      <w:r w:rsidR="00530BF6">
        <w:t xml:space="preserve">unitive glue of </w:t>
      </w:r>
      <w:r w:rsidR="00D545CE">
        <w:t xml:space="preserve">Noble’s </w:t>
      </w:r>
      <w:r w:rsidR="0019426D">
        <w:t xml:space="preserve">Carolingian Church, </w:t>
      </w:r>
      <w:r w:rsidR="008C2EEF" w:rsidRPr="008C2EEF">
        <w:t>Mayke de Jong</w:t>
      </w:r>
      <w:r w:rsidR="00AD641F">
        <w:t xml:space="preserve">’s </w:t>
      </w:r>
      <w:r w:rsidR="00AD641F" w:rsidRPr="008C2EEF">
        <w:rPr>
          <w:i/>
          <w:iCs/>
        </w:rPr>
        <w:t>The Penitential State</w:t>
      </w:r>
      <w:r w:rsidR="00176D91">
        <w:rPr>
          <w:i/>
          <w:iCs/>
        </w:rPr>
        <w:t xml:space="preserve"> </w:t>
      </w:r>
      <w:r w:rsidR="004C3253">
        <w:t xml:space="preserve">anchors the discussion around </w:t>
      </w:r>
      <w:r w:rsidR="00C548FC">
        <w:t xml:space="preserve">Emperor Louis the Pious’ public penance in 833. </w:t>
      </w:r>
      <w:r w:rsidR="001338C0">
        <w:t xml:space="preserve">De Jong’s meticulous research </w:t>
      </w:r>
      <w:r w:rsidR="00AA01E4">
        <w:t xml:space="preserve">contests the master-narrative of </w:t>
      </w:r>
      <w:r w:rsidR="00355D29">
        <w:t xml:space="preserve">imperial decline </w:t>
      </w:r>
      <w:r w:rsidR="00F53109">
        <w:t>that locate</w:t>
      </w:r>
      <w:r w:rsidR="00C52F62">
        <w:t>s</w:t>
      </w:r>
      <w:r w:rsidR="00F53109">
        <w:t xml:space="preserve"> </w:t>
      </w:r>
      <w:r w:rsidR="000D2500">
        <w:t xml:space="preserve">Louis’ </w:t>
      </w:r>
      <w:r w:rsidR="0092726E">
        <w:t xml:space="preserve">action </w:t>
      </w:r>
      <w:r w:rsidR="00271E6A">
        <w:t xml:space="preserve">at Soissons as </w:t>
      </w:r>
      <w:r w:rsidR="007E1E91">
        <w:t>its cause</w:t>
      </w:r>
      <w:r w:rsidR="005A0F44">
        <w:t xml:space="preserve">. </w:t>
      </w:r>
      <w:r w:rsidR="009B4E98">
        <w:t xml:space="preserve">Instead, de Jong </w:t>
      </w:r>
      <w:r w:rsidR="005E207B">
        <w:t>examines</w:t>
      </w:r>
      <w:r w:rsidR="00F94D30">
        <w:t xml:space="preserve"> </w:t>
      </w:r>
      <w:r w:rsidR="005E207B">
        <w:t xml:space="preserve">the </w:t>
      </w:r>
      <w:r w:rsidR="00F94D30">
        <w:t xml:space="preserve">practice of penance </w:t>
      </w:r>
      <w:r w:rsidR="005E207B">
        <w:t xml:space="preserve">with reference to </w:t>
      </w:r>
      <w:r w:rsidR="00F94D30">
        <w:t>the entire political structure and ideology of Carolingian Francia</w:t>
      </w:r>
      <w:r w:rsidR="004B5404">
        <w:t>; a form of power</w:t>
      </w:r>
      <w:r w:rsidR="00BA1C49">
        <w:t xml:space="preserve"> </w:t>
      </w:r>
      <w:r w:rsidR="00414E77">
        <w:t xml:space="preserve">reliant on </w:t>
      </w:r>
      <w:r w:rsidR="00951CEE">
        <w:t xml:space="preserve">notions </w:t>
      </w:r>
      <w:r w:rsidR="00414E77">
        <w:t>of sin</w:t>
      </w:r>
      <w:r w:rsidR="00951CEE">
        <w:t xml:space="preserve"> </w:t>
      </w:r>
      <w:r w:rsidR="00414E77">
        <w:t xml:space="preserve">and atonement, and </w:t>
      </w:r>
      <w:r w:rsidR="00951CEE">
        <w:t xml:space="preserve">drawing from the Carolingian vocabulary of </w:t>
      </w:r>
      <w:r w:rsidR="00951CEE">
        <w:rPr>
          <w:i/>
          <w:iCs/>
        </w:rPr>
        <w:t xml:space="preserve">correctio, admonition, </w:t>
      </w:r>
      <w:r w:rsidR="00951CEE">
        <w:t xml:space="preserve">and </w:t>
      </w:r>
      <w:r w:rsidR="00951CEE">
        <w:rPr>
          <w:i/>
          <w:iCs/>
        </w:rPr>
        <w:t>correptio</w:t>
      </w:r>
      <w:r w:rsidR="00951CEE">
        <w:t xml:space="preserve">. </w:t>
      </w:r>
      <w:r w:rsidR="008C2EEF" w:rsidRPr="008C2EEF">
        <w:t>Surrounded by military and personal scandal, Louis “inaugurated a new wave of imperial confidence” by leading the way in penance, correction, and reconciliation with God.</w:t>
      </w:r>
      <w:r w:rsidR="008C2EEF" w:rsidRPr="008C2EEF">
        <w:rPr>
          <w:vertAlign w:val="superscript"/>
        </w:rPr>
        <w:footnoteReference w:id="14"/>
      </w:r>
      <w:r w:rsidR="008C2EEF" w:rsidRPr="008C2EEF">
        <w:t xml:space="preserve"> Public penance </w:t>
      </w:r>
      <w:r w:rsidR="00BC1D47">
        <w:t>rendered</w:t>
      </w:r>
      <w:r w:rsidR="009E2BDE">
        <w:t xml:space="preserve"> Louis</w:t>
      </w:r>
      <w:r w:rsidR="008C2EEF" w:rsidRPr="008C2EEF">
        <w:t xml:space="preserve"> the minister of the kingdom and caretaker of the church</w:t>
      </w:r>
      <w:r w:rsidR="009E2BDE">
        <w:t xml:space="preserve">: a divine authority </w:t>
      </w:r>
      <w:r w:rsidR="001F3C0E">
        <w:t xml:space="preserve">that </w:t>
      </w:r>
      <w:r w:rsidR="008C2EEF" w:rsidRPr="008C2EEF">
        <w:t>empowered all ecclesiastical and secular leaders</w:t>
      </w:r>
      <w:r w:rsidR="00FA3F15">
        <w:t xml:space="preserve">. Religious ritual became the </w:t>
      </w:r>
      <w:r w:rsidR="008C2EEF" w:rsidRPr="008C2EEF">
        <w:t>primary tactic to address conflict, crisis, and questions of loyalty.</w:t>
      </w:r>
      <w:r w:rsidR="008C2EEF" w:rsidRPr="008C2EEF">
        <w:rPr>
          <w:vertAlign w:val="superscript"/>
        </w:rPr>
        <w:footnoteReference w:id="15"/>
      </w:r>
      <w:r w:rsidR="008C2EEF" w:rsidRPr="008C2EEF">
        <w:t xml:space="preserve"> By involving every inhabitant of the empire in this atonement, Louis interlocked the political and religious worlds. It ordered the realm into a unique polity that fused religious rituals with public office, a penitential state organized by a need to combat the collective sins of the empire, “lest they incur God’s wrath.”</w:t>
      </w:r>
      <w:r w:rsidR="008C2EEF" w:rsidRPr="008C2EEF">
        <w:rPr>
          <w:vertAlign w:val="superscript"/>
        </w:rPr>
        <w:footnoteReference w:id="16"/>
      </w:r>
      <w:r w:rsidR="008C2EEF" w:rsidRPr="008C2EEF">
        <w:t xml:space="preserve"> A </w:t>
      </w:r>
      <w:r w:rsidR="008C2EEF" w:rsidRPr="008C2EEF">
        <w:rPr>
          <w:i/>
          <w:iCs/>
        </w:rPr>
        <w:t xml:space="preserve">populus christianus </w:t>
      </w:r>
      <w:r w:rsidR="008C2EEF" w:rsidRPr="008C2EEF">
        <w:t>emerges with Louis at its center, its membership determined by one’s relationship with the ruler, not bishops, abbots, or priests.</w:t>
      </w:r>
      <w:r w:rsidR="008C2EEF" w:rsidRPr="008C2EEF">
        <w:rPr>
          <w:vertAlign w:val="superscript"/>
        </w:rPr>
        <w:footnoteReference w:id="17"/>
      </w:r>
      <w:r w:rsidR="008C2EEF" w:rsidRPr="008C2EEF">
        <w:t xml:space="preserve"> But </w:t>
      </w:r>
      <w:r w:rsidR="008C2EEF" w:rsidRPr="008C2EEF">
        <w:lastRenderedPageBreak/>
        <w:t xml:space="preserve">de Jong limits her analysis to elite dynamics: the influence of the patrimonial authority exercised by Carolingian kings, lords, and clergymen </w:t>
      </w:r>
      <w:r w:rsidR="008C2EEF" w:rsidRPr="008C2EEF">
        <w:rPr>
          <w:i/>
          <w:iCs/>
        </w:rPr>
        <w:t xml:space="preserve">on </w:t>
      </w:r>
      <w:r w:rsidR="008C2EEF" w:rsidRPr="008C2EEF">
        <w:t xml:space="preserve">kings, lords, and clergymen. Without extending the systemic parts of collective sin and atonement to the peasants, de Jong restricts Carolingian Christianity to a unifying, horizontal force among </w:t>
      </w:r>
      <w:r w:rsidR="00C36E9D">
        <w:t xml:space="preserve">only </w:t>
      </w:r>
      <w:r w:rsidR="00470BC3">
        <w:t xml:space="preserve">the </w:t>
      </w:r>
      <w:r w:rsidR="008E4445">
        <w:t>ruling orders of the</w:t>
      </w:r>
      <w:r w:rsidR="008C2EEF" w:rsidRPr="008C2EEF">
        <w:t xml:space="preserve"> </w:t>
      </w:r>
      <w:r w:rsidR="008C2EEF" w:rsidRPr="008C2EEF">
        <w:rPr>
          <w:i/>
          <w:iCs/>
        </w:rPr>
        <w:t xml:space="preserve">populus </w:t>
      </w:r>
      <w:r w:rsidR="0060549C">
        <w:rPr>
          <w:i/>
          <w:iCs/>
        </w:rPr>
        <w:t>C</w:t>
      </w:r>
      <w:r w:rsidR="008C2EEF" w:rsidRPr="008C2EEF">
        <w:rPr>
          <w:i/>
          <w:iCs/>
        </w:rPr>
        <w:t>hristianus</w:t>
      </w:r>
      <w:r w:rsidR="008C2EEF" w:rsidRPr="008C2EEF">
        <w:t>.</w:t>
      </w:r>
    </w:p>
    <w:p w14:paraId="09BC1949" w14:textId="0F8C1026" w:rsidR="004248B7" w:rsidRDefault="00C80476" w:rsidP="00207107">
      <w:pPr>
        <w:spacing w:after="0" w:line="480" w:lineRule="auto"/>
        <w:ind w:firstLine="720"/>
      </w:pPr>
      <w:r>
        <w:t>Absent fro</w:t>
      </w:r>
      <w:r w:rsidR="007B407C">
        <w:t xml:space="preserve">m these </w:t>
      </w:r>
      <w:r w:rsidR="00D13450">
        <w:t xml:space="preserve">categories of Church and State, from the Frankish penitential machine </w:t>
      </w:r>
      <w:r w:rsidR="009E4211">
        <w:t xml:space="preserve">propelled by the union of the secular and </w:t>
      </w:r>
      <w:r w:rsidR="00FC5375">
        <w:t>the ecclesiastic</w:t>
      </w:r>
      <w:r w:rsidR="00701510">
        <w:t>al</w:t>
      </w:r>
      <w:r w:rsidR="00D13450">
        <w:t>,</w:t>
      </w:r>
      <w:r w:rsidR="00C03EC3">
        <w:t xml:space="preserve"> </w:t>
      </w:r>
      <w:r w:rsidR="00C1021B">
        <w:t xml:space="preserve">is </w:t>
      </w:r>
      <w:r w:rsidR="00E81757">
        <w:t>the s</w:t>
      </w:r>
      <w:r w:rsidR="00CD6BA5">
        <w:t>ubaltern</w:t>
      </w:r>
      <w:r w:rsidR="00FC5375">
        <w:t>. R</w:t>
      </w:r>
      <w:r w:rsidR="00142972">
        <w:t>ural cultivators,</w:t>
      </w:r>
      <w:r w:rsidR="001A38F4">
        <w:t xml:space="preserve"> </w:t>
      </w:r>
      <w:r w:rsidR="00451432">
        <w:t xml:space="preserve">unfree dependents, and </w:t>
      </w:r>
      <w:r w:rsidR="00E73CA7">
        <w:t xml:space="preserve">the </w:t>
      </w:r>
      <w:r w:rsidR="0042128C">
        <w:t xml:space="preserve">force of gender </w:t>
      </w:r>
      <w:r w:rsidR="00D65BE2">
        <w:t>do</w:t>
      </w:r>
      <w:r w:rsidR="00186E56">
        <w:t xml:space="preserve"> not inform</w:t>
      </w:r>
      <w:r w:rsidR="000C7952">
        <w:t xml:space="preserve"> the </w:t>
      </w:r>
      <w:r w:rsidR="007D05E9">
        <w:t xml:space="preserve">creation of a sanctified Carolingian identity as </w:t>
      </w:r>
      <w:r w:rsidR="00B344EE">
        <w:t>framed</w:t>
      </w:r>
      <w:r w:rsidR="007D05E9">
        <w:t xml:space="preserve"> by</w:t>
      </w:r>
      <w:r w:rsidR="007935EC">
        <w:t xml:space="preserve"> </w:t>
      </w:r>
      <w:r w:rsidR="00537CE2">
        <w:t>the above scholarship.</w:t>
      </w:r>
      <w:r w:rsidR="007D05E9">
        <w:t xml:space="preserve"> </w:t>
      </w:r>
      <w:r w:rsidR="00BC2D44" w:rsidRPr="008C0D1B">
        <w:t>In</w:t>
      </w:r>
      <w:r w:rsidR="00BC2D44">
        <w:t xml:space="preserve"> </w:t>
      </w:r>
      <w:r w:rsidR="00BC2D44">
        <w:rPr>
          <w:i/>
          <w:iCs/>
        </w:rPr>
        <w:t>Belief and Unbelief in Medieval Europe</w:t>
      </w:r>
      <w:r w:rsidR="00BC2D44">
        <w:t xml:space="preserve">, John H. Arnold pushes against </w:t>
      </w:r>
      <w:r w:rsidR="00534A06">
        <w:t>the more</w:t>
      </w:r>
      <w:r w:rsidR="00BC2D44">
        <w:t xml:space="preserve"> structural-functionalist approach</w:t>
      </w:r>
      <w:r w:rsidR="00534A06">
        <w:t xml:space="preserve"> of Costambeys, Innes, and MacLean, </w:t>
      </w:r>
      <w:r w:rsidR="003966B5">
        <w:t xml:space="preserve">and shifts </w:t>
      </w:r>
      <w:r w:rsidR="00257C2B">
        <w:t xml:space="preserve">his study of medieval belief </w:t>
      </w:r>
      <w:r w:rsidR="00915A9D">
        <w:t xml:space="preserve">to the </w:t>
      </w:r>
      <w:r w:rsidR="0078485E">
        <w:t xml:space="preserve">margins </w:t>
      </w:r>
      <w:r w:rsidR="00915A9D">
        <w:t xml:space="preserve">of society </w:t>
      </w:r>
      <w:r w:rsidR="00504A33">
        <w:t xml:space="preserve">passed over </w:t>
      </w:r>
      <w:r w:rsidR="00282622">
        <w:t xml:space="preserve">by Nobles and </w:t>
      </w:r>
      <w:r w:rsidR="00FB7C59">
        <w:t>de Jong</w:t>
      </w:r>
      <w:r w:rsidR="0078485E">
        <w:t xml:space="preserve">. </w:t>
      </w:r>
      <w:r w:rsidR="00414ACC">
        <w:t xml:space="preserve">Arnold suggests that </w:t>
      </w:r>
      <w:r w:rsidR="00DE4EFA">
        <w:t>a history of belief and unbelief</w:t>
      </w:r>
      <w:r w:rsidR="00523A2B">
        <w:t xml:space="preserve"> “must engage with those elements of faith that are less easily explicable and fit less happily with the core tenets of Christianity</w:t>
      </w:r>
      <w:r w:rsidR="00A342ED">
        <w:t>,</w:t>
      </w:r>
      <w:r w:rsidR="00523A2B">
        <w:t>”</w:t>
      </w:r>
      <w:r w:rsidR="00A342ED">
        <w:t xml:space="preserve"> as </w:t>
      </w:r>
      <w:r w:rsidR="001B5907">
        <w:t>thematic chapters</w:t>
      </w:r>
      <w:r w:rsidR="00C011DE">
        <w:t xml:space="preserve"> </w:t>
      </w:r>
      <w:r w:rsidR="00F33579">
        <w:t>provide a cursory overview of the development of the medieval Christian faith</w:t>
      </w:r>
      <w:r w:rsidR="008B2EBE">
        <w:t>.</w:t>
      </w:r>
      <w:r w:rsidR="00E67B3C">
        <w:rPr>
          <w:rStyle w:val="FootnoteReference"/>
        </w:rPr>
        <w:footnoteReference w:id="18"/>
      </w:r>
      <w:r w:rsidR="00523A2B">
        <w:t xml:space="preserve"> </w:t>
      </w:r>
      <w:r w:rsidR="0041676F">
        <w:t xml:space="preserve">The purpose of his proposal is twofold. </w:t>
      </w:r>
      <w:r w:rsidR="00C32E4C">
        <w:t xml:space="preserve">One reason is that the periphery of faith may inform the way in which the center </w:t>
      </w:r>
      <w:r w:rsidR="00C32E4C" w:rsidRPr="00C32E4C">
        <w:rPr>
          <w:i/>
          <w:iCs/>
        </w:rPr>
        <w:t>assumed</w:t>
      </w:r>
      <w:r w:rsidR="00C32E4C">
        <w:t xml:space="preserve"> it central position</w:t>
      </w:r>
      <w:r w:rsidR="00F16A3F">
        <w:t xml:space="preserve">; another </w:t>
      </w:r>
      <w:r w:rsidR="00853DC4">
        <w:t xml:space="preserve">is that the margins </w:t>
      </w:r>
      <w:r w:rsidR="00250384">
        <w:t>may give insight</w:t>
      </w:r>
      <w:r w:rsidR="00DB220C">
        <w:t>s into the beliefs, attitudes, and ideas of lay people.</w:t>
      </w:r>
      <w:r w:rsidR="00DB220C">
        <w:rPr>
          <w:rStyle w:val="FootnoteReference"/>
        </w:rPr>
        <w:footnoteReference w:id="19"/>
      </w:r>
      <w:r w:rsidR="002B5545">
        <w:t xml:space="preserve"> Medieval society normalized the supernatural as an omnipresent force</w:t>
      </w:r>
      <w:r w:rsidR="00F17A5E">
        <w:t xml:space="preserve">. </w:t>
      </w:r>
      <w:r w:rsidR="00A63643">
        <w:t>I</w:t>
      </w:r>
      <w:r w:rsidR="00F17A5E">
        <w:t xml:space="preserve">n the borderlands of sacred and secular power, </w:t>
      </w:r>
      <w:r w:rsidR="00AE2726">
        <w:t>like in the cases of saints</w:t>
      </w:r>
      <w:r w:rsidR="003E7245">
        <w:t xml:space="preserve"> and relics, </w:t>
      </w:r>
      <w:r w:rsidR="00237254">
        <w:t xml:space="preserve">marginalized lay people could instrumentalize the supernatural </w:t>
      </w:r>
      <w:r w:rsidR="00F05B0C">
        <w:t xml:space="preserve">to </w:t>
      </w:r>
      <w:r w:rsidR="001A66D8">
        <w:t>wield power in their communities</w:t>
      </w:r>
      <w:r w:rsidR="00B340F9">
        <w:t>.</w:t>
      </w:r>
      <w:r w:rsidR="00222DFF">
        <w:rPr>
          <w:rStyle w:val="FootnoteReference"/>
        </w:rPr>
        <w:footnoteReference w:id="20"/>
      </w:r>
      <w:r w:rsidR="003A4938">
        <w:t xml:space="preserve"> </w:t>
      </w:r>
      <w:r w:rsidR="00283445">
        <w:t xml:space="preserve">Yet </w:t>
      </w:r>
      <w:r w:rsidR="00AD6744">
        <w:t xml:space="preserve">as Arnold </w:t>
      </w:r>
      <w:r w:rsidR="00446DC5">
        <w:t>points out</w:t>
      </w:r>
      <w:r w:rsidR="00AD6744">
        <w:t>,</w:t>
      </w:r>
      <w:r w:rsidR="00787ACE">
        <w:t xml:space="preserve"> ecclesiastical authorities sought to police this behavior</w:t>
      </w:r>
      <w:r w:rsidR="007F5314">
        <w:t xml:space="preserve">. </w:t>
      </w:r>
      <w:r w:rsidR="001602BC">
        <w:t xml:space="preserve">Christian </w:t>
      </w:r>
      <w:r w:rsidR="00163447">
        <w:t>rituals of self-examination</w:t>
      </w:r>
      <w:r w:rsidR="001602BC">
        <w:t xml:space="preserve">, </w:t>
      </w:r>
      <w:r w:rsidR="001602BC">
        <w:lastRenderedPageBreak/>
        <w:t>such as confession</w:t>
      </w:r>
      <w:r w:rsidR="00D30D10">
        <w:t>,</w:t>
      </w:r>
      <w:r w:rsidR="00163447">
        <w:t xml:space="preserve"> and of</w:t>
      </w:r>
      <w:r w:rsidR="00D66058">
        <w:t xml:space="preserve"> self-discipline, like</w:t>
      </w:r>
      <w:r w:rsidR="00163447">
        <w:t xml:space="preserve"> fasting</w:t>
      </w:r>
      <w:r w:rsidR="00D66058">
        <w:t xml:space="preserve"> or abstinence</w:t>
      </w:r>
      <w:r w:rsidR="00163447">
        <w:t>,</w:t>
      </w:r>
      <w:r w:rsidR="00DD32A1">
        <w:t xml:space="preserve"> </w:t>
      </w:r>
      <w:r w:rsidR="006C6193">
        <w:t xml:space="preserve">entwined </w:t>
      </w:r>
      <w:r w:rsidR="00A2320F">
        <w:t>ideas about selfhood and spirituality with ideas of the body.</w:t>
      </w:r>
      <w:r w:rsidR="00A2320F">
        <w:rPr>
          <w:rStyle w:val="FootnoteReference"/>
        </w:rPr>
        <w:footnoteReference w:id="21"/>
      </w:r>
      <w:r w:rsidR="00BE74D6">
        <w:t xml:space="preserve"> </w:t>
      </w:r>
      <w:r w:rsidR="00892CD8">
        <w:t xml:space="preserve">Discourses of </w:t>
      </w:r>
      <w:r w:rsidR="00DC4C15">
        <w:t xml:space="preserve">orthodox and illicit belief </w:t>
      </w:r>
      <w:r w:rsidR="008470A1">
        <w:t xml:space="preserve">informed </w:t>
      </w:r>
      <w:r w:rsidR="00AD6CAF">
        <w:t xml:space="preserve">not only the way medieval people </w:t>
      </w:r>
      <w:r w:rsidR="007A6970">
        <w:t>regulated one another</w:t>
      </w:r>
      <w:r w:rsidR="003048F2">
        <w:t>,</w:t>
      </w:r>
      <w:r w:rsidR="00AD6CAF">
        <w:t xml:space="preserve"> but also their own behaviors and thought processes</w:t>
      </w:r>
      <w:r w:rsidR="00C87297">
        <w:t xml:space="preserve">. Through </w:t>
      </w:r>
      <w:r w:rsidR="00750A4E">
        <w:t>the horizontal</w:t>
      </w:r>
      <w:r w:rsidR="00C87297">
        <w:t xml:space="preserve">, disciplinary </w:t>
      </w:r>
      <w:r w:rsidR="00750A4E">
        <w:t>power of the social norm</w:t>
      </w:r>
      <w:r w:rsidR="0032359C">
        <w:t>, Arnold</w:t>
      </w:r>
      <w:r w:rsidR="006079E2">
        <w:t xml:space="preserve"> </w:t>
      </w:r>
      <w:r w:rsidR="000431C4">
        <w:t>concludes</w:t>
      </w:r>
      <w:r w:rsidR="005B2BB6">
        <w:t xml:space="preserve"> that the medieval religious community </w:t>
      </w:r>
      <w:r w:rsidR="00E55CEF">
        <w:t xml:space="preserve">regulated body and mind to enable </w:t>
      </w:r>
      <w:r w:rsidR="006D1573">
        <w:t xml:space="preserve">the formation of </w:t>
      </w:r>
      <w:r w:rsidR="00170FE4">
        <w:t xml:space="preserve">a </w:t>
      </w:r>
      <w:r w:rsidR="00C26415">
        <w:t xml:space="preserve">specific </w:t>
      </w:r>
      <w:r w:rsidR="00AD6CAF">
        <w:t xml:space="preserve">Christian </w:t>
      </w:r>
      <w:r w:rsidR="00170FE4">
        <w:t>identity</w:t>
      </w:r>
      <w:r w:rsidR="006D1573">
        <w:t>.</w:t>
      </w:r>
      <w:r w:rsidR="00AD6CAF">
        <w:t xml:space="preserve"> </w:t>
      </w:r>
      <w:r w:rsidR="004D2D03">
        <w:t xml:space="preserve">  </w:t>
      </w:r>
    </w:p>
    <w:p w14:paraId="1A4DADE9" w14:textId="65B8289B" w:rsidR="008C2EEF" w:rsidRDefault="002B5ED0" w:rsidP="00207107">
      <w:pPr>
        <w:spacing w:after="0" w:line="480" w:lineRule="auto"/>
        <w:ind w:firstLine="720"/>
      </w:pPr>
      <w:r>
        <w:t xml:space="preserve">Drawing from </w:t>
      </w:r>
      <w:r w:rsidR="00EB45F7">
        <w:t xml:space="preserve">the </w:t>
      </w:r>
      <w:r w:rsidR="0062468D">
        <w:t xml:space="preserve">unitive force of Noble’s Carolingian Church, </w:t>
      </w:r>
      <w:r w:rsidR="00EF7FF4">
        <w:t>the penitential state of de Jong,</w:t>
      </w:r>
      <w:r w:rsidR="002D0647">
        <w:t xml:space="preserve"> and </w:t>
      </w:r>
      <w:r w:rsidR="00E404B4">
        <w:t xml:space="preserve">the subaltern focus of Arnold, </w:t>
      </w:r>
      <w:r w:rsidR="0031086E">
        <w:t xml:space="preserve">this paper </w:t>
      </w:r>
      <w:r w:rsidR="0095035A">
        <w:t xml:space="preserve">turns to </w:t>
      </w:r>
      <w:r w:rsidR="00B31A6E">
        <w:t>Michel Foucault’s theories of power to iden</w:t>
      </w:r>
      <w:r w:rsidR="006E6E70">
        <w:t>tity the peasant</w:t>
      </w:r>
      <w:r w:rsidR="004B18D8">
        <w:t xml:space="preserve"> within </w:t>
      </w:r>
      <w:r w:rsidR="007579F7">
        <w:t xml:space="preserve">the religious networks set by </w:t>
      </w:r>
      <w:r w:rsidR="00972664">
        <w:t xml:space="preserve">the imperial </w:t>
      </w:r>
      <w:r w:rsidR="0052260F">
        <w:t>elite</w:t>
      </w:r>
      <w:r w:rsidR="00972664">
        <w:t xml:space="preserve">. </w:t>
      </w:r>
      <w:r w:rsidR="00876483">
        <w:t>Between 1977 and 1978,</w:t>
      </w:r>
      <w:r w:rsidR="00364D15">
        <w:t xml:space="preserve"> in a series of lectures at the Collège de France, </w:t>
      </w:r>
      <w:r w:rsidR="00876483">
        <w:t xml:space="preserve">Michel Foucault developed the </w:t>
      </w:r>
      <w:r w:rsidR="00364D15">
        <w:t xml:space="preserve">theory </w:t>
      </w:r>
      <w:r w:rsidR="00876483">
        <w:t>of pastoral power</w:t>
      </w:r>
      <w:r w:rsidR="00364D15">
        <w:t xml:space="preserve">. </w:t>
      </w:r>
      <w:r w:rsidR="008C2EEF" w:rsidRPr="008C2EEF">
        <w:t xml:space="preserve">Pastoral power is the art of governing the collective faithful through </w:t>
      </w:r>
      <w:r w:rsidR="00FB2EE8">
        <w:t xml:space="preserve">a </w:t>
      </w:r>
      <w:r w:rsidR="008C2EEF" w:rsidRPr="008C2EEF">
        <w:t>matrix of individualizing practices, namely penitence, self-examination, and confession</w:t>
      </w:r>
      <w:r w:rsidR="00B13E04">
        <w:t>.</w:t>
      </w:r>
      <w:r w:rsidR="008C2EEF" w:rsidRPr="008C2EEF">
        <w:rPr>
          <w:vertAlign w:val="superscript"/>
        </w:rPr>
        <w:footnoteReference w:id="22"/>
      </w:r>
      <w:r w:rsidR="008C2EEF" w:rsidRPr="008C2EEF">
        <w:t xml:space="preserve"> Ecclesiastical authorities, or the “pastorate” according to Foucault, exercise pastoral power in pursuit of their flock’s salvation. Central to this project is a Christian hermeneutics of the self: a verbal practice and struggle against the “interior Other,” or Satan and his temptations</w:t>
      </w:r>
      <w:r w:rsidR="00BC4817">
        <w:t xml:space="preserve">, much the same as the self-examination </w:t>
      </w:r>
      <w:r w:rsidR="004E3D5F">
        <w:t>explored by Arnold</w:t>
      </w:r>
      <w:r w:rsidR="008C2EEF" w:rsidRPr="008C2EEF">
        <w:t>. These struggles turn the soul into a visible object with a distinctive character and identity, malleable to external influences</w:t>
      </w:r>
      <w:r w:rsidR="00682258">
        <w:t xml:space="preserve">, and vulnerable to </w:t>
      </w:r>
      <w:r w:rsidR="00744D37">
        <w:t>social norms</w:t>
      </w:r>
      <w:r w:rsidR="008C2EEF" w:rsidRPr="008C2EEF">
        <w:t>.</w:t>
      </w:r>
      <w:r w:rsidR="008C2EEF" w:rsidRPr="008C2EEF">
        <w:rPr>
          <w:vertAlign w:val="superscript"/>
        </w:rPr>
        <w:footnoteReference w:id="23"/>
      </w:r>
      <w:r w:rsidR="008C2EEF" w:rsidRPr="008C2EEF">
        <w:t xml:space="preserve"> This interpretative model does not impose a straitjacket of abstraction but draws out the complex interactions between political authority, orthodox faith, and supernatural engagement. It is an analytical tool that illustrates </w:t>
      </w:r>
      <w:r w:rsidR="003A190F">
        <w:t>how</w:t>
      </w:r>
      <w:r w:rsidR="008C2EEF" w:rsidRPr="008C2EEF">
        <w:t xml:space="preserve"> the ruling and clerical elites used religion to reorder the</w:t>
      </w:r>
      <w:r w:rsidR="00CC4757">
        <w:t xml:space="preserve"> </w:t>
      </w:r>
      <w:r w:rsidR="008C2EEF" w:rsidRPr="008C2EEF">
        <w:lastRenderedPageBreak/>
        <w:t>empire as</w:t>
      </w:r>
      <w:r w:rsidR="008C2EEF" w:rsidRPr="008C2EEF">
        <w:rPr>
          <w:i/>
          <w:iCs/>
        </w:rPr>
        <w:t xml:space="preserve"> </w:t>
      </w:r>
      <w:r w:rsidR="008C2EEF" w:rsidRPr="008C2EEF">
        <w:t xml:space="preserve">the </w:t>
      </w:r>
      <w:r w:rsidR="00CC4757">
        <w:t>c</w:t>
      </w:r>
      <w:r w:rsidR="008C2EEF" w:rsidRPr="008C2EEF">
        <w:t>hurch</w:t>
      </w:r>
      <w:r w:rsidR="004B31DD">
        <w:t xml:space="preserve">, </w:t>
      </w:r>
      <w:r w:rsidR="00B06155">
        <w:t xml:space="preserve">and </w:t>
      </w:r>
      <w:r w:rsidR="00EE1FC2">
        <w:t>to specify</w:t>
      </w:r>
      <w:r w:rsidR="00617AE2">
        <w:t xml:space="preserve"> </w:t>
      </w:r>
      <w:r w:rsidR="00CC4757">
        <w:t xml:space="preserve">Carolingian Christianity </w:t>
      </w:r>
      <w:r w:rsidR="00013C6F">
        <w:t xml:space="preserve">as a social bond and a source of individual identity. </w:t>
      </w:r>
      <w:r w:rsidR="00261429">
        <w:t xml:space="preserve">By </w:t>
      </w:r>
      <w:r w:rsidR="00F64EAB">
        <w:t xml:space="preserve">locating selfhood within these processes, Foucault </w:t>
      </w:r>
      <w:r w:rsidR="006C7A3B">
        <w:t xml:space="preserve">alerts the </w:t>
      </w:r>
      <w:r w:rsidR="00F37696">
        <w:t xml:space="preserve">medieval </w:t>
      </w:r>
      <w:r w:rsidR="006C7A3B">
        <w:t xml:space="preserve">historian to </w:t>
      </w:r>
      <w:r w:rsidR="00685978">
        <w:t>the means by which lay people</w:t>
      </w:r>
      <w:r w:rsidR="00BE0BC9">
        <w:t xml:space="preserve"> navigated societal </w:t>
      </w:r>
      <w:r w:rsidR="007E7E21">
        <w:t>power relations.</w:t>
      </w:r>
    </w:p>
    <w:p w14:paraId="70DAA9BB" w14:textId="76A522F6" w:rsidR="00C27FD5" w:rsidRPr="00906CD6" w:rsidRDefault="00DB049E" w:rsidP="00207107">
      <w:pPr>
        <w:spacing w:after="0" w:line="480" w:lineRule="auto"/>
        <w:ind w:firstLine="720"/>
      </w:pPr>
      <w:r>
        <w:t xml:space="preserve">Evidence of </w:t>
      </w:r>
      <w:r w:rsidR="006829C7">
        <w:t xml:space="preserve">pastoral power relies on </w:t>
      </w:r>
      <w:r w:rsidR="00FB048E">
        <w:t xml:space="preserve">sources that </w:t>
      </w:r>
      <w:r w:rsidR="00080B9C">
        <w:t xml:space="preserve">emphasize the </w:t>
      </w:r>
      <w:r w:rsidR="00080B9C" w:rsidRPr="00080B9C">
        <w:rPr>
          <w:i/>
          <w:iCs/>
        </w:rPr>
        <w:t>ought</w:t>
      </w:r>
      <w:r w:rsidR="00080B9C">
        <w:t xml:space="preserve"> – sermons, hagiographies, </w:t>
      </w:r>
      <w:r w:rsidR="004512FB">
        <w:t xml:space="preserve">penitentials </w:t>
      </w:r>
      <w:r w:rsidR="00C4136F">
        <w:t>– each</w:t>
      </w:r>
      <w:r w:rsidR="00EC463F">
        <w:t xml:space="preserve">, perhaps frustratingly, a normative prescription of </w:t>
      </w:r>
      <w:r w:rsidR="004B7DEB">
        <w:t xml:space="preserve">emotional ideals. </w:t>
      </w:r>
      <w:r w:rsidR="008C7F56">
        <w:t xml:space="preserve">In the thoughtful </w:t>
      </w:r>
      <w:r w:rsidR="003E1F23">
        <w:rPr>
          <w:i/>
          <w:iCs/>
        </w:rPr>
        <w:t>Emotion Communities in the Early Middle Ages</w:t>
      </w:r>
      <w:r w:rsidR="00297009">
        <w:t xml:space="preserve">, Barbara </w:t>
      </w:r>
      <w:r w:rsidR="00D11666">
        <w:t xml:space="preserve">H. </w:t>
      </w:r>
      <w:r w:rsidR="00297009">
        <w:t xml:space="preserve">Rosenwein </w:t>
      </w:r>
      <w:r w:rsidR="00F43345">
        <w:t xml:space="preserve">gives weight </w:t>
      </w:r>
      <w:r w:rsidR="005369CD">
        <w:t xml:space="preserve">to the emotions conveyed in early medieval </w:t>
      </w:r>
      <w:r w:rsidR="00E85442">
        <w:t xml:space="preserve">literature. </w:t>
      </w:r>
      <w:r w:rsidR="00797BC8">
        <w:t>In short, emotional communities are “</w:t>
      </w:r>
      <w:r w:rsidR="00A53AF6">
        <w:t>groups in which people adhere to the same norms of emotional expression and value – or devalue – the same or related emotions.”</w:t>
      </w:r>
      <w:r w:rsidR="00A53AF6">
        <w:rPr>
          <w:rStyle w:val="FootnoteReference"/>
        </w:rPr>
        <w:footnoteReference w:id="24"/>
      </w:r>
      <w:r w:rsidR="00236DEC">
        <w:t xml:space="preserve"> </w:t>
      </w:r>
      <w:r w:rsidR="006C6EA6">
        <w:t xml:space="preserve">These communities </w:t>
      </w:r>
      <w:r w:rsidR="00447969">
        <w:t xml:space="preserve">share elements of the common, Foucauldian </w:t>
      </w:r>
      <w:r w:rsidR="000802ED">
        <w:t>“</w:t>
      </w:r>
      <w:r w:rsidR="00447969">
        <w:t>discourse”</w:t>
      </w:r>
      <w:r w:rsidR="00CE27F0">
        <w:t xml:space="preserve"> as a set of shared </w:t>
      </w:r>
      <w:r w:rsidR="00C94EDC">
        <w:t>vocabularies</w:t>
      </w:r>
      <w:r w:rsidR="00374F76">
        <w:t xml:space="preserve"> and modes of thought with a disciplining function</w:t>
      </w:r>
      <w:r w:rsidR="008662FD">
        <w:t>, that exist in social and/or textual spaces</w:t>
      </w:r>
      <w:r w:rsidR="009C2D30">
        <w:t xml:space="preserve">. </w:t>
      </w:r>
      <w:r w:rsidR="00BE1556">
        <w:t xml:space="preserve">An emotional community </w:t>
      </w:r>
      <w:r w:rsidR="00C9447D">
        <w:t>consists of a constellation of emotion</w:t>
      </w:r>
      <w:r w:rsidR="00E03146">
        <w:t xml:space="preserve"> words</w:t>
      </w:r>
      <w:r w:rsidR="00F5083B">
        <w:t xml:space="preserve"> specified to genre, period, and place</w:t>
      </w:r>
      <w:r w:rsidR="001B5868">
        <w:t xml:space="preserve"> that historians should not dismiss as mere </w:t>
      </w:r>
      <w:r w:rsidR="001B5868">
        <w:rPr>
          <w:i/>
          <w:iCs/>
        </w:rPr>
        <w:t>topoi</w:t>
      </w:r>
      <w:r w:rsidR="00613448">
        <w:t>.</w:t>
      </w:r>
      <w:r w:rsidR="00613448">
        <w:rPr>
          <w:rStyle w:val="FootnoteReference"/>
        </w:rPr>
        <w:footnoteReference w:id="25"/>
      </w:r>
      <w:r w:rsidR="002F52FB">
        <w:t xml:space="preserve"> In the latter half of the seventh century, for example, Rosenwein </w:t>
      </w:r>
      <w:r w:rsidR="00D07950">
        <w:t xml:space="preserve">suggests a </w:t>
      </w:r>
      <w:r w:rsidR="00AC7348">
        <w:t>resurrection</w:t>
      </w:r>
      <w:r w:rsidR="00D07950">
        <w:t xml:space="preserve"> of passionate language </w:t>
      </w:r>
      <w:r w:rsidR="00701DBD">
        <w:t xml:space="preserve">obscured </w:t>
      </w:r>
      <w:r w:rsidR="00265BB7">
        <w:t xml:space="preserve">by the writings in the aftermath of the Neustrian conquest of Austrasia in 613. </w:t>
      </w:r>
      <w:r w:rsidR="000D7474">
        <w:t>Collections of saints’ Lives, martyr texts, and visions</w:t>
      </w:r>
      <w:r w:rsidR="00833415">
        <w:t xml:space="preserve"> surged with </w:t>
      </w:r>
      <w:r w:rsidR="000B3394">
        <w:t>passions</w:t>
      </w:r>
      <w:r w:rsidR="00215613">
        <w:t>, the figures of these texts unabashed.</w:t>
      </w:r>
      <w:r w:rsidR="00215613">
        <w:rPr>
          <w:rStyle w:val="FootnoteReference"/>
        </w:rPr>
        <w:footnoteReference w:id="26"/>
      </w:r>
      <w:r w:rsidR="003B74F7">
        <w:t xml:space="preserve"> Rosenwein’s </w:t>
      </w:r>
      <w:r w:rsidR="00607E84">
        <w:t xml:space="preserve">outline of </w:t>
      </w:r>
      <w:r w:rsidR="006619AD">
        <w:t xml:space="preserve">community through emotions </w:t>
      </w:r>
      <w:r w:rsidR="009725B7">
        <w:t>is</w:t>
      </w:r>
      <w:r w:rsidR="00B4199B">
        <w:t xml:space="preserve"> incomplete</w:t>
      </w:r>
      <w:r w:rsidR="00EA2A02">
        <w:t>, due to both circumstance and application. T</w:t>
      </w:r>
      <w:r w:rsidR="00EE50CB">
        <w:t xml:space="preserve">he lack of </w:t>
      </w:r>
      <w:r w:rsidR="00466287">
        <w:t xml:space="preserve">primary </w:t>
      </w:r>
      <w:r w:rsidR="00EE50CB">
        <w:t>materials reflecting the lower classes</w:t>
      </w:r>
      <w:r w:rsidR="00EA2A02">
        <w:t xml:space="preserve"> is a serious issue of </w:t>
      </w:r>
      <w:r w:rsidR="00DC4D9F">
        <w:t xml:space="preserve">medieval studies. </w:t>
      </w:r>
      <w:r w:rsidR="00AB421D">
        <w:t xml:space="preserve">Extant sources </w:t>
      </w:r>
      <w:r w:rsidR="00534D82">
        <w:t xml:space="preserve">voice the feelings of </w:t>
      </w:r>
      <w:r w:rsidR="00A05CC9">
        <w:t xml:space="preserve">the elite, and most often the clerical elite at that. </w:t>
      </w:r>
      <w:r w:rsidR="000D213F">
        <w:t xml:space="preserve">But </w:t>
      </w:r>
      <w:r w:rsidR="00313171">
        <w:t>from the</w:t>
      </w:r>
      <w:r w:rsidR="00B427AE">
        <w:t xml:space="preserve"> primary documents examined in this </w:t>
      </w:r>
      <w:r w:rsidR="00214B04">
        <w:t>thesis</w:t>
      </w:r>
      <w:r w:rsidR="00B427AE">
        <w:t>,</w:t>
      </w:r>
      <w:r w:rsidR="00F81587">
        <w:t xml:space="preserve"> ranging from a vision written by </w:t>
      </w:r>
      <w:r w:rsidR="00647872">
        <w:t xml:space="preserve">a </w:t>
      </w:r>
      <w:r w:rsidR="00942677">
        <w:t>rural priest</w:t>
      </w:r>
      <w:r w:rsidR="00F66339">
        <w:t xml:space="preserve"> to </w:t>
      </w:r>
      <w:r w:rsidR="00B76345">
        <w:t>the letters of archbishops</w:t>
      </w:r>
      <w:r w:rsidR="00942677">
        <w:t>,</w:t>
      </w:r>
      <w:r w:rsidR="004161E3">
        <w:t xml:space="preserve"> </w:t>
      </w:r>
      <w:r w:rsidR="00CE1FFF">
        <w:t xml:space="preserve">medieval authors </w:t>
      </w:r>
      <w:r w:rsidR="00907313">
        <w:t xml:space="preserve">imagined </w:t>
      </w:r>
      <w:r w:rsidR="00E55135">
        <w:t xml:space="preserve">the emotions of the peasantry. </w:t>
      </w:r>
      <w:r w:rsidR="007E6359">
        <w:t xml:space="preserve">In the </w:t>
      </w:r>
      <w:r w:rsidR="007E6359">
        <w:rPr>
          <w:i/>
          <w:iCs/>
        </w:rPr>
        <w:t>Annuals of Fulda</w:t>
      </w:r>
      <w:r w:rsidR="007E6359">
        <w:t xml:space="preserve">, </w:t>
      </w:r>
      <w:r w:rsidR="00B95F1A">
        <w:lastRenderedPageBreak/>
        <w:t xml:space="preserve">chronicler describes </w:t>
      </w:r>
      <w:r w:rsidR="007E6359">
        <w:t xml:space="preserve">the villagers of Kempten </w:t>
      </w:r>
      <w:r w:rsidR="00B95F1A">
        <w:t>a</w:t>
      </w:r>
      <w:r w:rsidR="0023581A">
        <w:t>s driven to retribution</w:t>
      </w:r>
      <w:r w:rsidR="004C269A">
        <w:t xml:space="preserve"> accused thief</w:t>
      </w:r>
      <w:r w:rsidR="0023581A">
        <w:t xml:space="preserve"> by </w:t>
      </w:r>
      <w:r w:rsidR="00C320F0">
        <w:t xml:space="preserve">a communal </w:t>
      </w:r>
      <w:r w:rsidR="0023581A">
        <w:t>fear</w:t>
      </w:r>
      <w:r w:rsidR="00C320F0">
        <w:t xml:space="preserve"> for their souls</w:t>
      </w:r>
      <w:r w:rsidR="00B95F1A">
        <w:t xml:space="preserve">. But </w:t>
      </w:r>
      <w:r w:rsidR="004E0733">
        <w:t xml:space="preserve">no one knows how the villagers truly felt; and besides, </w:t>
      </w:r>
      <w:r w:rsidR="0087548B">
        <w:t xml:space="preserve">the </w:t>
      </w:r>
      <w:r w:rsidR="006C2D63">
        <w:t xml:space="preserve">author of the </w:t>
      </w:r>
      <w:r w:rsidR="0087548B">
        <w:rPr>
          <w:i/>
          <w:iCs/>
        </w:rPr>
        <w:t xml:space="preserve">Annals </w:t>
      </w:r>
      <w:r w:rsidR="0047450F">
        <w:t xml:space="preserve">wrote from the perspective of the </w:t>
      </w:r>
      <w:r w:rsidR="0049413A">
        <w:t xml:space="preserve">social </w:t>
      </w:r>
      <w:r w:rsidR="00784F87">
        <w:t>tensions</w:t>
      </w:r>
      <w:r w:rsidR="0049413A">
        <w:t xml:space="preserve"> around the archbishopric of Mainz</w:t>
      </w:r>
      <w:r w:rsidR="00A74164">
        <w:t xml:space="preserve">, its controversial political positions, </w:t>
      </w:r>
      <w:r w:rsidR="00C370F6">
        <w:t xml:space="preserve">and the </w:t>
      </w:r>
      <w:r w:rsidR="004F462C">
        <w:t>broader of political crisis of 858, when King Louis the German invaded the kingdom of Charles the Bald.</w:t>
      </w:r>
      <w:r w:rsidR="00936641">
        <w:rPr>
          <w:rStyle w:val="FootnoteReference"/>
        </w:rPr>
        <w:footnoteReference w:id="27"/>
      </w:r>
      <w:r w:rsidR="001E075C">
        <w:t xml:space="preserve"> Even </w:t>
      </w:r>
      <w:r w:rsidR="00906CD6">
        <w:t xml:space="preserve">if the </w:t>
      </w:r>
      <w:r w:rsidR="00906CD6">
        <w:rPr>
          <w:i/>
          <w:iCs/>
        </w:rPr>
        <w:t xml:space="preserve">Annals </w:t>
      </w:r>
      <w:r w:rsidR="00906CD6">
        <w:t xml:space="preserve">is </w:t>
      </w:r>
      <w:r w:rsidR="000F4537">
        <w:t>smear campaign</w:t>
      </w:r>
      <w:r w:rsidR="006A521E">
        <w:t xml:space="preserve">, </w:t>
      </w:r>
      <w:r w:rsidR="00B22B50">
        <w:t xml:space="preserve">its </w:t>
      </w:r>
      <w:r w:rsidR="005C1D10">
        <w:t xml:space="preserve">narrative betrays </w:t>
      </w:r>
      <w:r w:rsidR="003E443D">
        <w:t>a truth</w:t>
      </w:r>
      <w:r w:rsidR="00BB57A7">
        <w:t xml:space="preserve">, </w:t>
      </w:r>
      <w:r w:rsidR="002A7C95">
        <w:t>mainly</w:t>
      </w:r>
      <w:r w:rsidR="00BB57A7">
        <w:t xml:space="preserve"> </w:t>
      </w:r>
      <w:r w:rsidR="003E443D">
        <w:t xml:space="preserve">that </w:t>
      </w:r>
      <w:r w:rsidR="00B43459">
        <w:t xml:space="preserve">in the Carolingian </w:t>
      </w:r>
      <w:r w:rsidR="001A28A2">
        <w:t>period</w:t>
      </w:r>
      <w:r w:rsidR="00B43459">
        <w:t xml:space="preserve"> it was possible </w:t>
      </w:r>
      <w:r w:rsidR="005203D8">
        <w:t xml:space="preserve">to imagine </w:t>
      </w:r>
      <w:r w:rsidR="00FD5772">
        <w:t xml:space="preserve">peasants as </w:t>
      </w:r>
      <w:r w:rsidR="00BD11A4">
        <w:t>guided by the passions of retributive emotions</w:t>
      </w:r>
      <w:r w:rsidR="00454871">
        <w:t xml:space="preserve">. </w:t>
      </w:r>
    </w:p>
    <w:p w14:paraId="319C98C1" w14:textId="332B6177" w:rsidR="00086DFA" w:rsidRDefault="00086DFA" w:rsidP="00207107">
      <w:pPr>
        <w:spacing w:after="0" w:line="480" w:lineRule="auto"/>
      </w:pPr>
    </w:p>
    <w:p w14:paraId="2246E27B" w14:textId="146B50C5" w:rsidR="00F137FA" w:rsidRDefault="00F137FA" w:rsidP="00207107">
      <w:pPr>
        <w:spacing w:after="0" w:line="480" w:lineRule="auto"/>
      </w:pPr>
    </w:p>
    <w:p w14:paraId="74063F00" w14:textId="77777777" w:rsidR="00F137FA" w:rsidRPr="008C2EEF" w:rsidRDefault="00F137FA" w:rsidP="00207107">
      <w:pPr>
        <w:spacing w:after="0" w:line="480" w:lineRule="auto"/>
      </w:pPr>
    </w:p>
    <w:p w14:paraId="24455931" w14:textId="77777777" w:rsidR="00226B1C" w:rsidRDefault="00226B1C"/>
    <w:sectPr w:rsidR="0022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D51F8" w14:textId="77777777" w:rsidR="0084249A" w:rsidRDefault="0084249A" w:rsidP="008C2EEF">
      <w:pPr>
        <w:spacing w:after="0" w:line="240" w:lineRule="auto"/>
      </w:pPr>
      <w:r>
        <w:separator/>
      </w:r>
    </w:p>
  </w:endnote>
  <w:endnote w:type="continuationSeparator" w:id="0">
    <w:p w14:paraId="66EFC478" w14:textId="77777777" w:rsidR="0084249A" w:rsidRDefault="0084249A" w:rsidP="008C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8C180" w14:textId="77777777" w:rsidR="0084249A" w:rsidRDefault="0084249A" w:rsidP="008C2EEF">
      <w:pPr>
        <w:spacing w:after="0" w:line="240" w:lineRule="auto"/>
      </w:pPr>
      <w:r>
        <w:separator/>
      </w:r>
    </w:p>
  </w:footnote>
  <w:footnote w:type="continuationSeparator" w:id="0">
    <w:p w14:paraId="63A01FBB" w14:textId="77777777" w:rsidR="0084249A" w:rsidRDefault="0084249A" w:rsidP="008C2EEF">
      <w:pPr>
        <w:spacing w:after="0" w:line="240" w:lineRule="auto"/>
      </w:pPr>
      <w:r>
        <w:continuationSeparator/>
      </w:r>
    </w:p>
  </w:footnote>
  <w:footnote w:id="1">
    <w:p w14:paraId="31158DD3" w14:textId="77777777" w:rsidR="008C2EEF" w:rsidRPr="00EE12CA" w:rsidRDefault="008C2EEF" w:rsidP="008C2EE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i/>
          <w:iCs/>
        </w:rPr>
        <w:t>Capitularia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regum</w:t>
      </w:r>
      <w:proofErr w:type="spellEnd"/>
      <w:r>
        <w:rPr>
          <w:i/>
          <w:iCs/>
        </w:rPr>
        <w:t xml:space="preserve"> Francorum</w:t>
      </w:r>
      <w:r>
        <w:t xml:space="preserve">, quoted in Thomas F. X. Noble, “Carolingian Religion,” </w:t>
      </w:r>
      <w:r>
        <w:rPr>
          <w:i/>
          <w:iCs/>
        </w:rPr>
        <w:t>Church History</w:t>
      </w:r>
      <w:r>
        <w:t xml:space="preserve"> 84, no. 2 (2015): 287.</w:t>
      </w:r>
    </w:p>
  </w:footnote>
  <w:footnote w:id="2">
    <w:p w14:paraId="22EEAAC0" w14:textId="77777777" w:rsidR="008C2EEF" w:rsidRDefault="008C2EEF" w:rsidP="008C2EEF">
      <w:pPr>
        <w:pStyle w:val="FootnoteText"/>
      </w:pPr>
      <w:r>
        <w:rPr>
          <w:rStyle w:val="FootnoteReference"/>
        </w:rPr>
        <w:footnoteRef/>
      </w:r>
      <w:r>
        <w:t xml:space="preserve"> Noble, “Carolingian Reform,” 289.</w:t>
      </w:r>
    </w:p>
  </w:footnote>
  <w:footnote w:id="3">
    <w:p w14:paraId="39194C16" w14:textId="2E3433CB" w:rsidR="008C2EEF" w:rsidRDefault="008C2EEF" w:rsidP="008C2EE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F55CC">
        <w:t xml:space="preserve">Jonathan Z. Smith, </w:t>
      </w:r>
      <w:r w:rsidRPr="006A376C">
        <w:rPr>
          <w:i/>
          <w:iCs/>
        </w:rPr>
        <w:t>Imagining Religion: From Babylon to Jonestown</w:t>
      </w:r>
      <w:r w:rsidRPr="002F55CC">
        <w:t xml:space="preserve"> (Chicago: University of</w:t>
      </w:r>
      <w:r w:rsidR="00E56D36">
        <w:t xml:space="preserve"> </w:t>
      </w:r>
      <w:r w:rsidRPr="002F55CC">
        <w:t>Chic</w:t>
      </w:r>
      <w:r>
        <w:t xml:space="preserve">ago, 1982), xi. </w:t>
      </w:r>
    </w:p>
  </w:footnote>
  <w:footnote w:id="4">
    <w:p w14:paraId="1A88B4A5" w14:textId="77777777" w:rsidR="008C2EEF" w:rsidRPr="00D2700F" w:rsidRDefault="008C2EEF" w:rsidP="008C2EEF">
      <w:pPr>
        <w:pStyle w:val="FootnoteText"/>
      </w:pPr>
      <w:r>
        <w:rPr>
          <w:rStyle w:val="FootnoteReference"/>
        </w:rPr>
        <w:footnoteRef/>
      </w:r>
      <w:r>
        <w:t xml:space="preserve"> Smith, </w:t>
      </w:r>
      <w:r>
        <w:rPr>
          <w:i/>
          <w:iCs/>
        </w:rPr>
        <w:t>Imagining Religion</w:t>
      </w:r>
      <w:r>
        <w:t>, xi.</w:t>
      </w:r>
    </w:p>
  </w:footnote>
  <w:footnote w:id="5">
    <w:p w14:paraId="22E54BD9" w14:textId="5DAABD59" w:rsidR="00A74A89" w:rsidRDefault="00A74A89" w:rsidP="00A74A89">
      <w:pPr>
        <w:pStyle w:val="FootnoteText"/>
      </w:pPr>
      <w:r>
        <w:rPr>
          <w:rStyle w:val="FootnoteReference"/>
        </w:rPr>
        <w:footnoteRef/>
      </w:r>
      <w:r>
        <w:t xml:space="preserve"> Costambeys, Innes, and MacLean, </w:t>
      </w:r>
      <w:r>
        <w:rPr>
          <w:i/>
          <w:iCs/>
        </w:rPr>
        <w:t>The Carolingian World</w:t>
      </w:r>
      <w:r>
        <w:t xml:space="preserve">, </w:t>
      </w:r>
      <w:r w:rsidR="0089316A">
        <w:t>90</w:t>
      </w:r>
      <w:r>
        <w:t>.</w:t>
      </w:r>
    </w:p>
  </w:footnote>
  <w:footnote w:id="6">
    <w:p w14:paraId="7C8C44D5" w14:textId="351A35D7" w:rsidR="00DA4CE7" w:rsidRDefault="00DA4C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C3DFE">
        <w:t xml:space="preserve">Costambeys, Innes, and MacLean, </w:t>
      </w:r>
      <w:r w:rsidR="007C3DFE">
        <w:rPr>
          <w:i/>
          <w:iCs/>
        </w:rPr>
        <w:t>The Carolingian World</w:t>
      </w:r>
      <w:r w:rsidR="007C3DFE">
        <w:t>, 93.</w:t>
      </w:r>
    </w:p>
  </w:footnote>
  <w:footnote w:id="7">
    <w:p w14:paraId="010861F8" w14:textId="36F126DE" w:rsidR="00411E3B" w:rsidRDefault="00411E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C3DFE">
        <w:t xml:space="preserve">Costambeys, Innes, and MacLean, </w:t>
      </w:r>
      <w:r w:rsidR="007C3DFE">
        <w:rPr>
          <w:i/>
          <w:iCs/>
        </w:rPr>
        <w:t>The Carolingian World</w:t>
      </w:r>
      <w:r w:rsidR="007C3DFE">
        <w:t>, 94.</w:t>
      </w:r>
    </w:p>
  </w:footnote>
  <w:footnote w:id="8">
    <w:p w14:paraId="3752613F" w14:textId="4E14B329" w:rsidR="003625F8" w:rsidRPr="00C4260B" w:rsidRDefault="003625F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4260B">
        <w:t xml:space="preserve">Costambeys, Innes, and MacLean, </w:t>
      </w:r>
      <w:r w:rsidR="00C4260B">
        <w:rPr>
          <w:i/>
          <w:iCs/>
        </w:rPr>
        <w:t>The Carolingian World</w:t>
      </w:r>
      <w:r w:rsidR="00C4260B">
        <w:t>, 127.</w:t>
      </w:r>
    </w:p>
  </w:footnote>
  <w:footnote w:id="9">
    <w:p w14:paraId="140ADD76" w14:textId="77777777" w:rsidR="00BF27B3" w:rsidRDefault="00BF27B3" w:rsidP="00BF27B3">
      <w:pPr>
        <w:pStyle w:val="FootnoteText"/>
      </w:pPr>
      <w:r>
        <w:rPr>
          <w:rStyle w:val="FootnoteReference"/>
        </w:rPr>
        <w:footnoteRef/>
      </w:r>
      <w:r>
        <w:t xml:space="preserve"> Noble, “Carolingian Reform,” 288. Martin Marty’s six marks that define a system of beliefs and practices as being religious: an ultimate concern, interest in myth, emphasis on ceremony, a metaphysical view of life, behavioral adjustments, and socialization. See Noble, “Carolingian Reform,” 288.</w:t>
      </w:r>
    </w:p>
  </w:footnote>
  <w:footnote w:id="10">
    <w:p w14:paraId="3763ECFA" w14:textId="77777777" w:rsidR="00C2307F" w:rsidRDefault="00C2307F" w:rsidP="00C2307F">
      <w:pPr>
        <w:pStyle w:val="FootnoteText"/>
      </w:pPr>
      <w:r>
        <w:rPr>
          <w:rStyle w:val="FootnoteReference"/>
        </w:rPr>
        <w:footnoteRef/>
      </w:r>
      <w:r>
        <w:t xml:space="preserve"> Noble, “Carolingian Reform,” 307.</w:t>
      </w:r>
    </w:p>
  </w:footnote>
  <w:footnote w:id="11">
    <w:p w14:paraId="7FDEA977" w14:textId="77777777" w:rsidR="00BF27B3" w:rsidRDefault="00BF27B3" w:rsidP="00BF27B3">
      <w:pPr>
        <w:pStyle w:val="FootnoteText"/>
      </w:pPr>
      <w:r>
        <w:rPr>
          <w:rStyle w:val="FootnoteReference"/>
        </w:rPr>
        <w:footnoteRef/>
      </w:r>
      <w:r>
        <w:t xml:space="preserve"> Noble, “Carolingian Reform,” 291.</w:t>
      </w:r>
    </w:p>
  </w:footnote>
  <w:footnote w:id="12">
    <w:p w14:paraId="1C1843E0" w14:textId="77777777" w:rsidR="00BF27B3" w:rsidRDefault="00BF27B3" w:rsidP="00BF27B3">
      <w:pPr>
        <w:pStyle w:val="FootnoteText"/>
      </w:pPr>
      <w:r>
        <w:rPr>
          <w:rStyle w:val="FootnoteReference"/>
        </w:rPr>
        <w:footnoteRef/>
      </w:r>
      <w:r>
        <w:t xml:space="preserve"> Noble, “Carolingian Reform,” 293-294.</w:t>
      </w:r>
    </w:p>
  </w:footnote>
  <w:footnote w:id="13">
    <w:p w14:paraId="69F0B5C6" w14:textId="77777777" w:rsidR="00BF27B3" w:rsidRDefault="00BF27B3" w:rsidP="00BF27B3">
      <w:pPr>
        <w:pStyle w:val="FootnoteText"/>
      </w:pPr>
      <w:r>
        <w:rPr>
          <w:rStyle w:val="FootnoteReference"/>
        </w:rPr>
        <w:footnoteRef/>
      </w:r>
      <w:r>
        <w:t xml:space="preserve"> Noble, “Carolingian Reform,” 295-300.</w:t>
      </w:r>
    </w:p>
  </w:footnote>
  <w:footnote w:id="14">
    <w:p w14:paraId="2C5F4913" w14:textId="77777777" w:rsidR="008C2EEF" w:rsidRDefault="008C2EEF" w:rsidP="008C2EEF">
      <w:pPr>
        <w:pStyle w:val="FootnoteText"/>
      </w:pPr>
      <w:r>
        <w:rPr>
          <w:rStyle w:val="FootnoteReference"/>
        </w:rPr>
        <w:footnoteRef/>
      </w:r>
      <w:r>
        <w:t xml:space="preserve"> Mayke de Jong, </w:t>
      </w:r>
      <w:r>
        <w:rPr>
          <w:i/>
          <w:iCs/>
        </w:rPr>
        <w:t xml:space="preserve">The Penitential State: Authority and Atonement in the Age of Louis the Pious, 814-840 </w:t>
      </w:r>
      <w:r>
        <w:t>(Cambridge: Cambridge University Press, 2009), 36-37.</w:t>
      </w:r>
    </w:p>
  </w:footnote>
  <w:footnote w:id="15">
    <w:p w14:paraId="5E832FA6" w14:textId="77777777" w:rsidR="008C2EEF" w:rsidRPr="00A369BB" w:rsidRDefault="008C2EEF" w:rsidP="008C2EEF">
      <w:pPr>
        <w:pStyle w:val="FootnoteText"/>
      </w:pPr>
      <w:r>
        <w:rPr>
          <w:rStyle w:val="FootnoteReference"/>
        </w:rPr>
        <w:footnoteRef/>
      </w:r>
      <w:r>
        <w:t xml:space="preserve"> de Jong, </w:t>
      </w:r>
      <w:r>
        <w:rPr>
          <w:i/>
          <w:iCs/>
        </w:rPr>
        <w:t xml:space="preserve">The Penitential State, </w:t>
      </w:r>
      <w:r>
        <w:t>120.</w:t>
      </w:r>
    </w:p>
  </w:footnote>
  <w:footnote w:id="16">
    <w:p w14:paraId="69C7D3A9" w14:textId="77777777" w:rsidR="008C2EEF" w:rsidRDefault="008C2EEF" w:rsidP="008C2EEF">
      <w:pPr>
        <w:pStyle w:val="FootnoteText"/>
      </w:pPr>
      <w:r>
        <w:rPr>
          <w:rStyle w:val="FootnoteReference"/>
        </w:rPr>
        <w:footnoteRef/>
      </w:r>
      <w:r>
        <w:t xml:space="preserve"> de Jong, </w:t>
      </w:r>
      <w:r>
        <w:rPr>
          <w:i/>
          <w:iCs/>
        </w:rPr>
        <w:t>The Penitential State</w:t>
      </w:r>
      <w:r>
        <w:t>, 115.</w:t>
      </w:r>
    </w:p>
  </w:footnote>
  <w:footnote w:id="17">
    <w:p w14:paraId="320FEADD" w14:textId="77777777" w:rsidR="008C2EEF" w:rsidRPr="00433369" w:rsidRDefault="008C2EEF" w:rsidP="008C2EEF">
      <w:pPr>
        <w:pStyle w:val="FootnoteText"/>
      </w:pPr>
      <w:r>
        <w:rPr>
          <w:rStyle w:val="FootnoteReference"/>
        </w:rPr>
        <w:footnoteRef/>
      </w:r>
      <w:r>
        <w:t xml:space="preserve"> de Jong, </w:t>
      </w:r>
      <w:r>
        <w:rPr>
          <w:i/>
          <w:iCs/>
        </w:rPr>
        <w:t>The Penitential State</w:t>
      </w:r>
      <w:r>
        <w:t>, 156.</w:t>
      </w:r>
    </w:p>
  </w:footnote>
  <w:footnote w:id="18">
    <w:p w14:paraId="4BB1D5C9" w14:textId="7CBF1AA6" w:rsidR="00E67B3C" w:rsidRPr="002D4988" w:rsidRDefault="00E67B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D4988">
        <w:t xml:space="preserve">John H. Arnold, </w:t>
      </w:r>
      <w:r w:rsidR="002D4988">
        <w:rPr>
          <w:i/>
          <w:iCs/>
        </w:rPr>
        <w:t>Belief and Unbelief in Medieval Europe</w:t>
      </w:r>
      <w:r w:rsidR="00DA019A">
        <w:t xml:space="preserve"> (</w:t>
      </w:r>
      <w:r w:rsidR="00430035" w:rsidRPr="00430035">
        <w:t>New York: Oxford University Press, 2005</w:t>
      </w:r>
      <w:r w:rsidR="00430035">
        <w:t xml:space="preserve">), </w:t>
      </w:r>
      <w:r w:rsidR="00A91499">
        <w:t>8-9.</w:t>
      </w:r>
    </w:p>
  </w:footnote>
  <w:footnote w:id="19">
    <w:p w14:paraId="7E823490" w14:textId="27EA071D" w:rsidR="00DB220C" w:rsidRPr="00A91499" w:rsidRDefault="00DB22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91499">
        <w:t xml:space="preserve">Arnold, </w:t>
      </w:r>
      <w:r w:rsidR="00A91499">
        <w:rPr>
          <w:i/>
          <w:iCs/>
        </w:rPr>
        <w:t>Belief and Unbelief</w:t>
      </w:r>
      <w:r w:rsidR="00A91499">
        <w:t xml:space="preserve">, </w:t>
      </w:r>
      <w:r w:rsidR="001A78EC">
        <w:t>8-9.</w:t>
      </w:r>
    </w:p>
  </w:footnote>
  <w:footnote w:id="20">
    <w:p w14:paraId="4420D2DE" w14:textId="64012F06" w:rsidR="00222DFF" w:rsidRDefault="00222DFF">
      <w:pPr>
        <w:pStyle w:val="FootnoteText"/>
      </w:pPr>
      <w:r>
        <w:rPr>
          <w:rStyle w:val="FootnoteReference"/>
        </w:rPr>
        <w:footnoteRef/>
      </w:r>
      <w:r>
        <w:t xml:space="preserve"> Arnold, </w:t>
      </w:r>
      <w:r w:rsidRPr="00B470F3">
        <w:rPr>
          <w:i/>
          <w:iCs/>
        </w:rPr>
        <w:t>Belief and Unbelief</w:t>
      </w:r>
      <w:r>
        <w:t>,</w:t>
      </w:r>
      <w:r w:rsidR="00B470F3">
        <w:t xml:space="preserve"> </w:t>
      </w:r>
      <w:r w:rsidR="001B210D">
        <w:t>97-99.</w:t>
      </w:r>
    </w:p>
  </w:footnote>
  <w:footnote w:id="21">
    <w:p w14:paraId="205C0063" w14:textId="726C0BB8" w:rsidR="00A2320F" w:rsidRPr="00B470F3" w:rsidRDefault="00A232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470F3">
        <w:t xml:space="preserve">Arnold, </w:t>
      </w:r>
      <w:r w:rsidR="00B470F3">
        <w:rPr>
          <w:i/>
          <w:iCs/>
        </w:rPr>
        <w:t>Belief and Unbelief</w:t>
      </w:r>
      <w:r w:rsidR="00B470F3">
        <w:t>, 187-189.</w:t>
      </w:r>
    </w:p>
  </w:footnote>
  <w:footnote w:id="22">
    <w:p w14:paraId="27B1EC6A" w14:textId="77777777" w:rsidR="008C2EEF" w:rsidRPr="006B45BE" w:rsidRDefault="008C2EEF" w:rsidP="008C2EEF">
      <w:pPr>
        <w:pStyle w:val="FootnoteText"/>
      </w:pPr>
      <w:r>
        <w:rPr>
          <w:rStyle w:val="FootnoteReference"/>
        </w:rPr>
        <w:footnoteRef/>
      </w:r>
      <w:r>
        <w:t xml:space="preserve"> Michel Foucault, </w:t>
      </w:r>
      <w:r w:rsidRPr="002D67C8">
        <w:rPr>
          <w:i/>
          <w:iCs/>
        </w:rPr>
        <w:t>Security, Territory, Population: Lectures at the Collège De France 1977-1978</w:t>
      </w:r>
      <w:r>
        <w:t xml:space="preserve">, trans. Graham Burchell, ed. Michel Senellart, François Ewald, Alessandro Fontana, and Arnold I. Davidson (New York: Palgrave Macmillan, 2009), 147-148,  168; Ben Golder, “Foucault and the Genealogy of Pastoral Power,” </w:t>
      </w:r>
      <w:r>
        <w:rPr>
          <w:i/>
          <w:iCs/>
        </w:rPr>
        <w:t>Radical Philosophy Review</w:t>
      </w:r>
      <w:r>
        <w:t xml:space="preserve"> 10 (2007), 166.</w:t>
      </w:r>
    </w:p>
  </w:footnote>
  <w:footnote w:id="23">
    <w:p w14:paraId="6FC766F6" w14:textId="77777777" w:rsidR="008C2EEF" w:rsidRPr="00E452CB" w:rsidRDefault="008C2EEF" w:rsidP="008C2EEF">
      <w:pPr>
        <w:pStyle w:val="FootnoteText"/>
      </w:pPr>
      <w:r>
        <w:rPr>
          <w:rStyle w:val="FootnoteReference"/>
        </w:rPr>
        <w:footnoteRef/>
      </w:r>
      <w:r>
        <w:t xml:space="preserve"> Foucault, </w:t>
      </w:r>
      <w:r>
        <w:rPr>
          <w:i/>
          <w:iCs/>
        </w:rPr>
        <w:t>Security, Territory, Population</w:t>
      </w:r>
      <w:r>
        <w:t xml:space="preserve">, 150-159; Lauri </w:t>
      </w:r>
      <w:r w:rsidRPr="003937AD">
        <w:t>Siisiäinen</w:t>
      </w:r>
      <w:r>
        <w:t xml:space="preserve">, “Foucault, Pastoral Power, and Optics,” </w:t>
      </w:r>
      <w:r>
        <w:rPr>
          <w:i/>
          <w:iCs/>
        </w:rPr>
        <w:t>Critical Research on Religion</w:t>
      </w:r>
      <w:r>
        <w:t xml:space="preserve"> 3 (2015), 2-6.</w:t>
      </w:r>
    </w:p>
  </w:footnote>
  <w:footnote w:id="24">
    <w:p w14:paraId="344AFB1A" w14:textId="5F11CBA5" w:rsidR="00A53AF6" w:rsidRPr="000649AE" w:rsidRDefault="00A53A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A35D1">
        <w:t>Barbara H. Rosenwein</w:t>
      </w:r>
      <w:r w:rsidR="000649AE">
        <w:t xml:space="preserve">, </w:t>
      </w:r>
      <w:r w:rsidR="000649AE">
        <w:rPr>
          <w:i/>
          <w:iCs/>
        </w:rPr>
        <w:t>Emotional Communities in the Early Middle Ages</w:t>
      </w:r>
      <w:r w:rsidR="000649AE">
        <w:t xml:space="preserve"> (</w:t>
      </w:r>
      <w:r w:rsidR="00503960" w:rsidRPr="00503960">
        <w:t>Ithaca: Cornell University Press, 2006</w:t>
      </w:r>
      <w:r w:rsidR="00503960">
        <w:t xml:space="preserve">), </w:t>
      </w:r>
      <w:r w:rsidR="00127EA6">
        <w:t>2.</w:t>
      </w:r>
    </w:p>
  </w:footnote>
  <w:footnote w:id="25">
    <w:p w14:paraId="490EF9E4" w14:textId="145CB4F2" w:rsidR="00613448" w:rsidRPr="00613448" w:rsidRDefault="00613448">
      <w:pPr>
        <w:pStyle w:val="FootnoteText"/>
      </w:pPr>
      <w:r>
        <w:rPr>
          <w:rStyle w:val="FootnoteReference"/>
        </w:rPr>
        <w:footnoteRef/>
      </w:r>
      <w:r>
        <w:t xml:space="preserve"> Rosenwein, </w:t>
      </w:r>
      <w:r>
        <w:rPr>
          <w:i/>
          <w:iCs/>
        </w:rPr>
        <w:t>Emotional Communities</w:t>
      </w:r>
      <w:r>
        <w:t xml:space="preserve">, </w:t>
      </w:r>
      <w:r w:rsidR="00D5147D">
        <w:t>26.</w:t>
      </w:r>
    </w:p>
  </w:footnote>
  <w:footnote w:id="26">
    <w:p w14:paraId="5CAEB6B5" w14:textId="4535758E" w:rsidR="00215613" w:rsidRPr="008D054B" w:rsidRDefault="002156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D054B">
        <w:t xml:space="preserve">Rosenwein, </w:t>
      </w:r>
      <w:r w:rsidR="008D054B">
        <w:rPr>
          <w:i/>
          <w:iCs/>
        </w:rPr>
        <w:t>Emotional Communities</w:t>
      </w:r>
      <w:r w:rsidR="008D054B">
        <w:t>, 174-175.</w:t>
      </w:r>
    </w:p>
  </w:footnote>
  <w:footnote w:id="27">
    <w:p w14:paraId="55B4C91E" w14:textId="77777777" w:rsidR="00936641" w:rsidRDefault="00936641" w:rsidP="009366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C1FE6">
        <w:t xml:space="preserve">Matthew Innes and Charles West, “Saints and Demons in the Carolingian Countryside,” in </w:t>
      </w:r>
      <w:proofErr w:type="spellStart"/>
      <w:r w:rsidRPr="002C1FE6">
        <w:rPr>
          <w:i/>
          <w:iCs/>
        </w:rPr>
        <w:t>Kleine</w:t>
      </w:r>
      <w:proofErr w:type="spellEnd"/>
      <w:r w:rsidRPr="002C1FE6">
        <w:rPr>
          <w:i/>
          <w:iCs/>
        </w:rPr>
        <w:t xml:space="preserve"> </w:t>
      </w:r>
      <w:proofErr w:type="spellStart"/>
      <w:r w:rsidRPr="002C1FE6">
        <w:rPr>
          <w:i/>
          <w:iCs/>
        </w:rPr>
        <w:t>Welten</w:t>
      </w:r>
      <w:proofErr w:type="spellEnd"/>
      <w:r w:rsidRPr="002C1FE6">
        <w:rPr>
          <w:i/>
          <w:iCs/>
        </w:rPr>
        <w:t xml:space="preserve">: </w:t>
      </w:r>
      <w:proofErr w:type="spellStart"/>
      <w:r w:rsidRPr="002C1FE6">
        <w:rPr>
          <w:i/>
          <w:iCs/>
        </w:rPr>
        <w:t>Ländliche</w:t>
      </w:r>
      <w:proofErr w:type="spellEnd"/>
      <w:r w:rsidRPr="002C1FE6">
        <w:rPr>
          <w:i/>
          <w:iCs/>
        </w:rPr>
        <w:t xml:space="preserve"> </w:t>
      </w:r>
      <w:proofErr w:type="spellStart"/>
      <w:r w:rsidRPr="002C1FE6">
        <w:rPr>
          <w:i/>
          <w:iCs/>
        </w:rPr>
        <w:t>Gesellschaften</w:t>
      </w:r>
      <w:proofErr w:type="spellEnd"/>
      <w:r w:rsidRPr="002C1FE6">
        <w:rPr>
          <w:i/>
          <w:iCs/>
        </w:rPr>
        <w:t xml:space="preserve"> </w:t>
      </w:r>
      <w:proofErr w:type="spellStart"/>
      <w:r w:rsidRPr="002C1FE6">
        <w:rPr>
          <w:i/>
          <w:iCs/>
        </w:rPr>
        <w:t>Im</w:t>
      </w:r>
      <w:proofErr w:type="spellEnd"/>
      <w:r w:rsidRPr="002C1FE6">
        <w:rPr>
          <w:i/>
          <w:iCs/>
        </w:rPr>
        <w:t xml:space="preserve"> </w:t>
      </w:r>
      <w:proofErr w:type="spellStart"/>
      <w:r w:rsidRPr="002C1FE6">
        <w:rPr>
          <w:i/>
          <w:iCs/>
        </w:rPr>
        <w:t>Karolingerreich</w:t>
      </w:r>
      <w:proofErr w:type="spellEnd"/>
      <w:r w:rsidRPr="002C1FE6">
        <w:t xml:space="preserve">, ed. Thomas Kohl, Steffen </w:t>
      </w:r>
      <w:proofErr w:type="spellStart"/>
      <w:r w:rsidRPr="002C1FE6">
        <w:t>Patzold</w:t>
      </w:r>
      <w:proofErr w:type="spellEnd"/>
      <w:r w:rsidRPr="002C1FE6">
        <w:t xml:space="preserve">, and Bernhard Zeller (Konstanz: Jan </w:t>
      </w:r>
      <w:proofErr w:type="spellStart"/>
      <w:r w:rsidRPr="002C1FE6">
        <w:t>Thorbecke</w:t>
      </w:r>
      <w:proofErr w:type="spellEnd"/>
      <w:r w:rsidRPr="002C1FE6">
        <w:t xml:space="preserve"> Verlag, 2019), 8</w:t>
      </w:r>
      <w:r>
        <w:t>7.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11"/>
    <w:rsid w:val="00001BB6"/>
    <w:rsid w:val="00001FB1"/>
    <w:rsid w:val="00002486"/>
    <w:rsid w:val="0000396B"/>
    <w:rsid w:val="0001021C"/>
    <w:rsid w:val="00012D7D"/>
    <w:rsid w:val="00013C6F"/>
    <w:rsid w:val="000164F3"/>
    <w:rsid w:val="000236C1"/>
    <w:rsid w:val="00026411"/>
    <w:rsid w:val="00027F1C"/>
    <w:rsid w:val="000431C4"/>
    <w:rsid w:val="00046FC0"/>
    <w:rsid w:val="000537BA"/>
    <w:rsid w:val="000542A3"/>
    <w:rsid w:val="000649AE"/>
    <w:rsid w:val="0006633F"/>
    <w:rsid w:val="00071DC1"/>
    <w:rsid w:val="00071E3C"/>
    <w:rsid w:val="000734A1"/>
    <w:rsid w:val="000761D2"/>
    <w:rsid w:val="000802ED"/>
    <w:rsid w:val="00080B9C"/>
    <w:rsid w:val="00086DFA"/>
    <w:rsid w:val="00092125"/>
    <w:rsid w:val="00096748"/>
    <w:rsid w:val="000A00CB"/>
    <w:rsid w:val="000A284D"/>
    <w:rsid w:val="000A6B57"/>
    <w:rsid w:val="000B00B5"/>
    <w:rsid w:val="000B092E"/>
    <w:rsid w:val="000B16AF"/>
    <w:rsid w:val="000B3394"/>
    <w:rsid w:val="000C62B7"/>
    <w:rsid w:val="000C7151"/>
    <w:rsid w:val="000C7952"/>
    <w:rsid w:val="000D1232"/>
    <w:rsid w:val="000D213F"/>
    <w:rsid w:val="000D2500"/>
    <w:rsid w:val="000D7474"/>
    <w:rsid w:val="000E27E7"/>
    <w:rsid w:val="000E2EFE"/>
    <w:rsid w:val="000E3221"/>
    <w:rsid w:val="000E3FF0"/>
    <w:rsid w:val="000E4E46"/>
    <w:rsid w:val="000E5B5F"/>
    <w:rsid w:val="000E67E8"/>
    <w:rsid w:val="000F4537"/>
    <w:rsid w:val="000F70C5"/>
    <w:rsid w:val="001033A3"/>
    <w:rsid w:val="0010494D"/>
    <w:rsid w:val="00105038"/>
    <w:rsid w:val="00106740"/>
    <w:rsid w:val="001136EC"/>
    <w:rsid w:val="0011655D"/>
    <w:rsid w:val="0011691C"/>
    <w:rsid w:val="001207B3"/>
    <w:rsid w:val="00124828"/>
    <w:rsid w:val="00127EA6"/>
    <w:rsid w:val="00132B64"/>
    <w:rsid w:val="001338C0"/>
    <w:rsid w:val="00142972"/>
    <w:rsid w:val="00143D7B"/>
    <w:rsid w:val="00145CFB"/>
    <w:rsid w:val="00154C82"/>
    <w:rsid w:val="00157E03"/>
    <w:rsid w:val="001602BC"/>
    <w:rsid w:val="0016062B"/>
    <w:rsid w:val="001613A9"/>
    <w:rsid w:val="00163447"/>
    <w:rsid w:val="00166161"/>
    <w:rsid w:val="00166665"/>
    <w:rsid w:val="00170FE4"/>
    <w:rsid w:val="00171648"/>
    <w:rsid w:val="001731E9"/>
    <w:rsid w:val="0017662A"/>
    <w:rsid w:val="00176D91"/>
    <w:rsid w:val="001869E0"/>
    <w:rsid w:val="00186E56"/>
    <w:rsid w:val="00191DF1"/>
    <w:rsid w:val="00192EB6"/>
    <w:rsid w:val="0019426D"/>
    <w:rsid w:val="001A2717"/>
    <w:rsid w:val="001A28A2"/>
    <w:rsid w:val="001A38F4"/>
    <w:rsid w:val="001A3C67"/>
    <w:rsid w:val="001A48C2"/>
    <w:rsid w:val="001A5999"/>
    <w:rsid w:val="001A66D8"/>
    <w:rsid w:val="001A78EC"/>
    <w:rsid w:val="001B210D"/>
    <w:rsid w:val="001B3CD1"/>
    <w:rsid w:val="001B4189"/>
    <w:rsid w:val="001B5868"/>
    <w:rsid w:val="001B5907"/>
    <w:rsid w:val="001C1CB8"/>
    <w:rsid w:val="001C2B24"/>
    <w:rsid w:val="001C50CC"/>
    <w:rsid w:val="001C63B2"/>
    <w:rsid w:val="001C7A67"/>
    <w:rsid w:val="001D0426"/>
    <w:rsid w:val="001D451D"/>
    <w:rsid w:val="001D7098"/>
    <w:rsid w:val="001E075C"/>
    <w:rsid w:val="001E07CF"/>
    <w:rsid w:val="001E1111"/>
    <w:rsid w:val="001E1536"/>
    <w:rsid w:val="001E7989"/>
    <w:rsid w:val="001F2F28"/>
    <w:rsid w:val="001F3C0E"/>
    <w:rsid w:val="00202D66"/>
    <w:rsid w:val="002042BA"/>
    <w:rsid w:val="00204780"/>
    <w:rsid w:val="0020640C"/>
    <w:rsid w:val="00207107"/>
    <w:rsid w:val="00211118"/>
    <w:rsid w:val="00214B04"/>
    <w:rsid w:val="00215613"/>
    <w:rsid w:val="002209C7"/>
    <w:rsid w:val="00222DFF"/>
    <w:rsid w:val="00222FA2"/>
    <w:rsid w:val="00224AE7"/>
    <w:rsid w:val="00225F61"/>
    <w:rsid w:val="00226B1C"/>
    <w:rsid w:val="0023080D"/>
    <w:rsid w:val="0023581A"/>
    <w:rsid w:val="00236CDD"/>
    <w:rsid w:val="00236DEC"/>
    <w:rsid w:val="00237254"/>
    <w:rsid w:val="00250384"/>
    <w:rsid w:val="00253CAD"/>
    <w:rsid w:val="00255138"/>
    <w:rsid w:val="00257C2B"/>
    <w:rsid w:val="002603BC"/>
    <w:rsid w:val="00261429"/>
    <w:rsid w:val="00265BB7"/>
    <w:rsid w:val="00271E6A"/>
    <w:rsid w:val="00280C7B"/>
    <w:rsid w:val="00282072"/>
    <w:rsid w:val="00282622"/>
    <w:rsid w:val="002830DC"/>
    <w:rsid w:val="00283445"/>
    <w:rsid w:val="00286994"/>
    <w:rsid w:val="00287D76"/>
    <w:rsid w:val="00291E8A"/>
    <w:rsid w:val="002956A4"/>
    <w:rsid w:val="00297009"/>
    <w:rsid w:val="002A2884"/>
    <w:rsid w:val="002A302D"/>
    <w:rsid w:val="002A35D1"/>
    <w:rsid w:val="002A7C95"/>
    <w:rsid w:val="002B016C"/>
    <w:rsid w:val="002B274B"/>
    <w:rsid w:val="002B5545"/>
    <w:rsid w:val="002B5ED0"/>
    <w:rsid w:val="002B70D8"/>
    <w:rsid w:val="002B7214"/>
    <w:rsid w:val="002B7976"/>
    <w:rsid w:val="002C1FE6"/>
    <w:rsid w:val="002C2EB3"/>
    <w:rsid w:val="002C633A"/>
    <w:rsid w:val="002C71E0"/>
    <w:rsid w:val="002D0647"/>
    <w:rsid w:val="002D0E31"/>
    <w:rsid w:val="002D4988"/>
    <w:rsid w:val="002E08EE"/>
    <w:rsid w:val="002F52FB"/>
    <w:rsid w:val="003021AA"/>
    <w:rsid w:val="003026D6"/>
    <w:rsid w:val="003048F2"/>
    <w:rsid w:val="00305DE2"/>
    <w:rsid w:val="00306A26"/>
    <w:rsid w:val="00307626"/>
    <w:rsid w:val="003102AB"/>
    <w:rsid w:val="0031086E"/>
    <w:rsid w:val="00313171"/>
    <w:rsid w:val="0031669B"/>
    <w:rsid w:val="0032156C"/>
    <w:rsid w:val="00322E2B"/>
    <w:rsid w:val="0032359C"/>
    <w:rsid w:val="00330155"/>
    <w:rsid w:val="00336525"/>
    <w:rsid w:val="003411D3"/>
    <w:rsid w:val="003526BE"/>
    <w:rsid w:val="00354368"/>
    <w:rsid w:val="00355D29"/>
    <w:rsid w:val="003562E7"/>
    <w:rsid w:val="003625F8"/>
    <w:rsid w:val="00364D15"/>
    <w:rsid w:val="00374E10"/>
    <w:rsid w:val="00374F76"/>
    <w:rsid w:val="00380C1E"/>
    <w:rsid w:val="00383021"/>
    <w:rsid w:val="00390CC3"/>
    <w:rsid w:val="0039107D"/>
    <w:rsid w:val="00391D35"/>
    <w:rsid w:val="00395A87"/>
    <w:rsid w:val="003966B5"/>
    <w:rsid w:val="0039680F"/>
    <w:rsid w:val="003A0054"/>
    <w:rsid w:val="003A190F"/>
    <w:rsid w:val="003A2538"/>
    <w:rsid w:val="003A4938"/>
    <w:rsid w:val="003A7C80"/>
    <w:rsid w:val="003B6578"/>
    <w:rsid w:val="003B74F7"/>
    <w:rsid w:val="003C1E0A"/>
    <w:rsid w:val="003C2601"/>
    <w:rsid w:val="003C3A60"/>
    <w:rsid w:val="003C568B"/>
    <w:rsid w:val="003C5DEF"/>
    <w:rsid w:val="003D73E5"/>
    <w:rsid w:val="003E1F23"/>
    <w:rsid w:val="003E3DAD"/>
    <w:rsid w:val="003E443D"/>
    <w:rsid w:val="003E4CCA"/>
    <w:rsid w:val="003E6EC0"/>
    <w:rsid w:val="003E7245"/>
    <w:rsid w:val="003F19BB"/>
    <w:rsid w:val="003F2EA9"/>
    <w:rsid w:val="003F307C"/>
    <w:rsid w:val="003F30EE"/>
    <w:rsid w:val="003F61CD"/>
    <w:rsid w:val="00403504"/>
    <w:rsid w:val="00406DC5"/>
    <w:rsid w:val="00411E3B"/>
    <w:rsid w:val="00413111"/>
    <w:rsid w:val="00414ACC"/>
    <w:rsid w:val="00414E77"/>
    <w:rsid w:val="004161E3"/>
    <w:rsid w:val="0041676F"/>
    <w:rsid w:val="00416797"/>
    <w:rsid w:val="0042128C"/>
    <w:rsid w:val="004248B7"/>
    <w:rsid w:val="00430035"/>
    <w:rsid w:val="0043130C"/>
    <w:rsid w:val="00440982"/>
    <w:rsid w:val="00445241"/>
    <w:rsid w:val="00445567"/>
    <w:rsid w:val="00446DC5"/>
    <w:rsid w:val="00447969"/>
    <w:rsid w:val="004512FB"/>
    <w:rsid w:val="00451432"/>
    <w:rsid w:val="00454871"/>
    <w:rsid w:val="004638B7"/>
    <w:rsid w:val="00466287"/>
    <w:rsid w:val="00470BC3"/>
    <w:rsid w:val="00473364"/>
    <w:rsid w:val="004739EF"/>
    <w:rsid w:val="0047450F"/>
    <w:rsid w:val="00475A5D"/>
    <w:rsid w:val="004834F6"/>
    <w:rsid w:val="00487435"/>
    <w:rsid w:val="0049413A"/>
    <w:rsid w:val="00494720"/>
    <w:rsid w:val="004A4083"/>
    <w:rsid w:val="004A461D"/>
    <w:rsid w:val="004B18D8"/>
    <w:rsid w:val="004B1FFE"/>
    <w:rsid w:val="004B2A9F"/>
    <w:rsid w:val="004B31DD"/>
    <w:rsid w:val="004B5404"/>
    <w:rsid w:val="004B7DEB"/>
    <w:rsid w:val="004C0990"/>
    <w:rsid w:val="004C269A"/>
    <w:rsid w:val="004C3253"/>
    <w:rsid w:val="004C3C77"/>
    <w:rsid w:val="004D0AC1"/>
    <w:rsid w:val="004D2D03"/>
    <w:rsid w:val="004E0733"/>
    <w:rsid w:val="004E0CEB"/>
    <w:rsid w:val="004E3D5F"/>
    <w:rsid w:val="004F1A21"/>
    <w:rsid w:val="004F462C"/>
    <w:rsid w:val="004F495B"/>
    <w:rsid w:val="004F4BB5"/>
    <w:rsid w:val="004F610E"/>
    <w:rsid w:val="00503960"/>
    <w:rsid w:val="00504A33"/>
    <w:rsid w:val="005058AC"/>
    <w:rsid w:val="00505E52"/>
    <w:rsid w:val="00506C71"/>
    <w:rsid w:val="005203D8"/>
    <w:rsid w:val="00521904"/>
    <w:rsid w:val="0052255C"/>
    <w:rsid w:val="0052260F"/>
    <w:rsid w:val="005229DC"/>
    <w:rsid w:val="00523A2B"/>
    <w:rsid w:val="00530A68"/>
    <w:rsid w:val="00530BF6"/>
    <w:rsid w:val="00534A06"/>
    <w:rsid w:val="00534D82"/>
    <w:rsid w:val="0053648B"/>
    <w:rsid w:val="005369CD"/>
    <w:rsid w:val="00537CE2"/>
    <w:rsid w:val="00541BBD"/>
    <w:rsid w:val="0054257D"/>
    <w:rsid w:val="00544453"/>
    <w:rsid w:val="00552180"/>
    <w:rsid w:val="0055457F"/>
    <w:rsid w:val="005608AD"/>
    <w:rsid w:val="0056122F"/>
    <w:rsid w:val="005630C9"/>
    <w:rsid w:val="005667E6"/>
    <w:rsid w:val="00571443"/>
    <w:rsid w:val="005752A9"/>
    <w:rsid w:val="005760DE"/>
    <w:rsid w:val="00576FF6"/>
    <w:rsid w:val="0057776D"/>
    <w:rsid w:val="00585484"/>
    <w:rsid w:val="0058560C"/>
    <w:rsid w:val="00586816"/>
    <w:rsid w:val="005902C7"/>
    <w:rsid w:val="005907F9"/>
    <w:rsid w:val="00592E7B"/>
    <w:rsid w:val="00593A10"/>
    <w:rsid w:val="00594AEB"/>
    <w:rsid w:val="005A0F44"/>
    <w:rsid w:val="005A20F0"/>
    <w:rsid w:val="005A7C92"/>
    <w:rsid w:val="005B2BB6"/>
    <w:rsid w:val="005B4B54"/>
    <w:rsid w:val="005B5BE5"/>
    <w:rsid w:val="005C1D10"/>
    <w:rsid w:val="005C305E"/>
    <w:rsid w:val="005C554C"/>
    <w:rsid w:val="005C6716"/>
    <w:rsid w:val="005D48C4"/>
    <w:rsid w:val="005D4ABE"/>
    <w:rsid w:val="005D5B7B"/>
    <w:rsid w:val="005E18FB"/>
    <w:rsid w:val="005E207B"/>
    <w:rsid w:val="005E3E4E"/>
    <w:rsid w:val="005E52E6"/>
    <w:rsid w:val="005E55AB"/>
    <w:rsid w:val="005F1761"/>
    <w:rsid w:val="005F3B3D"/>
    <w:rsid w:val="006011B8"/>
    <w:rsid w:val="0060549C"/>
    <w:rsid w:val="00607051"/>
    <w:rsid w:val="006079E2"/>
    <w:rsid w:val="00607E84"/>
    <w:rsid w:val="00613448"/>
    <w:rsid w:val="00617AE2"/>
    <w:rsid w:val="0062468D"/>
    <w:rsid w:val="006411B2"/>
    <w:rsid w:val="00645988"/>
    <w:rsid w:val="00647872"/>
    <w:rsid w:val="00655FB0"/>
    <w:rsid w:val="006619AD"/>
    <w:rsid w:val="00666666"/>
    <w:rsid w:val="00667FE1"/>
    <w:rsid w:val="006721E4"/>
    <w:rsid w:val="00672712"/>
    <w:rsid w:val="0067581E"/>
    <w:rsid w:val="00682258"/>
    <w:rsid w:val="006829C7"/>
    <w:rsid w:val="0068427E"/>
    <w:rsid w:val="00684534"/>
    <w:rsid w:val="00685978"/>
    <w:rsid w:val="00687185"/>
    <w:rsid w:val="006965FC"/>
    <w:rsid w:val="00696FD2"/>
    <w:rsid w:val="006A0FCC"/>
    <w:rsid w:val="006A521E"/>
    <w:rsid w:val="006A58AF"/>
    <w:rsid w:val="006B1538"/>
    <w:rsid w:val="006B5234"/>
    <w:rsid w:val="006B675A"/>
    <w:rsid w:val="006C09F4"/>
    <w:rsid w:val="006C2D63"/>
    <w:rsid w:val="006C521D"/>
    <w:rsid w:val="006C6193"/>
    <w:rsid w:val="006C6EA6"/>
    <w:rsid w:val="006C7A3B"/>
    <w:rsid w:val="006D1573"/>
    <w:rsid w:val="006D2749"/>
    <w:rsid w:val="006D2C56"/>
    <w:rsid w:val="006D4863"/>
    <w:rsid w:val="006D5947"/>
    <w:rsid w:val="006E6E70"/>
    <w:rsid w:val="006E7519"/>
    <w:rsid w:val="006E7CD8"/>
    <w:rsid w:val="006F2458"/>
    <w:rsid w:val="00701510"/>
    <w:rsid w:val="00701DBD"/>
    <w:rsid w:val="00707DA4"/>
    <w:rsid w:val="007111E1"/>
    <w:rsid w:val="00720D50"/>
    <w:rsid w:val="00727EB8"/>
    <w:rsid w:val="00727FAC"/>
    <w:rsid w:val="00730A45"/>
    <w:rsid w:val="007323E4"/>
    <w:rsid w:val="00741335"/>
    <w:rsid w:val="007425EA"/>
    <w:rsid w:val="00744D37"/>
    <w:rsid w:val="00747D3A"/>
    <w:rsid w:val="00750A4E"/>
    <w:rsid w:val="007579F7"/>
    <w:rsid w:val="00774DCE"/>
    <w:rsid w:val="007753DE"/>
    <w:rsid w:val="007761A7"/>
    <w:rsid w:val="0078485E"/>
    <w:rsid w:val="00784F87"/>
    <w:rsid w:val="00785951"/>
    <w:rsid w:val="00787ACE"/>
    <w:rsid w:val="00787DC7"/>
    <w:rsid w:val="007912DB"/>
    <w:rsid w:val="007935EC"/>
    <w:rsid w:val="00793F7F"/>
    <w:rsid w:val="00796D00"/>
    <w:rsid w:val="00797BC8"/>
    <w:rsid w:val="007A1134"/>
    <w:rsid w:val="007A6970"/>
    <w:rsid w:val="007A7BCE"/>
    <w:rsid w:val="007B0E80"/>
    <w:rsid w:val="007B407C"/>
    <w:rsid w:val="007B5CFD"/>
    <w:rsid w:val="007B7F11"/>
    <w:rsid w:val="007C06B6"/>
    <w:rsid w:val="007C3DFE"/>
    <w:rsid w:val="007C616B"/>
    <w:rsid w:val="007D05E9"/>
    <w:rsid w:val="007D083E"/>
    <w:rsid w:val="007D616D"/>
    <w:rsid w:val="007E0942"/>
    <w:rsid w:val="007E1E91"/>
    <w:rsid w:val="007E2AC6"/>
    <w:rsid w:val="007E42A3"/>
    <w:rsid w:val="007E5497"/>
    <w:rsid w:val="007E6359"/>
    <w:rsid w:val="007E7E21"/>
    <w:rsid w:val="007F4109"/>
    <w:rsid w:val="007F5314"/>
    <w:rsid w:val="007F5AD3"/>
    <w:rsid w:val="0080338C"/>
    <w:rsid w:val="00803A4C"/>
    <w:rsid w:val="0081079C"/>
    <w:rsid w:val="00812201"/>
    <w:rsid w:val="0081226F"/>
    <w:rsid w:val="008129C2"/>
    <w:rsid w:val="008149E6"/>
    <w:rsid w:val="008217CF"/>
    <w:rsid w:val="0082414C"/>
    <w:rsid w:val="00827F25"/>
    <w:rsid w:val="00831437"/>
    <w:rsid w:val="00833415"/>
    <w:rsid w:val="00834E3F"/>
    <w:rsid w:val="008356D1"/>
    <w:rsid w:val="00837A0D"/>
    <w:rsid w:val="00840523"/>
    <w:rsid w:val="0084249A"/>
    <w:rsid w:val="00842A6E"/>
    <w:rsid w:val="00845494"/>
    <w:rsid w:val="008470A1"/>
    <w:rsid w:val="00850CEB"/>
    <w:rsid w:val="00853DC4"/>
    <w:rsid w:val="00856A16"/>
    <w:rsid w:val="00856C95"/>
    <w:rsid w:val="00861151"/>
    <w:rsid w:val="008627E6"/>
    <w:rsid w:val="008662FD"/>
    <w:rsid w:val="00871D8E"/>
    <w:rsid w:val="0087548B"/>
    <w:rsid w:val="00875D7F"/>
    <w:rsid w:val="00876483"/>
    <w:rsid w:val="00880029"/>
    <w:rsid w:val="00880758"/>
    <w:rsid w:val="008808BB"/>
    <w:rsid w:val="00882557"/>
    <w:rsid w:val="00890873"/>
    <w:rsid w:val="00891C88"/>
    <w:rsid w:val="008924DD"/>
    <w:rsid w:val="00892CD8"/>
    <w:rsid w:val="0089316A"/>
    <w:rsid w:val="00895905"/>
    <w:rsid w:val="00896368"/>
    <w:rsid w:val="008A0EDB"/>
    <w:rsid w:val="008A341B"/>
    <w:rsid w:val="008A482B"/>
    <w:rsid w:val="008A51B3"/>
    <w:rsid w:val="008A5545"/>
    <w:rsid w:val="008A6E11"/>
    <w:rsid w:val="008B0D8F"/>
    <w:rsid w:val="008B2EBE"/>
    <w:rsid w:val="008B41FB"/>
    <w:rsid w:val="008B6F22"/>
    <w:rsid w:val="008B7343"/>
    <w:rsid w:val="008C0414"/>
    <w:rsid w:val="008C0D1B"/>
    <w:rsid w:val="008C2163"/>
    <w:rsid w:val="008C2EEF"/>
    <w:rsid w:val="008C7F56"/>
    <w:rsid w:val="008D054B"/>
    <w:rsid w:val="008D350E"/>
    <w:rsid w:val="008D4364"/>
    <w:rsid w:val="008E11CE"/>
    <w:rsid w:val="008E2F63"/>
    <w:rsid w:val="008E3AED"/>
    <w:rsid w:val="008E4445"/>
    <w:rsid w:val="008E5E06"/>
    <w:rsid w:val="008F1271"/>
    <w:rsid w:val="008F5D7B"/>
    <w:rsid w:val="008F6CF4"/>
    <w:rsid w:val="008F78A2"/>
    <w:rsid w:val="00905BCE"/>
    <w:rsid w:val="00906CD6"/>
    <w:rsid w:val="00907313"/>
    <w:rsid w:val="00914FFE"/>
    <w:rsid w:val="00915A9D"/>
    <w:rsid w:val="009160F1"/>
    <w:rsid w:val="0092726E"/>
    <w:rsid w:val="009304D2"/>
    <w:rsid w:val="00931ADB"/>
    <w:rsid w:val="009337BB"/>
    <w:rsid w:val="00936641"/>
    <w:rsid w:val="00942677"/>
    <w:rsid w:val="00944203"/>
    <w:rsid w:val="0095035A"/>
    <w:rsid w:val="00950677"/>
    <w:rsid w:val="0095191C"/>
    <w:rsid w:val="00951CEE"/>
    <w:rsid w:val="00955A5F"/>
    <w:rsid w:val="00967618"/>
    <w:rsid w:val="00967D56"/>
    <w:rsid w:val="00971B34"/>
    <w:rsid w:val="009725B7"/>
    <w:rsid w:val="00972664"/>
    <w:rsid w:val="00973260"/>
    <w:rsid w:val="00977F55"/>
    <w:rsid w:val="00982D78"/>
    <w:rsid w:val="0098510C"/>
    <w:rsid w:val="00987939"/>
    <w:rsid w:val="009A450C"/>
    <w:rsid w:val="009B0EC1"/>
    <w:rsid w:val="009B1FFA"/>
    <w:rsid w:val="009B4920"/>
    <w:rsid w:val="009B4E98"/>
    <w:rsid w:val="009B51CF"/>
    <w:rsid w:val="009C2D30"/>
    <w:rsid w:val="009C48F9"/>
    <w:rsid w:val="009C7E32"/>
    <w:rsid w:val="009D1375"/>
    <w:rsid w:val="009D171D"/>
    <w:rsid w:val="009D650D"/>
    <w:rsid w:val="009E09FF"/>
    <w:rsid w:val="009E2BDE"/>
    <w:rsid w:val="009E4211"/>
    <w:rsid w:val="009E5176"/>
    <w:rsid w:val="00A002BF"/>
    <w:rsid w:val="00A049BD"/>
    <w:rsid w:val="00A05CC9"/>
    <w:rsid w:val="00A155D3"/>
    <w:rsid w:val="00A20954"/>
    <w:rsid w:val="00A21636"/>
    <w:rsid w:val="00A2320F"/>
    <w:rsid w:val="00A252B2"/>
    <w:rsid w:val="00A26B9F"/>
    <w:rsid w:val="00A342ED"/>
    <w:rsid w:val="00A35656"/>
    <w:rsid w:val="00A4345B"/>
    <w:rsid w:val="00A53356"/>
    <w:rsid w:val="00A53AF6"/>
    <w:rsid w:val="00A56C91"/>
    <w:rsid w:val="00A605C4"/>
    <w:rsid w:val="00A63643"/>
    <w:rsid w:val="00A65B2F"/>
    <w:rsid w:val="00A700D1"/>
    <w:rsid w:val="00A71EA7"/>
    <w:rsid w:val="00A74164"/>
    <w:rsid w:val="00A74A89"/>
    <w:rsid w:val="00A74CD7"/>
    <w:rsid w:val="00A75211"/>
    <w:rsid w:val="00A7748D"/>
    <w:rsid w:val="00A84253"/>
    <w:rsid w:val="00A871B9"/>
    <w:rsid w:val="00A91499"/>
    <w:rsid w:val="00AA01E4"/>
    <w:rsid w:val="00AA1F0E"/>
    <w:rsid w:val="00AA7FE2"/>
    <w:rsid w:val="00AB2C38"/>
    <w:rsid w:val="00AB421D"/>
    <w:rsid w:val="00AB66CB"/>
    <w:rsid w:val="00AC2C59"/>
    <w:rsid w:val="00AC7348"/>
    <w:rsid w:val="00AD1CBE"/>
    <w:rsid w:val="00AD55A3"/>
    <w:rsid w:val="00AD641F"/>
    <w:rsid w:val="00AD6744"/>
    <w:rsid w:val="00AD6CAF"/>
    <w:rsid w:val="00AD7B37"/>
    <w:rsid w:val="00AD7DBB"/>
    <w:rsid w:val="00AE166D"/>
    <w:rsid w:val="00AE2726"/>
    <w:rsid w:val="00AE2DBE"/>
    <w:rsid w:val="00AE4AAF"/>
    <w:rsid w:val="00AE542A"/>
    <w:rsid w:val="00AE68D8"/>
    <w:rsid w:val="00AF2CC4"/>
    <w:rsid w:val="00AF34D2"/>
    <w:rsid w:val="00AF37A1"/>
    <w:rsid w:val="00AF39AE"/>
    <w:rsid w:val="00B02F1C"/>
    <w:rsid w:val="00B04A8A"/>
    <w:rsid w:val="00B06155"/>
    <w:rsid w:val="00B1040A"/>
    <w:rsid w:val="00B13E04"/>
    <w:rsid w:val="00B22B50"/>
    <w:rsid w:val="00B237E9"/>
    <w:rsid w:val="00B27C6B"/>
    <w:rsid w:val="00B31A6E"/>
    <w:rsid w:val="00B33210"/>
    <w:rsid w:val="00B340F9"/>
    <w:rsid w:val="00B344EE"/>
    <w:rsid w:val="00B35D7A"/>
    <w:rsid w:val="00B4199B"/>
    <w:rsid w:val="00B427AE"/>
    <w:rsid w:val="00B43459"/>
    <w:rsid w:val="00B43B6A"/>
    <w:rsid w:val="00B43FDA"/>
    <w:rsid w:val="00B45995"/>
    <w:rsid w:val="00B470F3"/>
    <w:rsid w:val="00B53298"/>
    <w:rsid w:val="00B56497"/>
    <w:rsid w:val="00B742DC"/>
    <w:rsid w:val="00B743E4"/>
    <w:rsid w:val="00B76345"/>
    <w:rsid w:val="00B8394F"/>
    <w:rsid w:val="00B90DD6"/>
    <w:rsid w:val="00B9400E"/>
    <w:rsid w:val="00B949D1"/>
    <w:rsid w:val="00B95F1A"/>
    <w:rsid w:val="00BA1C49"/>
    <w:rsid w:val="00BB1A50"/>
    <w:rsid w:val="00BB1E22"/>
    <w:rsid w:val="00BB20BE"/>
    <w:rsid w:val="00BB20EB"/>
    <w:rsid w:val="00BB22C9"/>
    <w:rsid w:val="00BB2BA1"/>
    <w:rsid w:val="00BB5093"/>
    <w:rsid w:val="00BB511A"/>
    <w:rsid w:val="00BB57A7"/>
    <w:rsid w:val="00BC1D47"/>
    <w:rsid w:val="00BC2D44"/>
    <w:rsid w:val="00BC304D"/>
    <w:rsid w:val="00BC4817"/>
    <w:rsid w:val="00BC4982"/>
    <w:rsid w:val="00BC5A2A"/>
    <w:rsid w:val="00BD0466"/>
    <w:rsid w:val="00BD0FBF"/>
    <w:rsid w:val="00BD11A4"/>
    <w:rsid w:val="00BD1A8C"/>
    <w:rsid w:val="00BD270F"/>
    <w:rsid w:val="00BD3002"/>
    <w:rsid w:val="00BD6CFF"/>
    <w:rsid w:val="00BE0BC9"/>
    <w:rsid w:val="00BE1556"/>
    <w:rsid w:val="00BE3AC4"/>
    <w:rsid w:val="00BE74D6"/>
    <w:rsid w:val="00BE7676"/>
    <w:rsid w:val="00BF1B88"/>
    <w:rsid w:val="00BF27B3"/>
    <w:rsid w:val="00C009BC"/>
    <w:rsid w:val="00C00EB8"/>
    <w:rsid w:val="00C011DE"/>
    <w:rsid w:val="00C03EC3"/>
    <w:rsid w:val="00C04775"/>
    <w:rsid w:val="00C0545D"/>
    <w:rsid w:val="00C0789C"/>
    <w:rsid w:val="00C1021B"/>
    <w:rsid w:val="00C10909"/>
    <w:rsid w:val="00C2307F"/>
    <w:rsid w:val="00C2462A"/>
    <w:rsid w:val="00C26415"/>
    <w:rsid w:val="00C26F5B"/>
    <w:rsid w:val="00C27FD5"/>
    <w:rsid w:val="00C3111F"/>
    <w:rsid w:val="00C318C0"/>
    <w:rsid w:val="00C320F0"/>
    <w:rsid w:val="00C32E4C"/>
    <w:rsid w:val="00C34489"/>
    <w:rsid w:val="00C365A2"/>
    <w:rsid w:val="00C36E9D"/>
    <w:rsid w:val="00C370F6"/>
    <w:rsid w:val="00C40713"/>
    <w:rsid w:val="00C4136F"/>
    <w:rsid w:val="00C4260B"/>
    <w:rsid w:val="00C432AD"/>
    <w:rsid w:val="00C46FC8"/>
    <w:rsid w:val="00C52F62"/>
    <w:rsid w:val="00C537E8"/>
    <w:rsid w:val="00C548FC"/>
    <w:rsid w:val="00C54A74"/>
    <w:rsid w:val="00C57D34"/>
    <w:rsid w:val="00C62688"/>
    <w:rsid w:val="00C62983"/>
    <w:rsid w:val="00C66504"/>
    <w:rsid w:val="00C80476"/>
    <w:rsid w:val="00C83523"/>
    <w:rsid w:val="00C84E09"/>
    <w:rsid w:val="00C85ACE"/>
    <w:rsid w:val="00C87297"/>
    <w:rsid w:val="00C87FD3"/>
    <w:rsid w:val="00C906D9"/>
    <w:rsid w:val="00C9095E"/>
    <w:rsid w:val="00C92E56"/>
    <w:rsid w:val="00C9447D"/>
    <w:rsid w:val="00C94EDC"/>
    <w:rsid w:val="00C95F17"/>
    <w:rsid w:val="00C96DBD"/>
    <w:rsid w:val="00CB232D"/>
    <w:rsid w:val="00CB3C9F"/>
    <w:rsid w:val="00CC382C"/>
    <w:rsid w:val="00CC4757"/>
    <w:rsid w:val="00CD1545"/>
    <w:rsid w:val="00CD4345"/>
    <w:rsid w:val="00CD6BA5"/>
    <w:rsid w:val="00CE0136"/>
    <w:rsid w:val="00CE1FFF"/>
    <w:rsid w:val="00CE27F0"/>
    <w:rsid w:val="00CE3981"/>
    <w:rsid w:val="00CF7C85"/>
    <w:rsid w:val="00D07415"/>
    <w:rsid w:val="00D07950"/>
    <w:rsid w:val="00D11666"/>
    <w:rsid w:val="00D127E6"/>
    <w:rsid w:val="00D13450"/>
    <w:rsid w:val="00D135EE"/>
    <w:rsid w:val="00D14C34"/>
    <w:rsid w:val="00D1692D"/>
    <w:rsid w:val="00D16A48"/>
    <w:rsid w:val="00D2133C"/>
    <w:rsid w:val="00D214AE"/>
    <w:rsid w:val="00D2199C"/>
    <w:rsid w:val="00D22C6C"/>
    <w:rsid w:val="00D26D80"/>
    <w:rsid w:val="00D30D10"/>
    <w:rsid w:val="00D31112"/>
    <w:rsid w:val="00D3353B"/>
    <w:rsid w:val="00D3353C"/>
    <w:rsid w:val="00D33C39"/>
    <w:rsid w:val="00D4002E"/>
    <w:rsid w:val="00D4242E"/>
    <w:rsid w:val="00D45C5F"/>
    <w:rsid w:val="00D5147D"/>
    <w:rsid w:val="00D5372E"/>
    <w:rsid w:val="00D545CE"/>
    <w:rsid w:val="00D54F8E"/>
    <w:rsid w:val="00D60FB3"/>
    <w:rsid w:val="00D620D3"/>
    <w:rsid w:val="00D6297A"/>
    <w:rsid w:val="00D62C65"/>
    <w:rsid w:val="00D65BE2"/>
    <w:rsid w:val="00D66058"/>
    <w:rsid w:val="00D66734"/>
    <w:rsid w:val="00D66A43"/>
    <w:rsid w:val="00D73DEE"/>
    <w:rsid w:val="00D81115"/>
    <w:rsid w:val="00D824E1"/>
    <w:rsid w:val="00D87A40"/>
    <w:rsid w:val="00D96102"/>
    <w:rsid w:val="00DA019A"/>
    <w:rsid w:val="00DA08C4"/>
    <w:rsid w:val="00DA1676"/>
    <w:rsid w:val="00DA4CE7"/>
    <w:rsid w:val="00DA5497"/>
    <w:rsid w:val="00DA7C81"/>
    <w:rsid w:val="00DB049E"/>
    <w:rsid w:val="00DB220C"/>
    <w:rsid w:val="00DB3155"/>
    <w:rsid w:val="00DB7085"/>
    <w:rsid w:val="00DC3635"/>
    <w:rsid w:val="00DC4C15"/>
    <w:rsid w:val="00DC4D9F"/>
    <w:rsid w:val="00DC610F"/>
    <w:rsid w:val="00DC6E25"/>
    <w:rsid w:val="00DC78AC"/>
    <w:rsid w:val="00DD2210"/>
    <w:rsid w:val="00DD32A1"/>
    <w:rsid w:val="00DD378D"/>
    <w:rsid w:val="00DD3E67"/>
    <w:rsid w:val="00DD7E63"/>
    <w:rsid w:val="00DE1245"/>
    <w:rsid w:val="00DE4EFA"/>
    <w:rsid w:val="00DF1D4B"/>
    <w:rsid w:val="00DF38F1"/>
    <w:rsid w:val="00DF707B"/>
    <w:rsid w:val="00E03146"/>
    <w:rsid w:val="00E0499B"/>
    <w:rsid w:val="00E077F8"/>
    <w:rsid w:val="00E11C7E"/>
    <w:rsid w:val="00E13FF6"/>
    <w:rsid w:val="00E15191"/>
    <w:rsid w:val="00E205B5"/>
    <w:rsid w:val="00E22D61"/>
    <w:rsid w:val="00E23C7B"/>
    <w:rsid w:val="00E346B2"/>
    <w:rsid w:val="00E34F41"/>
    <w:rsid w:val="00E404B4"/>
    <w:rsid w:val="00E455CA"/>
    <w:rsid w:val="00E46A3F"/>
    <w:rsid w:val="00E5343B"/>
    <w:rsid w:val="00E5491C"/>
    <w:rsid w:val="00E55135"/>
    <w:rsid w:val="00E55CEF"/>
    <w:rsid w:val="00E56D36"/>
    <w:rsid w:val="00E5705A"/>
    <w:rsid w:val="00E604B1"/>
    <w:rsid w:val="00E63DD8"/>
    <w:rsid w:val="00E665E2"/>
    <w:rsid w:val="00E67B3C"/>
    <w:rsid w:val="00E70955"/>
    <w:rsid w:val="00E73CA7"/>
    <w:rsid w:val="00E7650D"/>
    <w:rsid w:val="00E77355"/>
    <w:rsid w:val="00E80496"/>
    <w:rsid w:val="00E81548"/>
    <w:rsid w:val="00E81757"/>
    <w:rsid w:val="00E833A2"/>
    <w:rsid w:val="00E8367F"/>
    <w:rsid w:val="00E85115"/>
    <w:rsid w:val="00E85442"/>
    <w:rsid w:val="00E9019A"/>
    <w:rsid w:val="00E94888"/>
    <w:rsid w:val="00EA2A02"/>
    <w:rsid w:val="00EA2E3B"/>
    <w:rsid w:val="00EB3F02"/>
    <w:rsid w:val="00EB45F7"/>
    <w:rsid w:val="00EC2753"/>
    <w:rsid w:val="00EC2E42"/>
    <w:rsid w:val="00EC463F"/>
    <w:rsid w:val="00EC75FB"/>
    <w:rsid w:val="00ED164B"/>
    <w:rsid w:val="00ED5415"/>
    <w:rsid w:val="00ED6494"/>
    <w:rsid w:val="00EE0A0C"/>
    <w:rsid w:val="00EE1FC2"/>
    <w:rsid w:val="00EE50CB"/>
    <w:rsid w:val="00EE6102"/>
    <w:rsid w:val="00EF5328"/>
    <w:rsid w:val="00EF7FF4"/>
    <w:rsid w:val="00F05B0C"/>
    <w:rsid w:val="00F137FA"/>
    <w:rsid w:val="00F16A3F"/>
    <w:rsid w:val="00F17A5E"/>
    <w:rsid w:val="00F17FEB"/>
    <w:rsid w:val="00F210D1"/>
    <w:rsid w:val="00F21B32"/>
    <w:rsid w:val="00F224CD"/>
    <w:rsid w:val="00F317F5"/>
    <w:rsid w:val="00F32D72"/>
    <w:rsid w:val="00F33579"/>
    <w:rsid w:val="00F37696"/>
    <w:rsid w:val="00F403DB"/>
    <w:rsid w:val="00F43345"/>
    <w:rsid w:val="00F4469B"/>
    <w:rsid w:val="00F451AC"/>
    <w:rsid w:val="00F46C64"/>
    <w:rsid w:val="00F5083B"/>
    <w:rsid w:val="00F53109"/>
    <w:rsid w:val="00F54E5E"/>
    <w:rsid w:val="00F5753E"/>
    <w:rsid w:val="00F6249E"/>
    <w:rsid w:val="00F64EAB"/>
    <w:rsid w:val="00F65F87"/>
    <w:rsid w:val="00F66339"/>
    <w:rsid w:val="00F731EF"/>
    <w:rsid w:val="00F737DB"/>
    <w:rsid w:val="00F73C23"/>
    <w:rsid w:val="00F76094"/>
    <w:rsid w:val="00F76E4C"/>
    <w:rsid w:val="00F81587"/>
    <w:rsid w:val="00F84043"/>
    <w:rsid w:val="00F85A1F"/>
    <w:rsid w:val="00F87A75"/>
    <w:rsid w:val="00F90D16"/>
    <w:rsid w:val="00F91361"/>
    <w:rsid w:val="00F93C88"/>
    <w:rsid w:val="00F93D2C"/>
    <w:rsid w:val="00F94D30"/>
    <w:rsid w:val="00F95AD5"/>
    <w:rsid w:val="00FA0DD9"/>
    <w:rsid w:val="00FA1035"/>
    <w:rsid w:val="00FA37AD"/>
    <w:rsid w:val="00FA3F15"/>
    <w:rsid w:val="00FB048E"/>
    <w:rsid w:val="00FB16CA"/>
    <w:rsid w:val="00FB2EE8"/>
    <w:rsid w:val="00FB4FDF"/>
    <w:rsid w:val="00FB53DE"/>
    <w:rsid w:val="00FB6617"/>
    <w:rsid w:val="00FB7C59"/>
    <w:rsid w:val="00FC3280"/>
    <w:rsid w:val="00FC38FF"/>
    <w:rsid w:val="00FC3F51"/>
    <w:rsid w:val="00FC4C8D"/>
    <w:rsid w:val="00FC536B"/>
    <w:rsid w:val="00FC5375"/>
    <w:rsid w:val="00FC76D2"/>
    <w:rsid w:val="00FD5772"/>
    <w:rsid w:val="00FD7B23"/>
    <w:rsid w:val="00FE039D"/>
    <w:rsid w:val="00FE0DED"/>
    <w:rsid w:val="00FE77A5"/>
    <w:rsid w:val="00FF1068"/>
    <w:rsid w:val="00FF42DB"/>
    <w:rsid w:val="00FF468D"/>
    <w:rsid w:val="00FF4C22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BF3B"/>
  <w15:chartTrackingRefBased/>
  <w15:docId w15:val="{DF3ECA77-D622-4DAB-B4D8-301423CF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2E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2E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2EE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122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2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2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2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2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1762</Words>
  <Characters>10047</Characters>
  <Application>Microsoft Office Word</Application>
  <DocSecurity>0</DocSecurity>
  <Lines>83</Lines>
  <Paragraphs>23</Paragraphs>
  <ScaleCrop>false</ScaleCrop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Corp</dc:creator>
  <cp:keywords/>
  <dc:description/>
  <cp:lastModifiedBy>Jack Corp</cp:lastModifiedBy>
  <cp:revision>1721</cp:revision>
  <dcterms:created xsi:type="dcterms:W3CDTF">2022-03-11T21:41:00Z</dcterms:created>
  <dcterms:modified xsi:type="dcterms:W3CDTF">2022-05-04T06:29:00Z</dcterms:modified>
</cp:coreProperties>
</file>