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6ED34" w14:textId="6D5029F3" w:rsidR="005B20EF" w:rsidRDefault="005B20EF" w:rsidP="00A623A4">
      <w:pPr>
        <w:spacing w:after="0" w:line="480" w:lineRule="auto"/>
      </w:pPr>
      <w:r>
        <w:t>Jack Corp</w:t>
      </w:r>
    </w:p>
    <w:p w14:paraId="3766316F" w14:textId="6079AAA7" w:rsidR="00990B3A" w:rsidRDefault="00990B3A" w:rsidP="00A623A4">
      <w:pPr>
        <w:spacing w:after="0" w:line="480" w:lineRule="auto"/>
      </w:pPr>
      <w:r>
        <w:t>Honors Research Proposal</w:t>
      </w:r>
    </w:p>
    <w:p w14:paraId="2B936BC4" w14:textId="70CA531F" w:rsidR="001978BD" w:rsidRDefault="005B20EF" w:rsidP="00A623A4">
      <w:pPr>
        <w:spacing w:after="0" w:line="480" w:lineRule="auto"/>
      </w:pPr>
      <w:r>
        <w:t>2</w:t>
      </w:r>
      <w:r w:rsidR="00927F94">
        <w:t>4</w:t>
      </w:r>
      <w:r>
        <w:t xml:space="preserve"> September 2021</w:t>
      </w:r>
    </w:p>
    <w:p w14:paraId="17CACBF4" w14:textId="713CE683" w:rsidR="001978BD" w:rsidRDefault="005B20EF" w:rsidP="00A623A4">
      <w:pPr>
        <w:spacing w:after="0" w:line="480" w:lineRule="auto"/>
        <w:jc w:val="center"/>
      </w:pPr>
      <w:r>
        <w:t>Shepherds of the Supernatural in Carolingian Pastoral Literature</w:t>
      </w:r>
    </w:p>
    <w:p w14:paraId="6DAEE77C" w14:textId="6B43770D" w:rsidR="00A87D67" w:rsidRDefault="005B20EF" w:rsidP="009334E2">
      <w:pPr>
        <w:spacing w:after="0" w:line="360" w:lineRule="auto"/>
        <w:ind w:firstLine="720"/>
      </w:pPr>
      <w:r w:rsidRPr="00743F84">
        <w:t xml:space="preserve">My research reassesses the role of the subversive, the obscure, the unknown, and unpredictable expressions of popular faith, belief, and holiness in eight- to tenth-century Francia as it elaborates and modifies Michel Foucault’s </w:t>
      </w:r>
      <w:r w:rsidR="005F287F">
        <w:t>theory</w:t>
      </w:r>
      <w:r w:rsidRPr="00743F84">
        <w:t xml:space="preserve"> of </w:t>
      </w:r>
      <w:r w:rsidR="00B66CE2">
        <w:t xml:space="preserve">the Christian </w:t>
      </w:r>
      <w:r w:rsidR="00A66839">
        <w:t>P</w:t>
      </w:r>
      <w:r w:rsidR="00B66CE2">
        <w:t>astorate</w:t>
      </w:r>
      <w:r w:rsidR="005F287F">
        <w:t xml:space="preserve"> and Barbara Rosenwein’s scheme of emotional communities.</w:t>
      </w:r>
      <w:r w:rsidR="003332F4">
        <w:t xml:space="preserve"> </w:t>
      </w:r>
      <w:r w:rsidR="006D4D97" w:rsidRPr="00743F84">
        <w:t xml:space="preserve">Superstitious beliefs and magical encounters in Carolingian literature, as understood by contemporary historiography, formed a category of difference: a mirror of non-Christian otherness against which an image of Christian orthodoxy and correctness developed. I propose that lay practitioners did not understand such otherness as external to Christianity but rather as a continuum of counter-elements aimed to redistribute pastoral power as it relates to systems of salvation. Nor did church authorities only use accounts of demons, storm conjurers, and false relics to define acceptable religious devotion. Instead, through a close-reading of hagiographies, theological tracts, and letters, I suggest the Carolingian Church utilized the margins of belief, the mixed and confused categories of magic and religion, to further extend the surveying gaze of the </w:t>
      </w:r>
      <w:r w:rsidR="006D4D97">
        <w:t>P</w:t>
      </w:r>
      <w:r w:rsidR="006D4D97" w:rsidRPr="00743F84">
        <w:t xml:space="preserve">astorate into every rural </w:t>
      </w:r>
      <w:r w:rsidR="006D4D97">
        <w:t xml:space="preserve">community. </w:t>
      </w:r>
      <w:r w:rsidR="00FB7108" w:rsidRPr="00743F84">
        <w:t xml:space="preserve">Several </w:t>
      </w:r>
      <w:r w:rsidR="00DC7D76">
        <w:t xml:space="preserve">general </w:t>
      </w:r>
      <w:r w:rsidR="00FB7108" w:rsidRPr="00743F84">
        <w:t xml:space="preserve">questions guide my </w:t>
      </w:r>
      <w:r w:rsidR="007554C6">
        <w:t>analysis</w:t>
      </w:r>
      <w:r w:rsidR="00FB7108" w:rsidRPr="00743F84">
        <w:t>: To what end did the peasantry utilize subversive forms of sanctity and faith? Is there a</w:t>
      </w:r>
      <w:r w:rsidR="00975406">
        <w:t xml:space="preserve"> functional </w:t>
      </w:r>
      <w:r w:rsidR="00FB7108" w:rsidRPr="00743F84">
        <w:t>difference between religion and magic in the social and cultural currents of the Carolingian world? Must disbelief be antithetical to belief?</w:t>
      </w:r>
      <w:r w:rsidR="00607D30">
        <w:t xml:space="preserve"> </w:t>
      </w:r>
      <w:r w:rsidR="002D6669">
        <w:t xml:space="preserve"> </w:t>
      </w:r>
    </w:p>
    <w:p w14:paraId="60D01C96" w14:textId="619B7CFE" w:rsidR="005334EB" w:rsidRDefault="00D80066" w:rsidP="009334E2">
      <w:pPr>
        <w:spacing w:after="0" w:line="360" w:lineRule="auto"/>
        <w:ind w:firstLine="720"/>
      </w:pPr>
      <w:r>
        <w:t xml:space="preserve">Historians of the Early Middle Ages are not ignorant </w:t>
      </w:r>
      <w:r w:rsidR="004637F1">
        <w:t>of</w:t>
      </w:r>
      <w:r>
        <w:t xml:space="preserve"> these questions</w:t>
      </w:r>
      <w:r w:rsidR="00DF11CC">
        <w:t xml:space="preserve">. </w:t>
      </w:r>
      <w:r w:rsidR="00AF2BF6">
        <w:t>Recent scholarship</w:t>
      </w:r>
      <w:r w:rsidR="00C95DDC">
        <w:t xml:space="preserve">, spearheaded by Michael D. Bailey, Charles West, and </w:t>
      </w:r>
      <w:proofErr w:type="spellStart"/>
      <w:r w:rsidR="00C95DDC" w:rsidRPr="00B227B7">
        <w:t>Mayke</w:t>
      </w:r>
      <w:proofErr w:type="spellEnd"/>
      <w:r w:rsidR="00C95DDC" w:rsidRPr="00B227B7">
        <w:t xml:space="preserve"> De Jong</w:t>
      </w:r>
      <w:r w:rsidR="00C90A14">
        <w:t>,</w:t>
      </w:r>
      <w:r w:rsidR="00C95DDC">
        <w:t xml:space="preserve"> </w:t>
      </w:r>
      <w:r w:rsidR="00AF2BF6">
        <w:t xml:space="preserve">turns </w:t>
      </w:r>
      <w:r w:rsidR="00967239">
        <w:t xml:space="preserve">a </w:t>
      </w:r>
      <w:r w:rsidR="00B54B70">
        <w:t xml:space="preserve">critical eye </w:t>
      </w:r>
      <w:r w:rsidR="00663B84">
        <w:t xml:space="preserve">towards the </w:t>
      </w:r>
      <w:r w:rsidR="00967239">
        <w:t xml:space="preserve">system </w:t>
      </w:r>
      <w:r w:rsidR="00740043">
        <w:t xml:space="preserve">of </w:t>
      </w:r>
      <w:r w:rsidR="00663B84">
        <w:t>religious power</w:t>
      </w:r>
      <w:r w:rsidR="0056396C">
        <w:t xml:space="preserve"> </w:t>
      </w:r>
      <w:r w:rsidR="00967239">
        <w:t xml:space="preserve">constructed through the </w:t>
      </w:r>
      <w:r w:rsidR="00E32D6C">
        <w:t>expansive</w:t>
      </w:r>
      <w:r w:rsidR="004F0C9C">
        <w:t xml:space="preserve"> church reforms of the “Carolingian Renaissance</w:t>
      </w:r>
      <w:r w:rsidR="00D56E0B">
        <w:t>.</w:t>
      </w:r>
      <w:r w:rsidR="004F0C9C">
        <w:t>”</w:t>
      </w:r>
      <w:r w:rsidR="00AA3150">
        <w:t xml:space="preserve"> </w:t>
      </w:r>
      <w:r w:rsidR="00007AB5">
        <w:t>W</w:t>
      </w:r>
      <w:r w:rsidR="00674D16">
        <w:t>ithin th</w:t>
      </w:r>
      <w:r w:rsidR="00007AB5">
        <w:t xml:space="preserve">is </w:t>
      </w:r>
      <w:r w:rsidR="00674D16">
        <w:t xml:space="preserve">research is a historiographical tendency to </w:t>
      </w:r>
      <w:r w:rsidR="005C7C92">
        <w:t>separate</w:t>
      </w:r>
      <w:r w:rsidR="00674D16">
        <w:t xml:space="preserve"> personal and </w:t>
      </w:r>
      <w:r w:rsidR="003855BE">
        <w:t>institutional expressions of faith</w:t>
      </w:r>
      <w:r w:rsidR="00A13D3B">
        <w:t xml:space="preserve">, to discuss religion and sanctity through a Weberian model of charisma. </w:t>
      </w:r>
      <w:r w:rsidR="008B6C80">
        <w:t xml:space="preserve">Explicit theorization </w:t>
      </w:r>
      <w:r w:rsidR="00AB2B80">
        <w:t>offers a worthwhile, however dangerous, boon to historical understanding</w:t>
      </w:r>
      <w:r w:rsidR="009341FA">
        <w:t xml:space="preserve">. </w:t>
      </w:r>
      <w:r w:rsidR="004E7017">
        <w:t>And while Weber’s charismatic authority</w:t>
      </w:r>
      <w:r w:rsidR="00016BFF">
        <w:t xml:space="preserve"> is a useful concept,</w:t>
      </w:r>
      <w:r w:rsidR="00900BF9">
        <w:t xml:space="preserve"> </w:t>
      </w:r>
      <w:r w:rsidR="00513929">
        <w:t xml:space="preserve">alternative </w:t>
      </w:r>
      <w:r w:rsidR="004E7017">
        <w:t>models</w:t>
      </w:r>
      <w:r w:rsidR="00513929">
        <w:t xml:space="preserve"> ought </w:t>
      </w:r>
      <w:r w:rsidR="004E7017">
        <w:t>to receive some consideration</w:t>
      </w:r>
      <w:r w:rsidR="0015608B">
        <w:t xml:space="preserve">. </w:t>
      </w:r>
      <w:r w:rsidR="00E02743">
        <w:t xml:space="preserve">For this project, I propose a </w:t>
      </w:r>
      <w:r w:rsidR="009E7C37">
        <w:t xml:space="preserve">novel reading of </w:t>
      </w:r>
      <w:r w:rsidR="002012AE">
        <w:t xml:space="preserve">the </w:t>
      </w:r>
      <w:r w:rsidR="00C00FD4">
        <w:t>“</w:t>
      </w:r>
      <w:r w:rsidR="002012AE">
        <w:t>Pastorate</w:t>
      </w:r>
      <w:r w:rsidR="00C00FD4">
        <w:t>”</w:t>
      </w:r>
      <w:r w:rsidR="002012AE">
        <w:t xml:space="preserve"> – a theory of </w:t>
      </w:r>
      <w:r w:rsidR="00724129">
        <w:t xml:space="preserve">religious </w:t>
      </w:r>
      <w:r w:rsidR="008F1796">
        <w:t>governmentality</w:t>
      </w:r>
      <w:r w:rsidR="002012AE">
        <w:t xml:space="preserve"> developed by Michel Foucault </w:t>
      </w:r>
      <w:r w:rsidR="002012AE">
        <w:lastRenderedPageBreak/>
        <w:t xml:space="preserve">in </w:t>
      </w:r>
      <w:r w:rsidR="002012AE">
        <w:rPr>
          <w:i/>
          <w:iCs/>
        </w:rPr>
        <w:t>Security, Territory, Population</w:t>
      </w:r>
      <w:r w:rsidR="00CF5A8C">
        <w:t xml:space="preserve"> </w:t>
      </w:r>
      <w:r w:rsidR="001D3BA5">
        <w:t>(</w:t>
      </w:r>
      <w:r w:rsidR="001D3BA5">
        <w:rPr>
          <w:i/>
          <w:iCs/>
        </w:rPr>
        <w:t>STP</w:t>
      </w:r>
      <w:r w:rsidR="001D3BA5">
        <w:t xml:space="preserve">) </w:t>
      </w:r>
      <w:r w:rsidR="00CF5A8C">
        <w:t xml:space="preserve">– </w:t>
      </w:r>
      <w:r w:rsidR="00E32351">
        <w:t>through</w:t>
      </w:r>
      <w:r w:rsidR="00CF5A8C">
        <w:t xml:space="preserve"> Barbara Rosenwein’s “emotional communities</w:t>
      </w:r>
      <w:r w:rsidR="00E20F0A">
        <w:t>.</w:t>
      </w:r>
      <w:r w:rsidR="00CF5A8C">
        <w:t>”</w:t>
      </w:r>
      <w:r w:rsidR="00E20F0A">
        <w:t xml:space="preserve"> </w:t>
      </w:r>
    </w:p>
    <w:p w14:paraId="0F92D10D" w14:textId="14ED2B08" w:rsidR="00EE6425" w:rsidRDefault="00F72499" w:rsidP="009334E2">
      <w:pPr>
        <w:spacing w:after="0" w:line="360" w:lineRule="auto"/>
        <w:ind w:firstLine="720"/>
      </w:pPr>
      <w:r>
        <w:t xml:space="preserve">In </w:t>
      </w:r>
      <w:r w:rsidR="00047CCB">
        <w:rPr>
          <w:i/>
          <w:iCs/>
        </w:rPr>
        <w:t>Security, Territory, Population</w:t>
      </w:r>
      <w:r w:rsidR="00047CCB">
        <w:t>,</w:t>
      </w:r>
      <w:r>
        <w:t xml:space="preserve"> Foucault traces the genealogy of modern statist institutions and practices to the systems of power </w:t>
      </w:r>
      <w:r w:rsidR="00A34D82">
        <w:t>articulated by early and medieval Christianity</w:t>
      </w:r>
      <w:r w:rsidR="00BD2BF3">
        <w:t xml:space="preserve">. </w:t>
      </w:r>
      <w:r w:rsidR="00884388">
        <w:t>Carolingian Europe</w:t>
      </w:r>
      <w:r w:rsidR="006A042E">
        <w:t>, I argue,</w:t>
      </w:r>
      <w:r w:rsidR="00884388">
        <w:t xml:space="preserve"> offers a unique period</w:t>
      </w:r>
      <w:r w:rsidR="00DC47AA">
        <w:t xml:space="preserve"> in the development </w:t>
      </w:r>
      <w:r w:rsidR="007029DC">
        <w:t xml:space="preserve">of this pastoral power. </w:t>
      </w:r>
      <w:r w:rsidR="004960B5">
        <w:t>Between the eighth and tenth centuries emerged a series of extensive episcopal reforms. From a combination of enforceable tithe payments and systematic efforts to bring all churches under common supervision emerged the parish, a term applied to local churches beginning the ninth-century.</w:t>
      </w:r>
      <w:r w:rsidR="004960B5">
        <w:rPr>
          <w:rStyle w:val="FootnoteReference"/>
        </w:rPr>
        <w:footnoteReference w:id="1"/>
      </w:r>
      <w:r w:rsidR="00581575">
        <w:t xml:space="preserve"> It is in this context</w:t>
      </w:r>
      <w:r w:rsidR="00D52F69">
        <w:t xml:space="preserve"> of dynamic reform, of dynamic relations between the Carolingian court</w:t>
      </w:r>
      <w:r w:rsidR="005B2AA2">
        <w:t xml:space="preserve">, </w:t>
      </w:r>
      <w:r w:rsidR="00D52F69">
        <w:t>church,</w:t>
      </w:r>
      <w:r w:rsidR="005B2AA2">
        <w:t xml:space="preserve"> and parish community</w:t>
      </w:r>
      <w:r w:rsidR="00DF7011">
        <w:t>,</w:t>
      </w:r>
      <w:r w:rsidR="00893FD4">
        <w:t xml:space="preserve"> that </w:t>
      </w:r>
      <w:r w:rsidR="00286856">
        <w:t xml:space="preserve">I turn to Foucault. </w:t>
      </w:r>
      <w:r w:rsidR="00BD2BF3">
        <w:t>Central to</w:t>
      </w:r>
      <w:r w:rsidR="00286856">
        <w:t xml:space="preserve"> the project of the Pastorate</w:t>
      </w:r>
      <w:r w:rsidR="0056520C">
        <w:t xml:space="preserve">, and my research, </w:t>
      </w:r>
      <w:r w:rsidR="00BD2BF3">
        <w:t xml:space="preserve">is the mechanism of pastoral power: </w:t>
      </w:r>
      <w:r w:rsidR="000227C5">
        <w:t>a Christian relation of power, knowledge, and truth</w:t>
      </w:r>
      <w:r w:rsidR="00EF4598">
        <w:t xml:space="preserve"> </w:t>
      </w:r>
      <w:r w:rsidR="00DC44FD">
        <w:t xml:space="preserve">organized around the </w:t>
      </w:r>
      <w:r w:rsidR="00C00D90">
        <w:t xml:space="preserve">totalizing and individualizing </w:t>
      </w:r>
      <w:r w:rsidR="00DC44FD">
        <w:t>gaze</w:t>
      </w:r>
      <w:r w:rsidR="006F36B4">
        <w:t xml:space="preserve"> – </w:t>
      </w:r>
      <w:r w:rsidR="00E5540C">
        <w:t>the gaze of</w:t>
      </w:r>
      <w:r w:rsidR="004C24C4">
        <w:t xml:space="preserve"> God or his representative </w:t>
      </w:r>
      <w:r w:rsidR="00E440AD">
        <w:t xml:space="preserve">on Earth </w:t>
      </w:r>
      <w:r w:rsidR="007F4403">
        <w:t>–</w:t>
      </w:r>
      <w:r w:rsidR="004C24C4">
        <w:t xml:space="preserve"> </w:t>
      </w:r>
      <w:r w:rsidR="007F4403">
        <w:t xml:space="preserve">which strives </w:t>
      </w:r>
      <w:r w:rsidR="00CC1A06">
        <w:t xml:space="preserve">towards perfect </w:t>
      </w:r>
      <w:r w:rsidR="00EC13AD">
        <w:t xml:space="preserve">transparency and illumination </w:t>
      </w:r>
      <w:r w:rsidR="00F50910">
        <w:t>of the subject</w:t>
      </w:r>
      <w:r w:rsidR="00E5540C">
        <w:t>.</w:t>
      </w:r>
      <w:r w:rsidR="00C85E7D">
        <w:rPr>
          <w:rStyle w:val="FootnoteReference"/>
        </w:rPr>
        <w:footnoteReference w:id="2"/>
      </w:r>
      <w:r w:rsidR="00E5540C">
        <w:t xml:space="preserve"> </w:t>
      </w:r>
      <w:r w:rsidR="004A37F1">
        <w:t>P</w:t>
      </w:r>
      <w:r w:rsidR="00803451">
        <w:t>astoral power</w:t>
      </w:r>
      <w:r w:rsidR="003E4A6A">
        <w:t xml:space="preserve"> situates the soul</w:t>
      </w:r>
      <w:r w:rsidR="00F82610">
        <w:t xml:space="preserve">, the primary concern of the </w:t>
      </w:r>
      <w:r w:rsidR="00397F37">
        <w:t>Pastorate</w:t>
      </w:r>
      <w:r w:rsidR="00F44A53">
        <w:t xml:space="preserve">, </w:t>
      </w:r>
      <w:r w:rsidR="0066782A">
        <w:t>into a grid of practices</w:t>
      </w:r>
      <w:r w:rsidR="00813941">
        <w:t xml:space="preserve">: </w:t>
      </w:r>
      <w:r w:rsidR="0066782A">
        <w:t>penitence, self-examination, and confession</w:t>
      </w:r>
      <w:r w:rsidR="002C6D74">
        <w:t>. T</w:t>
      </w:r>
      <w:r w:rsidR="00B42CC6">
        <w:t xml:space="preserve">hese institutional procedures </w:t>
      </w:r>
      <w:r w:rsidR="003C2627">
        <w:t xml:space="preserve">no longer </w:t>
      </w:r>
      <w:r w:rsidR="00023B27">
        <w:t>constitut</w:t>
      </w:r>
      <w:r w:rsidR="00E3742B">
        <w:t>e</w:t>
      </w:r>
      <w:r w:rsidR="00023B27">
        <w:t xml:space="preserve"> </w:t>
      </w:r>
      <w:r w:rsidR="002C6D74">
        <w:t>the soul</w:t>
      </w:r>
      <w:r w:rsidR="00023B27">
        <w:t xml:space="preserve"> </w:t>
      </w:r>
      <w:r w:rsidR="00E11312">
        <w:t>a</w:t>
      </w:r>
      <w:r w:rsidR="003C2627">
        <w:t xml:space="preserve">s the subject </w:t>
      </w:r>
      <w:r w:rsidR="00E11312">
        <w:t>of knowledg</w:t>
      </w:r>
      <w:r w:rsidR="000C1144">
        <w:t xml:space="preserve">e </w:t>
      </w:r>
      <w:r w:rsidR="003C2627">
        <w:t xml:space="preserve">but </w:t>
      </w:r>
      <w:r w:rsidR="00901E2F">
        <w:t xml:space="preserve">an </w:t>
      </w:r>
      <w:r w:rsidR="00901E2F">
        <w:rPr>
          <w:i/>
          <w:iCs/>
        </w:rPr>
        <w:t xml:space="preserve">object </w:t>
      </w:r>
      <w:r w:rsidR="00901E2F">
        <w:t xml:space="preserve">to seize, </w:t>
      </w:r>
      <w:r w:rsidR="00A503D1">
        <w:t>to separate, to distinguish</w:t>
      </w:r>
      <w:r w:rsidR="0027260D">
        <w:t xml:space="preserve"> so as to leave nothing hidden before God and the </w:t>
      </w:r>
      <w:r w:rsidR="000B23A6">
        <w:t>Pastorate</w:t>
      </w:r>
      <w:r w:rsidR="0027260D">
        <w:t>,</w:t>
      </w:r>
      <w:r w:rsidR="00A503D1">
        <w:t xml:space="preserve"> </w:t>
      </w:r>
      <w:r w:rsidR="00977EB9">
        <w:t>through a reflexive relation</w:t>
      </w:r>
      <w:r w:rsidR="002964F6">
        <w:t>ship</w:t>
      </w:r>
      <w:r w:rsidR="00977EB9">
        <w:t xml:space="preserve"> between the subject with itself</w:t>
      </w:r>
      <w:r w:rsidR="005C50EA">
        <w:t>.</w:t>
      </w:r>
      <w:r w:rsidR="00CA2037">
        <w:rPr>
          <w:rStyle w:val="FootnoteReference"/>
        </w:rPr>
        <w:footnoteReference w:id="3"/>
      </w:r>
      <w:r w:rsidR="005C50EA">
        <w:t xml:space="preserve"> </w:t>
      </w:r>
      <w:r w:rsidR="00623C70">
        <w:t xml:space="preserve">This </w:t>
      </w:r>
      <w:r w:rsidR="002A51A4">
        <w:t>Christian</w:t>
      </w:r>
      <w:r w:rsidR="00623C70">
        <w:t xml:space="preserve"> hermeneutics of the self</w:t>
      </w:r>
      <w:r w:rsidR="000B23A6">
        <w:t>, argues Foucault</w:t>
      </w:r>
      <w:r w:rsidR="00BB25A5">
        <w:t>,</w:t>
      </w:r>
      <w:r w:rsidR="00623C70">
        <w:t xml:space="preserve"> is </w:t>
      </w:r>
      <w:r w:rsidR="00337C56">
        <w:t>a technique</w:t>
      </w:r>
      <w:r w:rsidR="003C2627">
        <w:t xml:space="preserve"> of political individualization </w:t>
      </w:r>
      <w:r w:rsidR="00865CFE">
        <w:t xml:space="preserve">designed to produce </w:t>
      </w:r>
      <w:r w:rsidR="00EC26C0">
        <w:t>governable</w:t>
      </w:r>
      <w:r w:rsidR="00865CFE">
        <w:t xml:space="preserve"> identities.</w:t>
      </w:r>
      <w:r w:rsidR="00EC26C0">
        <w:t xml:space="preserve"> </w:t>
      </w:r>
      <w:r w:rsidR="002E72C5">
        <w:t>How do such identi</w:t>
      </w:r>
      <w:r w:rsidR="00DD3B6A">
        <w:t>ties</w:t>
      </w:r>
      <w:r w:rsidR="002E72C5">
        <w:t>, naked before God and</w:t>
      </w:r>
      <w:r w:rsidR="00581368">
        <w:t xml:space="preserve">, </w:t>
      </w:r>
      <w:r w:rsidR="006B420A">
        <w:t>in theory</w:t>
      </w:r>
      <w:r w:rsidR="00581368">
        <w:t xml:space="preserve">, the Church, </w:t>
      </w:r>
      <w:r w:rsidR="002E72C5">
        <w:t xml:space="preserve">find expression? </w:t>
      </w:r>
      <w:r w:rsidR="00167999">
        <w:t xml:space="preserve">For this </w:t>
      </w:r>
      <w:r w:rsidR="00627D1C">
        <w:t>question</w:t>
      </w:r>
      <w:r w:rsidR="00F0205D">
        <w:t xml:space="preserve">, I turn to Rosenwein’s </w:t>
      </w:r>
      <w:r w:rsidR="00BA00B3">
        <w:t xml:space="preserve">model of </w:t>
      </w:r>
      <w:r w:rsidR="00F0205D">
        <w:t>emotional communitie</w:t>
      </w:r>
      <w:r w:rsidR="00BA00B3">
        <w:t>s</w:t>
      </w:r>
      <w:r w:rsidR="008A6E15">
        <w:t xml:space="preserve"> a</w:t>
      </w:r>
      <w:r w:rsidR="00BA00B3">
        <w:t xml:space="preserve">s </w:t>
      </w:r>
      <w:r w:rsidR="002964F6">
        <w:t xml:space="preserve">a </w:t>
      </w:r>
      <w:r w:rsidR="00BA00B3">
        <w:t>tool of historical analysis</w:t>
      </w:r>
      <w:r w:rsidR="008A6E15">
        <w:t xml:space="preserve">. </w:t>
      </w:r>
    </w:p>
    <w:p w14:paraId="68666398" w14:textId="42D2FF92" w:rsidR="00C85C63" w:rsidRDefault="008A6E15" w:rsidP="009334E2">
      <w:pPr>
        <w:spacing w:after="0" w:line="360" w:lineRule="auto"/>
        <w:ind w:firstLine="720"/>
      </w:pPr>
      <w:r>
        <w:t xml:space="preserve">Rosenwein </w:t>
      </w:r>
      <w:r w:rsidR="00080EF8">
        <w:t xml:space="preserve">argues </w:t>
      </w:r>
      <w:r w:rsidR="00DD382B">
        <w:t xml:space="preserve">that </w:t>
      </w:r>
      <w:r w:rsidR="004968DC">
        <w:t xml:space="preserve">the norms, values, and behaviors of any </w:t>
      </w:r>
      <w:r w:rsidR="00DD382B">
        <w:t xml:space="preserve">period, group, or </w:t>
      </w:r>
      <w:r w:rsidR="00956469">
        <w:t>locality</w:t>
      </w:r>
      <w:r w:rsidR="004968DC">
        <w:t xml:space="preserve"> </w:t>
      </w:r>
      <w:r w:rsidR="002E5102">
        <w:t>shape emotional expression.</w:t>
      </w:r>
      <w:r w:rsidR="00DB4D45">
        <w:rPr>
          <w:rStyle w:val="FootnoteReference"/>
        </w:rPr>
        <w:footnoteReference w:id="4"/>
      </w:r>
      <w:r w:rsidR="002E5102">
        <w:t xml:space="preserve"> </w:t>
      </w:r>
      <w:r w:rsidR="0010374B">
        <w:t xml:space="preserve">Emotional </w:t>
      </w:r>
      <w:r w:rsidR="00047F9C">
        <w:t xml:space="preserve">communities, in other words, </w:t>
      </w:r>
      <w:r w:rsidR="005F5164">
        <w:t xml:space="preserve">are shared </w:t>
      </w:r>
      <w:r w:rsidR="00D1126A">
        <w:t>vocabularies</w:t>
      </w:r>
      <w:r w:rsidR="005F5164">
        <w:t xml:space="preserve"> and ways of thinking</w:t>
      </w:r>
      <w:r w:rsidR="000E5DB5">
        <w:t xml:space="preserve"> that</w:t>
      </w:r>
      <w:r w:rsidR="001256A6">
        <w:t xml:space="preserve"> cultivate </w:t>
      </w:r>
      <w:r w:rsidR="000F3BA0">
        <w:t xml:space="preserve">which responses </w:t>
      </w:r>
      <w:r w:rsidR="00025BB3">
        <w:t xml:space="preserve">to any given event </w:t>
      </w:r>
      <w:r w:rsidR="007B0E31">
        <w:t xml:space="preserve">find </w:t>
      </w:r>
      <w:r w:rsidR="00F227BC">
        <w:t>external</w:t>
      </w:r>
      <w:r w:rsidR="007B0E31">
        <w:t xml:space="preserve"> expression</w:t>
      </w:r>
      <w:r w:rsidR="00025BB3">
        <w:t xml:space="preserve">, and which </w:t>
      </w:r>
      <w:r w:rsidR="00F928C7">
        <w:t xml:space="preserve">remain </w:t>
      </w:r>
      <w:r w:rsidR="00967846">
        <w:t xml:space="preserve">to the self. </w:t>
      </w:r>
      <w:r w:rsidR="002F1B9A">
        <w:t xml:space="preserve">Applying this theoretical framework to early medieval pastoral literature – that is, texts concerned with the audience’s moral wellbeing and salvation – I </w:t>
      </w:r>
      <w:r w:rsidR="002F1B9A">
        <w:lastRenderedPageBreak/>
        <w:t xml:space="preserve">hypothesize that the </w:t>
      </w:r>
      <w:r w:rsidR="005638DC">
        <w:t xml:space="preserve">Carolingian </w:t>
      </w:r>
      <w:r w:rsidR="00BA08AA">
        <w:t>peasantry</w:t>
      </w:r>
      <w:r w:rsidR="008848D7">
        <w:t xml:space="preserve"> </w:t>
      </w:r>
      <w:r w:rsidR="006E77F3">
        <w:t xml:space="preserve">made conscious decisions about </w:t>
      </w:r>
      <w:r w:rsidR="00345D03">
        <w:t xml:space="preserve">their engagement with </w:t>
      </w:r>
      <w:r w:rsidR="005D74F6">
        <w:t xml:space="preserve">supernatural forces, </w:t>
      </w:r>
      <w:r w:rsidR="006570E7">
        <w:t xml:space="preserve">permissible or otherwise, </w:t>
      </w:r>
      <w:r w:rsidR="005A2013">
        <w:t xml:space="preserve">as a form of </w:t>
      </w:r>
      <w:r w:rsidR="00E962E5">
        <w:t>resistance</w:t>
      </w:r>
      <w:r w:rsidR="005A2013">
        <w:t xml:space="preserve"> against the Pastorate and its gaze</w:t>
      </w:r>
      <w:r w:rsidR="00964987">
        <w:t xml:space="preserve">, which </w:t>
      </w:r>
      <w:r w:rsidR="00084DE6">
        <w:t xml:space="preserve">did not an achieve </w:t>
      </w:r>
      <w:r w:rsidR="003C49E8">
        <w:t xml:space="preserve">all-encompassing </w:t>
      </w:r>
      <w:r w:rsidR="00084DE6">
        <w:t>vision</w:t>
      </w:r>
      <w:r w:rsidR="00FF0B4B">
        <w:t>, as indicated by the variable emotional communities</w:t>
      </w:r>
      <w:r w:rsidR="00E4707C">
        <w:t xml:space="preserve"> within the Empire</w:t>
      </w:r>
      <w:r w:rsidR="00FF0B4B">
        <w:t xml:space="preserve">. </w:t>
      </w:r>
    </w:p>
    <w:p w14:paraId="4F10F3CF" w14:textId="528F3F69" w:rsidR="007F312C" w:rsidRDefault="00CC1D4A" w:rsidP="007F312C">
      <w:pPr>
        <w:spacing w:after="0" w:line="480" w:lineRule="auto"/>
      </w:pPr>
      <w:r>
        <w:tab/>
      </w:r>
      <w:r w:rsidR="00BC6007">
        <w:t xml:space="preserve"> </w:t>
      </w:r>
    </w:p>
    <w:p w14:paraId="1EB64DDE" w14:textId="77777777" w:rsidR="002F2E4A" w:rsidRDefault="002F2E4A" w:rsidP="00A623A4">
      <w:pPr>
        <w:spacing w:after="0" w:line="480" w:lineRule="auto"/>
        <w:ind w:firstLine="720"/>
      </w:pPr>
    </w:p>
    <w:p w14:paraId="14BEB603" w14:textId="77777777" w:rsidR="00A06BA7" w:rsidRDefault="00A06BA7">
      <w:r>
        <w:br w:type="page"/>
      </w:r>
    </w:p>
    <w:p w14:paraId="32099A30" w14:textId="4AB05E3E" w:rsidR="002F4F4E" w:rsidRDefault="002F4F4E" w:rsidP="002F4F4E">
      <w:pPr>
        <w:jc w:val="center"/>
      </w:pPr>
      <w:r>
        <w:lastRenderedPageBreak/>
        <w:t>Bibliography</w:t>
      </w:r>
    </w:p>
    <w:p w14:paraId="401585CE" w14:textId="1F985535" w:rsidR="005B20EF" w:rsidRDefault="005B20EF" w:rsidP="005B20EF">
      <w:r>
        <w:t xml:space="preserve">Primary Sources: </w:t>
      </w:r>
    </w:p>
    <w:p w14:paraId="14BB093A" w14:textId="77777777" w:rsidR="005B20EF" w:rsidRDefault="005B20EF" w:rsidP="005B20EF">
      <w:pPr>
        <w:ind w:left="720" w:hanging="720"/>
      </w:pPr>
      <w:r>
        <w:t xml:space="preserve">Agobard of Lyon. “On Hail and Thunder.” Internet History Sourcebooks Project. February 21, 2001. </w:t>
      </w:r>
      <w:r w:rsidRPr="00035147">
        <w:t>https://sourcebooks.fordham.edu/source/agobard-onhailandthunder.asp</w:t>
      </w:r>
    </w:p>
    <w:p w14:paraId="665DC44B" w14:textId="77777777" w:rsidR="005B20EF" w:rsidRPr="00666A72" w:rsidRDefault="005B20EF" w:rsidP="005B20EF">
      <w:pPr>
        <w:ind w:left="720" w:hanging="720"/>
      </w:pPr>
      <w:r w:rsidRPr="00666A72">
        <w:t xml:space="preserve">Amolo of Lyon. “The Letter of Amolo Archbishop of Lyon to Theobald Bishop of </w:t>
      </w:r>
      <w:proofErr w:type="spellStart"/>
      <w:r w:rsidRPr="00666A72">
        <w:t>Langres</w:t>
      </w:r>
      <w:proofErr w:type="spellEnd"/>
      <w:r w:rsidRPr="00666A72">
        <w:t xml:space="preserve">, Concerning Suspect Relics (c.841x844).” Translated by Charles West. </w:t>
      </w:r>
      <w:r w:rsidRPr="00E3095A">
        <w:t>http://history.dept.shef.ac.uk/translations/medieval/amolo/#_edn6</w:t>
      </w:r>
    </w:p>
    <w:p w14:paraId="3640635D" w14:textId="77777777" w:rsidR="005B20EF" w:rsidRDefault="005B20EF" w:rsidP="005B20EF">
      <w:pPr>
        <w:ind w:left="720" w:hanging="720"/>
      </w:pPr>
      <w:r>
        <w:t xml:space="preserve">Benedict of </w:t>
      </w:r>
      <w:proofErr w:type="spellStart"/>
      <w:r>
        <w:t>Nursia</w:t>
      </w:r>
      <w:proofErr w:type="spellEnd"/>
      <w:r>
        <w:t xml:space="preserve">. </w:t>
      </w:r>
      <w:r w:rsidRPr="00FF1606">
        <w:rPr>
          <w:i/>
          <w:iCs/>
        </w:rPr>
        <w:t>Benedict's Rule: A Translation and Commentary</w:t>
      </w:r>
      <w:r>
        <w:t xml:space="preserve">. Translated by </w:t>
      </w:r>
      <w:r w:rsidRPr="00FF1606">
        <w:t xml:space="preserve">Terrence G </w:t>
      </w:r>
      <w:proofErr w:type="spellStart"/>
      <w:r w:rsidRPr="00FF1606">
        <w:t>Kardong</w:t>
      </w:r>
      <w:proofErr w:type="spellEnd"/>
      <w:r>
        <w:t>.</w:t>
      </w:r>
      <w:r w:rsidRPr="00FF1606">
        <w:t xml:space="preserve"> </w:t>
      </w:r>
      <w:r>
        <w:t>Collegeville</w:t>
      </w:r>
      <w:r w:rsidRPr="00FF1606">
        <w:t>: Liturgical Press, 2016.</w:t>
      </w:r>
    </w:p>
    <w:p w14:paraId="5F30B2C3" w14:textId="77777777" w:rsidR="005B20EF" w:rsidRDefault="005B20EF" w:rsidP="005B20EF">
      <w:pPr>
        <w:ind w:left="720" w:hanging="720"/>
      </w:pPr>
      <w:r w:rsidRPr="00FD671D">
        <w:t xml:space="preserve">Einhard. "The Translation and Miracles of the Blessed Martyrs, Marcellinus and Peter." In </w:t>
      </w:r>
      <w:r w:rsidRPr="00FD671D">
        <w:rPr>
          <w:i/>
          <w:iCs/>
        </w:rPr>
        <w:t>Charlemagne's Courtier The Complete Einhard</w:t>
      </w:r>
      <w:r w:rsidRPr="00FD671D">
        <w:t>, edited by Paul Edward Dutton, 69-131. Vol. III. Readings in Medieval Civilizations and Cultures. Orchard Park, NY: Broadview Press, 2006.</w:t>
      </w:r>
    </w:p>
    <w:p w14:paraId="6A46C3B8" w14:textId="77777777" w:rsidR="005B20EF" w:rsidRDefault="005B20EF" w:rsidP="005B20EF">
      <w:pPr>
        <w:spacing w:after="0" w:line="240" w:lineRule="auto"/>
        <w:ind w:left="720" w:hanging="720"/>
        <w:rPr>
          <w:rFonts w:eastAsia="Times New Roman" w:cs="Times New Roman"/>
          <w:szCs w:val="24"/>
        </w:rPr>
      </w:pPr>
      <w:proofErr w:type="spellStart"/>
      <w:r w:rsidRPr="00FF15CF">
        <w:rPr>
          <w:rFonts w:eastAsia="Times New Roman" w:cs="Times New Roman"/>
          <w:szCs w:val="24"/>
        </w:rPr>
        <w:t>Halitgar</w:t>
      </w:r>
      <w:proofErr w:type="spellEnd"/>
      <w:r w:rsidRPr="00FF15CF">
        <w:rPr>
          <w:rFonts w:eastAsia="Times New Roman" w:cs="Times New Roman"/>
          <w:szCs w:val="24"/>
        </w:rPr>
        <w:t xml:space="preserve">. </w:t>
      </w:r>
      <w:r>
        <w:rPr>
          <w:rFonts w:eastAsia="Times New Roman" w:cs="Times New Roman"/>
          <w:szCs w:val="24"/>
        </w:rPr>
        <w:t>“</w:t>
      </w:r>
      <w:r w:rsidRPr="00FF15CF">
        <w:rPr>
          <w:rFonts w:eastAsia="Times New Roman" w:cs="Times New Roman"/>
          <w:szCs w:val="24"/>
        </w:rPr>
        <w:t xml:space="preserve">The So-Called Roman Penitential of </w:t>
      </w:r>
      <w:proofErr w:type="spellStart"/>
      <w:r w:rsidRPr="00FF15CF">
        <w:rPr>
          <w:rFonts w:eastAsia="Times New Roman" w:cs="Times New Roman"/>
          <w:szCs w:val="24"/>
        </w:rPr>
        <w:t>Halitgar</w:t>
      </w:r>
      <w:proofErr w:type="spellEnd"/>
      <w:r w:rsidRPr="00FF15CF">
        <w:rPr>
          <w:rFonts w:eastAsia="Times New Roman" w:cs="Times New Roman"/>
          <w:szCs w:val="24"/>
        </w:rPr>
        <w:t>.</w:t>
      </w:r>
      <w:r>
        <w:rPr>
          <w:rFonts w:eastAsia="Times New Roman" w:cs="Times New Roman"/>
          <w:szCs w:val="24"/>
        </w:rPr>
        <w:t>”</w:t>
      </w:r>
      <w:r w:rsidRPr="00FF15CF">
        <w:rPr>
          <w:rFonts w:eastAsia="Times New Roman" w:cs="Times New Roman"/>
          <w:szCs w:val="24"/>
        </w:rPr>
        <w:t xml:space="preserve"> In </w:t>
      </w:r>
      <w:r w:rsidRPr="00FF15CF">
        <w:rPr>
          <w:rFonts w:eastAsia="Times New Roman" w:cs="Times New Roman"/>
          <w:i/>
          <w:iCs/>
          <w:szCs w:val="24"/>
        </w:rPr>
        <w:t>Medieval Handbooks of Penance: A Translation of the Principal Libri Poenitentiales and Selections from Related Documents</w:t>
      </w:r>
      <w:r w:rsidRPr="00FF15CF">
        <w:rPr>
          <w:rFonts w:eastAsia="Times New Roman" w:cs="Times New Roman"/>
          <w:szCs w:val="24"/>
        </w:rPr>
        <w:t xml:space="preserve">, </w:t>
      </w:r>
      <w:r>
        <w:rPr>
          <w:rFonts w:eastAsia="Times New Roman" w:cs="Times New Roman"/>
          <w:szCs w:val="24"/>
        </w:rPr>
        <w:t xml:space="preserve">Edited and </w:t>
      </w:r>
      <w:r w:rsidRPr="00FF15CF">
        <w:rPr>
          <w:rFonts w:eastAsia="Times New Roman" w:cs="Times New Roman"/>
          <w:szCs w:val="24"/>
        </w:rPr>
        <w:t>translated by John T. McNeill and Helena M. Gamer, 295-314. New York, NY: Columbia University Press, 1990.</w:t>
      </w:r>
    </w:p>
    <w:p w14:paraId="37CF64BA" w14:textId="77777777" w:rsidR="005B20EF" w:rsidRDefault="005B20EF" w:rsidP="005B20EF">
      <w:pPr>
        <w:spacing w:after="0" w:line="240" w:lineRule="auto"/>
        <w:ind w:left="720" w:hanging="720"/>
        <w:rPr>
          <w:rFonts w:eastAsia="Times New Roman" w:cs="Times New Roman"/>
          <w:szCs w:val="24"/>
        </w:rPr>
      </w:pPr>
    </w:p>
    <w:p w14:paraId="2A580937" w14:textId="77777777" w:rsidR="005B20EF" w:rsidRDefault="005B20EF" w:rsidP="005B20EF">
      <w:pPr>
        <w:spacing w:after="0" w:line="240" w:lineRule="auto"/>
        <w:ind w:left="720" w:hanging="720"/>
        <w:rPr>
          <w:rFonts w:eastAsia="Times New Roman" w:cs="Times New Roman"/>
          <w:szCs w:val="24"/>
        </w:rPr>
      </w:pPr>
      <w:proofErr w:type="spellStart"/>
      <w:r w:rsidRPr="00360E01">
        <w:rPr>
          <w:rFonts w:eastAsia="Times New Roman" w:cs="Times New Roman"/>
          <w:szCs w:val="24"/>
        </w:rPr>
        <w:t>Hincmar</w:t>
      </w:r>
      <w:proofErr w:type="spellEnd"/>
      <w:r w:rsidRPr="00360E01">
        <w:rPr>
          <w:rFonts w:eastAsia="Times New Roman" w:cs="Times New Roman"/>
          <w:szCs w:val="24"/>
        </w:rPr>
        <w:t xml:space="preserve"> of Rheims. </w:t>
      </w:r>
      <w:r w:rsidRPr="00360E01">
        <w:rPr>
          <w:rFonts w:eastAsia="Times New Roman" w:cs="Times New Roman"/>
          <w:i/>
          <w:iCs/>
          <w:szCs w:val="24"/>
        </w:rPr>
        <w:t xml:space="preserve">The Divorce of King Lothar and Queen </w:t>
      </w:r>
      <w:proofErr w:type="spellStart"/>
      <w:r w:rsidRPr="00360E01">
        <w:rPr>
          <w:rFonts w:eastAsia="Times New Roman" w:cs="Times New Roman"/>
          <w:i/>
          <w:iCs/>
          <w:szCs w:val="24"/>
        </w:rPr>
        <w:t>Theutberga</w:t>
      </w:r>
      <w:proofErr w:type="spellEnd"/>
      <w:r w:rsidRPr="00360E01">
        <w:rPr>
          <w:rFonts w:eastAsia="Times New Roman" w:cs="Times New Roman"/>
          <w:szCs w:val="24"/>
        </w:rPr>
        <w:t xml:space="preserve">. Translated by Rachel West and Charles </w:t>
      </w:r>
      <w:r>
        <w:rPr>
          <w:rFonts w:eastAsia="Times New Roman" w:cs="Times New Roman"/>
          <w:szCs w:val="24"/>
        </w:rPr>
        <w:t>Stone</w:t>
      </w:r>
      <w:r w:rsidRPr="00360E01">
        <w:rPr>
          <w:rFonts w:eastAsia="Times New Roman" w:cs="Times New Roman"/>
          <w:szCs w:val="24"/>
        </w:rPr>
        <w:t>. Manchester: Manchester University Press, 2016.</w:t>
      </w:r>
    </w:p>
    <w:p w14:paraId="0E664E10" w14:textId="77777777" w:rsidR="005B20EF" w:rsidRPr="004B2B2E" w:rsidRDefault="005B20EF" w:rsidP="005B20EF">
      <w:pPr>
        <w:spacing w:after="0" w:line="240" w:lineRule="auto"/>
        <w:ind w:left="720" w:hanging="720"/>
        <w:rPr>
          <w:rFonts w:eastAsia="Times New Roman" w:cs="Times New Roman"/>
          <w:szCs w:val="24"/>
        </w:rPr>
      </w:pPr>
    </w:p>
    <w:p w14:paraId="05CD6F71" w14:textId="77777777" w:rsidR="005B20EF" w:rsidRPr="004B2B2E" w:rsidRDefault="005B20EF" w:rsidP="005B20EF">
      <w:pPr>
        <w:ind w:left="720" w:hanging="720"/>
      </w:pPr>
      <w:r>
        <w:t>Hubert the Priest. “</w:t>
      </w:r>
      <w:r w:rsidRPr="003563D7">
        <w:t xml:space="preserve">The Appearance of St </w:t>
      </w:r>
      <w:proofErr w:type="spellStart"/>
      <w:r w:rsidRPr="003563D7">
        <w:t>Vaast</w:t>
      </w:r>
      <w:proofErr w:type="spellEnd"/>
      <w:r>
        <w:t xml:space="preserve">.” Translated by Charles West. </w:t>
      </w:r>
      <w:r w:rsidRPr="008335F9">
        <w:t>http://history.dept.shef.ac.uk/translations/medieval/saint-vaast/</w:t>
      </w:r>
    </w:p>
    <w:p w14:paraId="3538FB4C" w14:textId="77777777" w:rsidR="005B20EF" w:rsidRDefault="005B20EF" w:rsidP="005B20EF">
      <w:pPr>
        <w:ind w:left="720" w:hanging="720"/>
      </w:pPr>
      <w:r>
        <w:t xml:space="preserve">Maurus, </w:t>
      </w:r>
      <w:proofErr w:type="spellStart"/>
      <w:r>
        <w:t>Rabanus</w:t>
      </w:r>
      <w:proofErr w:type="spellEnd"/>
      <w:r>
        <w:t xml:space="preserve">, </w:t>
      </w:r>
      <w:r>
        <w:rPr>
          <w:i/>
          <w:iCs/>
        </w:rPr>
        <w:t xml:space="preserve">De </w:t>
      </w:r>
      <w:proofErr w:type="spellStart"/>
      <w:r>
        <w:rPr>
          <w:i/>
          <w:iCs/>
        </w:rPr>
        <w:t>Universo</w:t>
      </w:r>
      <w:proofErr w:type="spellEnd"/>
      <w:r>
        <w:rPr>
          <w:i/>
          <w:iCs/>
        </w:rPr>
        <w:t xml:space="preserve">: The </w:t>
      </w:r>
      <w:proofErr w:type="spellStart"/>
      <w:r>
        <w:rPr>
          <w:i/>
          <w:iCs/>
        </w:rPr>
        <w:t>Pecular</w:t>
      </w:r>
      <w:proofErr w:type="spellEnd"/>
      <w:r>
        <w:rPr>
          <w:i/>
          <w:iCs/>
        </w:rPr>
        <w:t xml:space="preserve"> Properties of Words and their Mystical Significance</w:t>
      </w:r>
      <w:r>
        <w:t xml:space="preserve">, translated by Priscilla Throop. Charlotte: </w:t>
      </w:r>
      <w:proofErr w:type="spellStart"/>
      <w:r>
        <w:t>MedievalMS</w:t>
      </w:r>
      <w:proofErr w:type="spellEnd"/>
      <w:r>
        <w:t>, 2009.</w:t>
      </w:r>
    </w:p>
    <w:p w14:paraId="660D63C1" w14:textId="77777777" w:rsidR="005B20EF" w:rsidRDefault="005B20EF" w:rsidP="005B20EF">
      <w:pPr>
        <w:ind w:left="720" w:hanging="720"/>
      </w:pPr>
      <w:r w:rsidRPr="00666A72">
        <w:rPr>
          <w:i/>
          <w:iCs/>
        </w:rPr>
        <w:t>The Annals of Fulda: Ninth-century Histories, Volume II.</w:t>
      </w:r>
      <w:r w:rsidRPr="00666A72">
        <w:t xml:space="preserve"> Translated and edited by Timothy Reuter. United Kingdom: Manchester University Press, 1992.</w:t>
      </w:r>
    </w:p>
    <w:p w14:paraId="2AB8D874" w14:textId="77777777" w:rsidR="005B20EF" w:rsidRDefault="005B20EF" w:rsidP="005B20EF">
      <w:pPr>
        <w:ind w:left="720" w:hanging="720"/>
      </w:pPr>
    </w:p>
    <w:p w14:paraId="10549EDA" w14:textId="77777777" w:rsidR="005B20EF" w:rsidRDefault="005B20EF" w:rsidP="005B20EF">
      <w:pPr>
        <w:ind w:left="720" w:hanging="720"/>
      </w:pPr>
      <w:r>
        <w:t>Secondary Sources:</w:t>
      </w:r>
    </w:p>
    <w:p w14:paraId="195EDA54" w14:textId="77777777" w:rsidR="005B20EF" w:rsidRPr="00B227B7" w:rsidRDefault="005B20EF" w:rsidP="005B20EF">
      <w:pPr>
        <w:ind w:left="720" w:hanging="720"/>
      </w:pPr>
      <w:r w:rsidRPr="00B227B7">
        <w:t xml:space="preserve">Allman, Dwight D. "Sin and the Construction of Carolingian Kingship." In </w:t>
      </w:r>
      <w:r w:rsidRPr="00B227B7">
        <w:rPr>
          <w:i/>
          <w:iCs/>
        </w:rPr>
        <w:t>The Seven Deadly Sins</w:t>
      </w:r>
      <w:r w:rsidRPr="00B227B7">
        <w:t xml:space="preserve"> 2007: 21-40.</w:t>
      </w:r>
    </w:p>
    <w:p w14:paraId="66EA86C7" w14:textId="77777777" w:rsidR="005B20EF" w:rsidRPr="00B227B7" w:rsidRDefault="005B20EF" w:rsidP="005B20EF">
      <w:pPr>
        <w:ind w:left="720" w:hanging="720"/>
      </w:pPr>
      <w:r w:rsidRPr="00B227B7">
        <w:t xml:space="preserve">Bailey, Michael D. "Magic and Disbelief in Carolingian Lyon." In </w:t>
      </w:r>
      <w:r w:rsidRPr="00B227B7">
        <w:rPr>
          <w:i/>
          <w:iCs/>
        </w:rPr>
        <w:t>Civilizations of the Supernatural: Witchcraft, Ritual, and Religious Experience in Late Antique, Medieval, and Renaissance Traditions</w:t>
      </w:r>
      <w:r w:rsidRPr="00B227B7">
        <w:t xml:space="preserve">, edited by Fabrizio Conti, 177-202. Vol. 1. Budapest, Hungary: </w:t>
      </w:r>
      <w:proofErr w:type="spellStart"/>
      <w:r w:rsidRPr="00B227B7">
        <w:t>Trivent</w:t>
      </w:r>
      <w:proofErr w:type="spellEnd"/>
      <w:r w:rsidRPr="00B227B7">
        <w:t xml:space="preserve"> Publishing, 2020.</w:t>
      </w:r>
    </w:p>
    <w:p w14:paraId="4E417E52" w14:textId="77777777" w:rsidR="005B20EF" w:rsidRPr="00B227B7" w:rsidRDefault="005B20EF" w:rsidP="005B20EF">
      <w:pPr>
        <w:ind w:left="720" w:hanging="720"/>
      </w:pPr>
      <w:r w:rsidRPr="00B227B7">
        <w:t xml:space="preserve">Bruce, Scott G. “Textual Triage and Pastoral Care in the Carolingian Age: The Example of the Rule of Benedict.” </w:t>
      </w:r>
      <w:r w:rsidRPr="00B227B7">
        <w:rPr>
          <w:i/>
          <w:iCs/>
        </w:rPr>
        <w:t>Traditio</w:t>
      </w:r>
      <w:r w:rsidRPr="00B227B7">
        <w:t xml:space="preserve"> 75 (2020): 127 - 141.</w:t>
      </w:r>
    </w:p>
    <w:p w14:paraId="4197FD8F" w14:textId="77777777" w:rsidR="005B20EF" w:rsidRDefault="005B20EF" w:rsidP="005B20EF">
      <w:pPr>
        <w:ind w:left="720" w:hanging="720"/>
      </w:pPr>
      <w:r w:rsidRPr="00B227B7">
        <w:lastRenderedPageBreak/>
        <w:t xml:space="preserve">Dutton, Paul Edward. </w:t>
      </w:r>
      <w:r w:rsidRPr="00B227B7">
        <w:rPr>
          <w:i/>
          <w:iCs/>
        </w:rPr>
        <w:t>Charlemagne</w:t>
      </w:r>
      <w:r>
        <w:rPr>
          <w:i/>
          <w:iCs/>
        </w:rPr>
        <w:t>’</w:t>
      </w:r>
      <w:r w:rsidRPr="00B227B7">
        <w:rPr>
          <w:i/>
          <w:iCs/>
        </w:rPr>
        <w:t>s Mustache: And Other Cultural Clusters of a Dark Age</w:t>
      </w:r>
      <w:r w:rsidRPr="00B227B7">
        <w:t>. New York, NY: Palgrave Macmillan, 2009.</w:t>
      </w:r>
    </w:p>
    <w:p w14:paraId="7EE734C2" w14:textId="77777777" w:rsidR="005B20EF" w:rsidRPr="00B227B7" w:rsidRDefault="005B20EF" w:rsidP="005B20EF">
      <w:pPr>
        <w:ind w:left="720" w:hanging="720"/>
      </w:pPr>
      <w:r w:rsidRPr="003751B3">
        <w:t xml:space="preserve">Fanger, Claire. "For Magic: Against Method." In </w:t>
      </w:r>
      <w:r w:rsidRPr="003751B3">
        <w:rPr>
          <w:i/>
          <w:iCs/>
        </w:rPr>
        <w:t xml:space="preserve">The Routledge </w:t>
      </w:r>
      <w:proofErr w:type="spellStart"/>
      <w:r w:rsidRPr="003751B3">
        <w:rPr>
          <w:i/>
          <w:iCs/>
        </w:rPr>
        <w:t>HIstory</w:t>
      </w:r>
      <w:proofErr w:type="spellEnd"/>
      <w:r w:rsidRPr="003751B3">
        <w:rPr>
          <w:i/>
          <w:iCs/>
        </w:rPr>
        <w:t xml:space="preserve"> of Medieval Magic</w:t>
      </w:r>
      <w:r w:rsidRPr="003751B3">
        <w:t>, edited by Sophie Page and Catherine Rider, 26-36. New York, NY: Routledge, 2019.</w:t>
      </w:r>
    </w:p>
    <w:p w14:paraId="06DFE034" w14:textId="77777777" w:rsidR="005B20EF" w:rsidRPr="00B227B7" w:rsidRDefault="005B20EF" w:rsidP="005B20EF">
      <w:pPr>
        <w:ind w:left="720" w:hanging="720"/>
      </w:pPr>
      <w:proofErr w:type="spellStart"/>
      <w:r w:rsidRPr="00B227B7">
        <w:t>Filotas</w:t>
      </w:r>
      <w:proofErr w:type="spellEnd"/>
      <w:r w:rsidRPr="00B227B7">
        <w:t xml:space="preserve">, Bernadette. </w:t>
      </w:r>
      <w:r w:rsidRPr="00B227B7">
        <w:rPr>
          <w:i/>
          <w:iCs/>
        </w:rPr>
        <w:t>Pagan Survivals, Superstitions and Popular Cultures in Early Medieval Pastoral Literature</w:t>
      </w:r>
      <w:r w:rsidRPr="00B227B7">
        <w:t>. Toronto, Canada: Pontifical Institute of Mediaeval Studies, 2005.</w:t>
      </w:r>
    </w:p>
    <w:p w14:paraId="55A8E9C1" w14:textId="77777777" w:rsidR="005B20EF" w:rsidRPr="00B227B7" w:rsidRDefault="005B20EF" w:rsidP="005B20EF">
      <w:pPr>
        <w:ind w:left="720" w:hanging="720"/>
      </w:pPr>
      <w:r w:rsidRPr="00B227B7">
        <w:t xml:space="preserve">Foucault, Michel. </w:t>
      </w:r>
      <w:r w:rsidRPr="00B227B7">
        <w:rPr>
          <w:i/>
          <w:iCs/>
        </w:rPr>
        <w:t>Security, Territory, Population: Lectures at the Collège De France 1977-1978</w:t>
      </w:r>
      <w:r w:rsidRPr="00B227B7">
        <w:t>. Translated by Graham Burchell. Edited by Michel Senellart, François Ewald, Alessandro Fontana, and Arnold I. Davidson. Vol. 6. Michel Foucault at the Collège De France. New York: Palgrave Macmillan, 2009.</w:t>
      </w:r>
    </w:p>
    <w:p w14:paraId="4C1C7A2A" w14:textId="17F922EA" w:rsidR="005B20EF" w:rsidRDefault="008F5D46" w:rsidP="005B20EF">
      <w:pPr>
        <w:ind w:left="720" w:hanging="720"/>
      </w:pPr>
      <w:r>
        <w:t xml:space="preserve">———. </w:t>
      </w:r>
      <w:r w:rsidR="005B20EF" w:rsidRPr="00B227B7">
        <w:rPr>
          <w:i/>
          <w:iCs/>
        </w:rPr>
        <w:t>On the Government of the Living: Lectures at the Collège De France 1979-1980</w:t>
      </w:r>
      <w:r w:rsidR="005B20EF" w:rsidRPr="00B227B7">
        <w:t>. Translated by Graham Burchell. Edited by François Ewald, Alessandro Fontana, and Arnold I. Davidson. Vol. 8. Michel Foucault at the Collège De France. New York: Palgrave Macmillan, 2014.</w:t>
      </w:r>
    </w:p>
    <w:p w14:paraId="4BBD1CD6" w14:textId="1E32B00B" w:rsidR="003C0B49" w:rsidRPr="00B227B7" w:rsidRDefault="003C0B49" w:rsidP="00BE7E1D">
      <w:pPr>
        <w:ind w:left="720" w:hanging="720"/>
      </w:pPr>
      <w:r>
        <w:t>———</w:t>
      </w:r>
      <w:r w:rsidRPr="003C0B49">
        <w:t xml:space="preserve">. “The Subject and Power.” </w:t>
      </w:r>
      <w:r w:rsidRPr="003C0B49">
        <w:rPr>
          <w:i/>
          <w:iCs/>
        </w:rPr>
        <w:t>Critical Inquiry</w:t>
      </w:r>
      <w:r w:rsidRPr="003C0B49">
        <w:t xml:space="preserve"> 8, no. 4 (1982): 777–95. </w:t>
      </w:r>
    </w:p>
    <w:p w14:paraId="7B876A0E" w14:textId="77777777" w:rsidR="005B20EF" w:rsidRPr="00B227B7" w:rsidRDefault="005B20EF" w:rsidP="005B20EF">
      <w:pPr>
        <w:ind w:left="720" w:hanging="720"/>
      </w:pPr>
      <w:r w:rsidRPr="00B227B7">
        <w:t xml:space="preserve">Foster, George M., R. J. </w:t>
      </w:r>
      <w:proofErr w:type="spellStart"/>
      <w:r w:rsidRPr="00B227B7">
        <w:t>Apthorpe</w:t>
      </w:r>
      <w:proofErr w:type="spellEnd"/>
      <w:r w:rsidRPr="00B227B7">
        <w:t xml:space="preserve">, H. Russell Bernard, Bernard Bock, Jan </w:t>
      </w:r>
      <w:proofErr w:type="spellStart"/>
      <w:r w:rsidRPr="00B227B7">
        <w:t>Brogger</w:t>
      </w:r>
      <w:proofErr w:type="spellEnd"/>
      <w:r w:rsidRPr="00B227B7">
        <w:t xml:space="preserve">, Judith K. Brown, Stephen C. </w:t>
      </w:r>
      <w:proofErr w:type="spellStart"/>
      <w:r w:rsidRPr="00B227B7">
        <w:t>Cappannari</w:t>
      </w:r>
      <w:proofErr w:type="spellEnd"/>
      <w:r w:rsidRPr="00B227B7">
        <w:t xml:space="preserve">, Jean </w:t>
      </w:r>
      <w:proofErr w:type="spellStart"/>
      <w:r w:rsidRPr="00B227B7">
        <w:t>Cuisenier</w:t>
      </w:r>
      <w:proofErr w:type="spellEnd"/>
      <w:r w:rsidRPr="00B227B7">
        <w:t xml:space="preserve">, Roy G. </w:t>
      </w:r>
      <w:proofErr w:type="spellStart"/>
      <w:r w:rsidRPr="00B227B7">
        <w:t>D'Andrade</w:t>
      </w:r>
      <w:proofErr w:type="spellEnd"/>
      <w:r w:rsidRPr="00B227B7">
        <w:t xml:space="preserve">, James Faris, Susan T. Freeman, Pauline </w:t>
      </w:r>
      <w:proofErr w:type="spellStart"/>
      <w:r w:rsidRPr="00B227B7">
        <w:t>Kolenda</w:t>
      </w:r>
      <w:proofErr w:type="spellEnd"/>
      <w:r w:rsidRPr="00B227B7">
        <w:t xml:space="preserve">, Michael </w:t>
      </w:r>
      <w:proofErr w:type="spellStart"/>
      <w:r w:rsidRPr="00B227B7">
        <w:t>MacCoby</w:t>
      </w:r>
      <w:proofErr w:type="spellEnd"/>
      <w:r w:rsidRPr="00B227B7">
        <w:t xml:space="preserve">, Simon D. Messing, </w:t>
      </w:r>
      <w:proofErr w:type="spellStart"/>
      <w:r w:rsidRPr="00B227B7">
        <w:t>Isidoro</w:t>
      </w:r>
      <w:proofErr w:type="spellEnd"/>
      <w:r w:rsidRPr="00B227B7">
        <w:t xml:space="preserve"> Moreno-Navarro, John Paddock, Harriet R. Reynolds, James E. Ritchie, Vera St. </w:t>
      </w:r>
      <w:proofErr w:type="spellStart"/>
      <w:r w:rsidRPr="00B227B7">
        <w:t>Erlich</w:t>
      </w:r>
      <w:proofErr w:type="spellEnd"/>
      <w:r w:rsidRPr="00B227B7">
        <w:t xml:space="preserve">, Joel S. </w:t>
      </w:r>
      <w:proofErr w:type="spellStart"/>
      <w:r w:rsidRPr="00B227B7">
        <w:t>Saviahinsky</w:t>
      </w:r>
      <w:proofErr w:type="spellEnd"/>
      <w:r w:rsidRPr="00B227B7">
        <w:t xml:space="preserve">, J. D. Seddon, Francis Lee Utley, and Beatrice Blyth Whiting. “The Anatomy of Envy: A Study in Symbolic Behavior [and Comments and Reply].” </w:t>
      </w:r>
      <w:r w:rsidRPr="00B227B7">
        <w:rPr>
          <w:i/>
          <w:iCs/>
        </w:rPr>
        <w:t>Current Anthropology</w:t>
      </w:r>
      <w:r w:rsidRPr="00B227B7">
        <w:t xml:space="preserve"> 13, no. 2 (1972): 165-202. </w:t>
      </w:r>
    </w:p>
    <w:p w14:paraId="14FCA242" w14:textId="77777777" w:rsidR="005B20EF" w:rsidRDefault="005B20EF" w:rsidP="005B20EF">
      <w:pPr>
        <w:ind w:left="720" w:hanging="720"/>
      </w:pPr>
      <w:r w:rsidRPr="00B227B7">
        <w:t xml:space="preserve">Garrison, Mary. “The Study of Emotions in Early Medieval History: Some Starting Points.” </w:t>
      </w:r>
      <w:r w:rsidRPr="00B227B7">
        <w:rPr>
          <w:i/>
          <w:iCs/>
        </w:rPr>
        <w:t>Early Medieval Europe</w:t>
      </w:r>
      <w:r w:rsidRPr="00B227B7">
        <w:t xml:space="preserve"> 10, no. 2 (2003): 243–50.</w:t>
      </w:r>
    </w:p>
    <w:p w14:paraId="3AE98B87" w14:textId="77777777" w:rsidR="005B20EF" w:rsidRPr="00985723" w:rsidRDefault="005B20EF" w:rsidP="005B20EF">
      <w:pPr>
        <w:ind w:left="720" w:hanging="720"/>
      </w:pPr>
      <w:proofErr w:type="spellStart"/>
      <w:r w:rsidRPr="00985723">
        <w:t>Garipzanov</w:t>
      </w:r>
      <w:proofErr w:type="spellEnd"/>
      <w:r w:rsidRPr="00985723">
        <w:t xml:space="preserve">, </w:t>
      </w:r>
      <w:proofErr w:type="spellStart"/>
      <w:r w:rsidRPr="00985723">
        <w:t>I</w:t>
      </w:r>
      <w:r>
        <w:t>ldar</w:t>
      </w:r>
      <w:proofErr w:type="spellEnd"/>
      <w:r w:rsidRPr="00985723">
        <w:t xml:space="preserve">. “Magical </w:t>
      </w:r>
      <w:proofErr w:type="spellStart"/>
      <w:r w:rsidRPr="000219B7">
        <w:rPr>
          <w:i/>
          <w:iCs/>
        </w:rPr>
        <w:t>Charaktêres</w:t>
      </w:r>
      <w:proofErr w:type="spellEnd"/>
      <w:r w:rsidRPr="00985723">
        <w:t xml:space="preserve"> in the Carolingian World: A Ninth-Century Charm in MS Vat. lat. 5359 and Its Broader Cultural Context.” </w:t>
      </w:r>
      <w:r w:rsidRPr="00985723">
        <w:rPr>
          <w:i/>
          <w:iCs/>
        </w:rPr>
        <w:t>Speculum</w:t>
      </w:r>
      <w:r w:rsidRPr="00985723">
        <w:t xml:space="preserve"> 96 (2021): 287 - 308.</w:t>
      </w:r>
    </w:p>
    <w:p w14:paraId="2C9A93CF" w14:textId="77777777" w:rsidR="005B20EF" w:rsidRPr="00B227B7" w:rsidRDefault="005B20EF" w:rsidP="005B20EF">
      <w:pPr>
        <w:ind w:left="720" w:hanging="720"/>
      </w:pPr>
      <w:r w:rsidRPr="00E8393A">
        <w:t xml:space="preserve">Golder, Ben. </w:t>
      </w:r>
      <w:r>
        <w:t>“</w:t>
      </w:r>
      <w:r w:rsidRPr="00E8393A">
        <w:t>Foucault and the Genealogy of Pastoral Power.</w:t>
      </w:r>
      <w:r>
        <w:t>”</w:t>
      </w:r>
      <w:r w:rsidRPr="00E8393A">
        <w:t xml:space="preserve"> </w:t>
      </w:r>
      <w:r w:rsidRPr="00E8393A">
        <w:rPr>
          <w:i/>
          <w:iCs/>
        </w:rPr>
        <w:t>Radical Philosophy Review</w:t>
      </w:r>
      <w:r w:rsidRPr="00E8393A">
        <w:t xml:space="preserve"> 10, no. 2 (2007): 157-76.</w:t>
      </w:r>
    </w:p>
    <w:p w14:paraId="412536E7" w14:textId="77777777" w:rsidR="005B20EF" w:rsidRPr="00B227B7" w:rsidRDefault="005B20EF" w:rsidP="005B20EF">
      <w:pPr>
        <w:ind w:left="720" w:hanging="720"/>
      </w:pPr>
      <w:r w:rsidRPr="00B227B7">
        <w:t xml:space="preserve">Hen, Yitzhak. </w:t>
      </w:r>
      <w:r>
        <w:t>“</w:t>
      </w:r>
      <w:r w:rsidRPr="00B227B7">
        <w:t>Knowledge of Canon Law Among Rural Priests: The Evidence of Two Carolingian Manuscripts from Around 800.</w:t>
      </w:r>
      <w:r>
        <w:t>”</w:t>
      </w:r>
      <w:r w:rsidRPr="00B227B7">
        <w:t xml:space="preserve"> </w:t>
      </w:r>
      <w:r w:rsidRPr="00B227B7">
        <w:rPr>
          <w:i/>
          <w:iCs/>
        </w:rPr>
        <w:t>The Journal of Theological Studies</w:t>
      </w:r>
      <w:r w:rsidRPr="00B227B7">
        <w:t xml:space="preserve">, NEW SERIES, 50, no. 1 (1999): 117-34. </w:t>
      </w:r>
    </w:p>
    <w:p w14:paraId="4BB8196E" w14:textId="77777777" w:rsidR="005B20EF" w:rsidRPr="00B227B7" w:rsidRDefault="005B20EF" w:rsidP="005B20EF">
      <w:pPr>
        <w:ind w:left="720" w:hanging="720"/>
      </w:pPr>
      <w:r w:rsidRPr="00B227B7">
        <w:t xml:space="preserve">Kohl, Thomas. </w:t>
      </w:r>
      <w:r>
        <w:t>“</w:t>
      </w:r>
      <w:r w:rsidRPr="00B227B7">
        <w:t>Peasant Agency and the Supernatural.</w:t>
      </w:r>
      <w:r>
        <w:t>”</w:t>
      </w:r>
      <w:r w:rsidRPr="00B227B7">
        <w:t xml:space="preserve"> </w:t>
      </w:r>
      <w:r w:rsidRPr="00B227B7">
        <w:rPr>
          <w:i/>
          <w:iCs/>
        </w:rPr>
        <w:t xml:space="preserve">Studia </w:t>
      </w:r>
      <w:proofErr w:type="spellStart"/>
      <w:r w:rsidRPr="00B227B7">
        <w:rPr>
          <w:i/>
          <w:iCs/>
        </w:rPr>
        <w:t>Historica</w:t>
      </w:r>
      <w:proofErr w:type="spellEnd"/>
      <w:r w:rsidRPr="00B227B7">
        <w:rPr>
          <w:i/>
          <w:iCs/>
        </w:rPr>
        <w:t xml:space="preserve"> Historia Medieval</w:t>
      </w:r>
      <w:r w:rsidRPr="00B227B7">
        <w:t xml:space="preserve"> 38, no. 2 (2020): 97-116.</w:t>
      </w:r>
    </w:p>
    <w:p w14:paraId="70B45ECF" w14:textId="77777777" w:rsidR="005B20EF" w:rsidRPr="00B227B7" w:rsidRDefault="005B20EF" w:rsidP="005B20EF">
      <w:pPr>
        <w:ind w:left="720" w:hanging="720"/>
      </w:pPr>
      <w:proofErr w:type="spellStart"/>
      <w:r w:rsidRPr="00B227B7">
        <w:t>Korsvoll</w:t>
      </w:r>
      <w:proofErr w:type="spellEnd"/>
      <w:r w:rsidRPr="00B227B7">
        <w:t xml:space="preserve">, Nils </w:t>
      </w:r>
      <w:proofErr w:type="spellStart"/>
      <w:r w:rsidRPr="00B227B7">
        <w:t>Hallvard</w:t>
      </w:r>
      <w:proofErr w:type="spellEnd"/>
      <w:r w:rsidRPr="00B227B7">
        <w:t xml:space="preserve">. “Official Teaching and Popular Practice: Are Church Opinions on Magic Reflected in the Surviving Amulets from the Early Middle Ages?” In </w:t>
      </w:r>
      <w:r w:rsidRPr="00B227B7">
        <w:rPr>
          <w:i/>
          <w:iCs/>
        </w:rPr>
        <w:t xml:space="preserve">Bild Und </w:t>
      </w:r>
      <w:proofErr w:type="spellStart"/>
      <w:r w:rsidRPr="00B227B7">
        <w:rPr>
          <w:i/>
          <w:iCs/>
        </w:rPr>
        <w:t>Schrift</w:t>
      </w:r>
      <w:proofErr w:type="spellEnd"/>
      <w:r w:rsidRPr="00B227B7">
        <w:rPr>
          <w:i/>
          <w:iCs/>
        </w:rPr>
        <w:t xml:space="preserve"> Auf “</w:t>
      </w:r>
      <w:proofErr w:type="spellStart"/>
      <w:r w:rsidRPr="00B227B7">
        <w:rPr>
          <w:i/>
          <w:iCs/>
        </w:rPr>
        <w:t>magischen</w:t>
      </w:r>
      <w:proofErr w:type="spellEnd"/>
      <w:r w:rsidRPr="00B227B7">
        <w:rPr>
          <w:i/>
          <w:iCs/>
        </w:rPr>
        <w:t xml:space="preserve">” </w:t>
      </w:r>
      <w:proofErr w:type="spellStart"/>
      <w:r w:rsidRPr="00B227B7">
        <w:rPr>
          <w:i/>
          <w:iCs/>
        </w:rPr>
        <w:t>Artefakten</w:t>
      </w:r>
      <w:proofErr w:type="spellEnd"/>
      <w:r w:rsidRPr="00B227B7">
        <w:t xml:space="preserve">, edited by Sarah </w:t>
      </w:r>
      <w:proofErr w:type="spellStart"/>
      <w:r w:rsidRPr="00B227B7">
        <w:t>Kiyanrad</w:t>
      </w:r>
      <w:proofErr w:type="spellEnd"/>
      <w:r w:rsidRPr="00B227B7">
        <w:t xml:space="preserve">, </w:t>
      </w:r>
      <w:proofErr w:type="spellStart"/>
      <w:r w:rsidRPr="00B227B7">
        <w:t>Christoffer</w:t>
      </w:r>
      <w:proofErr w:type="spellEnd"/>
      <w:r w:rsidRPr="00B227B7">
        <w:t xml:space="preserve"> Theis, and Laura Willer, 1st ed., 149–64. De Gruyter, 2018. </w:t>
      </w:r>
    </w:p>
    <w:p w14:paraId="52A620D6" w14:textId="77777777" w:rsidR="005B20EF" w:rsidRPr="00B227B7" w:rsidRDefault="005B20EF" w:rsidP="005B20EF">
      <w:pPr>
        <w:ind w:left="720" w:hanging="720"/>
      </w:pPr>
      <w:r w:rsidRPr="00B227B7">
        <w:lastRenderedPageBreak/>
        <w:t xml:space="preserve">Maguire, Henry. “Magic and Money in the Early Middle Ages.” </w:t>
      </w:r>
      <w:r w:rsidRPr="00B227B7">
        <w:rPr>
          <w:i/>
          <w:iCs/>
        </w:rPr>
        <w:t>Speculum</w:t>
      </w:r>
      <w:r w:rsidRPr="00B227B7">
        <w:t xml:space="preserve"> 72, no. 4 (1997): 1037–54</w:t>
      </w:r>
    </w:p>
    <w:p w14:paraId="4A469279" w14:textId="77777777" w:rsidR="005B20EF" w:rsidRPr="00B227B7" w:rsidRDefault="005B20EF" w:rsidP="005B20EF">
      <w:pPr>
        <w:ind w:left="720" w:hanging="720"/>
      </w:pPr>
      <w:r w:rsidRPr="00B227B7">
        <w:t xml:space="preserve">McLaughlin, R. Emmet. “The Word Eclipsed? Preaching in the Early Middle Ages” </w:t>
      </w:r>
      <w:r w:rsidRPr="00B227B7">
        <w:rPr>
          <w:i/>
          <w:iCs/>
        </w:rPr>
        <w:t>Traditio</w:t>
      </w:r>
      <w:r w:rsidRPr="00B227B7">
        <w:t xml:space="preserve"> 46 (1991): 77-122. </w:t>
      </w:r>
    </w:p>
    <w:p w14:paraId="106E18E8" w14:textId="77777777" w:rsidR="005B20EF" w:rsidRPr="00B227B7" w:rsidRDefault="005B20EF" w:rsidP="005B20EF">
      <w:pPr>
        <w:ind w:left="720" w:hanging="720"/>
      </w:pPr>
      <w:proofErr w:type="spellStart"/>
      <w:r w:rsidRPr="00B227B7">
        <w:t>Meens</w:t>
      </w:r>
      <w:proofErr w:type="spellEnd"/>
      <w:r w:rsidRPr="00B227B7">
        <w:t xml:space="preserve">, Rob. "Thunder over Lyon: Agobard, the </w:t>
      </w:r>
      <w:proofErr w:type="spellStart"/>
      <w:r w:rsidRPr="00B227B7">
        <w:t>Tempestarii</w:t>
      </w:r>
      <w:proofErr w:type="spellEnd"/>
      <w:r w:rsidRPr="00B227B7">
        <w:t xml:space="preserve"> and Christianity." In </w:t>
      </w:r>
      <w:r w:rsidRPr="00B227B7">
        <w:rPr>
          <w:i/>
          <w:iCs/>
        </w:rPr>
        <w:t>Paganism in the Middle Ages: Threat and Fascination</w:t>
      </w:r>
      <w:r w:rsidRPr="00B227B7">
        <w:t xml:space="preserve">, edited by Carlos Steel, John </w:t>
      </w:r>
      <w:proofErr w:type="spellStart"/>
      <w:r w:rsidRPr="00B227B7">
        <w:t>Marenbon</w:t>
      </w:r>
      <w:proofErr w:type="spellEnd"/>
      <w:r w:rsidRPr="00B227B7">
        <w:t xml:space="preserve">, and Werner Verbeke, 157-66. </w:t>
      </w:r>
      <w:proofErr w:type="spellStart"/>
      <w:r w:rsidRPr="00B227B7">
        <w:t>Mediaevalia</w:t>
      </w:r>
      <w:proofErr w:type="spellEnd"/>
      <w:r w:rsidRPr="00B227B7">
        <w:t xml:space="preserve"> </w:t>
      </w:r>
      <w:proofErr w:type="spellStart"/>
      <w:r w:rsidRPr="00B227B7">
        <w:t>Lovaniensia</w:t>
      </w:r>
      <w:proofErr w:type="spellEnd"/>
      <w:r w:rsidRPr="00B227B7">
        <w:t>. Leuven, Belgium: Leuven University Press, 2012.</w:t>
      </w:r>
    </w:p>
    <w:p w14:paraId="6ABE33CD" w14:textId="77777777" w:rsidR="005B20EF" w:rsidRPr="00B227B7" w:rsidRDefault="005B20EF" w:rsidP="005B20EF">
      <w:pPr>
        <w:ind w:left="720" w:hanging="720"/>
      </w:pPr>
      <w:proofErr w:type="spellStart"/>
      <w:r w:rsidRPr="00B227B7">
        <w:t>Meens</w:t>
      </w:r>
      <w:proofErr w:type="spellEnd"/>
      <w:r w:rsidRPr="00B227B7">
        <w:t xml:space="preserve">, Rob, Dorine van </w:t>
      </w:r>
      <w:proofErr w:type="spellStart"/>
      <w:r w:rsidRPr="00B227B7">
        <w:t>Espelo</w:t>
      </w:r>
      <w:proofErr w:type="spellEnd"/>
      <w:r w:rsidRPr="00B227B7">
        <w:t xml:space="preserve">, Bram van den Hoven van </w:t>
      </w:r>
      <w:proofErr w:type="spellStart"/>
      <w:r w:rsidRPr="00B227B7">
        <w:t>Genderen</w:t>
      </w:r>
      <w:proofErr w:type="spellEnd"/>
      <w:r w:rsidRPr="00B227B7">
        <w:t xml:space="preserve">, </w:t>
      </w:r>
      <w:proofErr w:type="spellStart"/>
      <w:r w:rsidRPr="00B227B7">
        <w:t>Janneke</w:t>
      </w:r>
      <w:proofErr w:type="spellEnd"/>
      <w:r w:rsidRPr="00B227B7">
        <w:t xml:space="preserve"> </w:t>
      </w:r>
      <w:proofErr w:type="spellStart"/>
      <w:r w:rsidRPr="00B227B7">
        <w:t>Raaijmakers</w:t>
      </w:r>
      <w:proofErr w:type="spellEnd"/>
      <w:r w:rsidRPr="00B227B7">
        <w:t xml:space="preserve">, Irene van </w:t>
      </w:r>
      <w:proofErr w:type="spellStart"/>
      <w:r w:rsidRPr="00B227B7">
        <w:t>Renswoude</w:t>
      </w:r>
      <w:proofErr w:type="spellEnd"/>
      <w:r w:rsidRPr="00B227B7">
        <w:t xml:space="preserve">, and Carine van </w:t>
      </w:r>
      <w:proofErr w:type="spellStart"/>
      <w:r w:rsidRPr="00B227B7">
        <w:t>Rhijn</w:t>
      </w:r>
      <w:proofErr w:type="spellEnd"/>
      <w:r w:rsidRPr="00B227B7">
        <w:t xml:space="preserve">, eds. </w:t>
      </w:r>
      <w:r w:rsidRPr="00B227B7">
        <w:rPr>
          <w:i/>
          <w:iCs/>
        </w:rPr>
        <w:t xml:space="preserve">Religious Franks: Religion and Power in the Frankish Kingdoms: Studies in Honour of </w:t>
      </w:r>
      <w:proofErr w:type="spellStart"/>
      <w:r w:rsidRPr="00B227B7">
        <w:rPr>
          <w:i/>
          <w:iCs/>
        </w:rPr>
        <w:t>Mayke</w:t>
      </w:r>
      <w:proofErr w:type="spellEnd"/>
      <w:r w:rsidRPr="00B227B7">
        <w:rPr>
          <w:i/>
          <w:iCs/>
        </w:rPr>
        <w:t xml:space="preserve"> de Jong</w:t>
      </w:r>
      <w:r w:rsidRPr="00B227B7">
        <w:t xml:space="preserve">. Manchester University Press, 2016. </w:t>
      </w:r>
    </w:p>
    <w:p w14:paraId="1DD6302B" w14:textId="77777777" w:rsidR="005B20EF" w:rsidRPr="00B227B7" w:rsidRDefault="005B20EF" w:rsidP="005B20EF">
      <w:pPr>
        <w:ind w:left="720" w:hanging="720"/>
      </w:pPr>
      <w:r w:rsidRPr="00B227B7">
        <w:t xml:space="preserve">Palmer, James. “Defining Paganism in the Carolingian World.” Early Medieval Europe 15, no. 4 (2007): 402–25. </w:t>
      </w:r>
    </w:p>
    <w:p w14:paraId="3D029C4A" w14:textId="77777777" w:rsidR="005B20EF" w:rsidRDefault="005B20EF" w:rsidP="005B20EF">
      <w:pPr>
        <w:ind w:left="720" w:hanging="720"/>
      </w:pPr>
      <w:proofErr w:type="spellStart"/>
      <w:r w:rsidRPr="00B227B7">
        <w:t>Rhijn</w:t>
      </w:r>
      <w:proofErr w:type="spellEnd"/>
      <w:r w:rsidRPr="00B227B7">
        <w:t xml:space="preserve">, Carine Van. </w:t>
      </w:r>
      <w:proofErr w:type="spellStart"/>
      <w:r w:rsidRPr="00B227B7">
        <w:rPr>
          <w:i/>
          <w:iCs/>
        </w:rPr>
        <w:t>Shepards</w:t>
      </w:r>
      <w:proofErr w:type="spellEnd"/>
      <w:r w:rsidRPr="00B227B7">
        <w:rPr>
          <w:i/>
          <w:iCs/>
        </w:rPr>
        <w:t xml:space="preserve"> of the Lord: Priests and Episcopal Statues in the Carolingian Period</w:t>
      </w:r>
      <w:r w:rsidRPr="00B227B7">
        <w:t xml:space="preserve">. Turnhout: </w:t>
      </w:r>
      <w:proofErr w:type="spellStart"/>
      <w:r w:rsidRPr="00B227B7">
        <w:t>Brepois</w:t>
      </w:r>
      <w:proofErr w:type="spellEnd"/>
      <w:r w:rsidRPr="00B227B7">
        <w:t xml:space="preserve"> Publishers, 2007.</w:t>
      </w:r>
    </w:p>
    <w:p w14:paraId="2832A557" w14:textId="56DCA889" w:rsidR="005B20EF" w:rsidRPr="00B227B7" w:rsidRDefault="008F5D46" w:rsidP="005B20EF">
      <w:pPr>
        <w:ind w:left="720" w:hanging="720"/>
      </w:pPr>
      <w:r>
        <w:t>———.</w:t>
      </w:r>
      <w:r w:rsidR="005B20EF">
        <w:t xml:space="preserve"> “The Local Church, Priests’ Handbooks and Pastoral Care in the Carolingian Period.” In </w:t>
      </w:r>
      <w:proofErr w:type="spellStart"/>
      <w:r w:rsidR="005B20EF" w:rsidRPr="00A34AA2">
        <w:rPr>
          <w:i/>
          <w:iCs/>
        </w:rPr>
        <w:t>Chiese</w:t>
      </w:r>
      <w:proofErr w:type="spellEnd"/>
      <w:r w:rsidR="005B20EF" w:rsidRPr="00A34AA2">
        <w:rPr>
          <w:i/>
          <w:iCs/>
        </w:rPr>
        <w:t xml:space="preserve"> </w:t>
      </w:r>
      <w:proofErr w:type="spellStart"/>
      <w:r w:rsidR="005B20EF" w:rsidRPr="00A34AA2">
        <w:rPr>
          <w:i/>
          <w:iCs/>
        </w:rPr>
        <w:t>Locali</w:t>
      </w:r>
      <w:proofErr w:type="spellEnd"/>
      <w:r w:rsidR="005B20EF" w:rsidRPr="00A34AA2">
        <w:rPr>
          <w:i/>
          <w:iCs/>
        </w:rPr>
        <w:t xml:space="preserve"> e </w:t>
      </w:r>
      <w:proofErr w:type="spellStart"/>
      <w:r w:rsidR="005B20EF" w:rsidRPr="00A34AA2">
        <w:rPr>
          <w:i/>
          <w:iCs/>
        </w:rPr>
        <w:t>Chiese</w:t>
      </w:r>
      <w:proofErr w:type="spellEnd"/>
      <w:r w:rsidR="005B20EF" w:rsidRPr="00A34AA2">
        <w:rPr>
          <w:i/>
          <w:iCs/>
        </w:rPr>
        <w:t xml:space="preserve"> </w:t>
      </w:r>
      <w:proofErr w:type="spellStart"/>
      <w:r w:rsidR="005B20EF" w:rsidRPr="00A34AA2">
        <w:rPr>
          <w:i/>
          <w:iCs/>
        </w:rPr>
        <w:t>Regionali</w:t>
      </w:r>
      <w:proofErr w:type="spellEnd"/>
      <w:r w:rsidR="005B20EF" w:rsidRPr="00A34AA2">
        <w:rPr>
          <w:i/>
          <w:iCs/>
        </w:rPr>
        <w:t xml:space="preserve"> </w:t>
      </w:r>
      <w:proofErr w:type="spellStart"/>
      <w:r w:rsidR="005B20EF" w:rsidRPr="00A34AA2">
        <w:rPr>
          <w:i/>
          <w:iCs/>
        </w:rPr>
        <w:t>Nell'alto</w:t>
      </w:r>
      <w:proofErr w:type="spellEnd"/>
      <w:r w:rsidR="005B20EF" w:rsidRPr="00A34AA2">
        <w:rPr>
          <w:i/>
          <w:iCs/>
        </w:rPr>
        <w:t xml:space="preserve"> </w:t>
      </w:r>
      <w:proofErr w:type="spellStart"/>
      <w:r w:rsidR="005B20EF" w:rsidRPr="00A34AA2">
        <w:rPr>
          <w:i/>
          <w:iCs/>
        </w:rPr>
        <w:t>Medioevo</w:t>
      </w:r>
      <w:proofErr w:type="spellEnd"/>
      <w:r w:rsidR="005B20EF" w:rsidRPr="00A34AA2">
        <w:rPr>
          <w:i/>
          <w:iCs/>
        </w:rPr>
        <w:t xml:space="preserve">: Spoleto, 4-9 </w:t>
      </w:r>
      <w:proofErr w:type="spellStart"/>
      <w:r w:rsidR="005B20EF" w:rsidRPr="00A34AA2">
        <w:rPr>
          <w:i/>
          <w:iCs/>
        </w:rPr>
        <w:t>Aprile</w:t>
      </w:r>
      <w:proofErr w:type="spellEnd"/>
      <w:r w:rsidR="005B20EF" w:rsidRPr="00A34AA2">
        <w:rPr>
          <w:i/>
          <w:iCs/>
        </w:rPr>
        <w:t xml:space="preserve"> 2013.</w:t>
      </w:r>
      <w:r w:rsidR="005B20EF" w:rsidRPr="00A34AA2">
        <w:t xml:space="preserve"> Prima </w:t>
      </w:r>
      <w:proofErr w:type="spellStart"/>
      <w:r w:rsidR="005B20EF" w:rsidRPr="00A34AA2">
        <w:t>edizione</w:t>
      </w:r>
      <w:proofErr w:type="spellEnd"/>
      <w:r w:rsidR="005B20EF" w:rsidRPr="00A34AA2">
        <w:t xml:space="preserve">. Spoleto: Fondazione Centro </w:t>
      </w:r>
      <w:proofErr w:type="spellStart"/>
      <w:r w:rsidR="005B20EF" w:rsidRPr="00A34AA2">
        <w:t>italiano</w:t>
      </w:r>
      <w:proofErr w:type="spellEnd"/>
      <w:r w:rsidR="005B20EF" w:rsidRPr="00A34AA2">
        <w:t xml:space="preserve"> di </w:t>
      </w:r>
      <w:proofErr w:type="spellStart"/>
      <w:r w:rsidR="005B20EF" w:rsidRPr="00A34AA2">
        <w:t>studi</w:t>
      </w:r>
      <w:proofErr w:type="spellEnd"/>
      <w:r w:rsidR="005B20EF" w:rsidRPr="00A34AA2">
        <w:t xml:space="preserve"> </w:t>
      </w:r>
      <w:proofErr w:type="spellStart"/>
      <w:r w:rsidR="005B20EF" w:rsidRPr="00A34AA2">
        <w:t>sull'alto</w:t>
      </w:r>
      <w:proofErr w:type="spellEnd"/>
      <w:r w:rsidR="005B20EF" w:rsidRPr="00A34AA2">
        <w:t xml:space="preserve"> </w:t>
      </w:r>
      <w:proofErr w:type="spellStart"/>
      <w:r w:rsidR="005B20EF" w:rsidRPr="00A34AA2">
        <w:t>Medioevo</w:t>
      </w:r>
      <w:proofErr w:type="spellEnd"/>
      <w:r w:rsidR="005B20EF" w:rsidRPr="00A34AA2">
        <w:t>, 2014.</w:t>
      </w:r>
    </w:p>
    <w:p w14:paraId="39FDC802" w14:textId="77777777" w:rsidR="005B20EF" w:rsidRPr="00B227B7" w:rsidRDefault="005B20EF" w:rsidP="005B20EF">
      <w:pPr>
        <w:ind w:left="720" w:hanging="720"/>
      </w:pPr>
      <w:proofErr w:type="spellStart"/>
      <w:r w:rsidRPr="00B227B7">
        <w:t>Riché</w:t>
      </w:r>
      <w:proofErr w:type="spellEnd"/>
      <w:r w:rsidRPr="00B227B7">
        <w:t xml:space="preserve">, Pierre. "La </w:t>
      </w:r>
      <w:proofErr w:type="spellStart"/>
      <w:r w:rsidRPr="00B227B7">
        <w:t>Magie</w:t>
      </w:r>
      <w:proofErr w:type="spellEnd"/>
      <w:r w:rsidRPr="00B227B7">
        <w:t xml:space="preserve"> à </w:t>
      </w:r>
      <w:proofErr w:type="spellStart"/>
      <w:r w:rsidRPr="00B227B7">
        <w:t>L'époque</w:t>
      </w:r>
      <w:proofErr w:type="spellEnd"/>
      <w:r w:rsidRPr="00B227B7">
        <w:t xml:space="preserve"> </w:t>
      </w:r>
      <w:proofErr w:type="spellStart"/>
      <w:r w:rsidRPr="00B227B7">
        <w:t>Carolingienne</w:t>
      </w:r>
      <w:proofErr w:type="spellEnd"/>
      <w:r w:rsidRPr="00B227B7">
        <w:t xml:space="preserve">." </w:t>
      </w:r>
      <w:proofErr w:type="spellStart"/>
      <w:r w:rsidRPr="00B227B7">
        <w:rPr>
          <w:i/>
          <w:iCs/>
        </w:rPr>
        <w:t>Comptes</w:t>
      </w:r>
      <w:proofErr w:type="spellEnd"/>
      <w:r w:rsidRPr="00B227B7">
        <w:rPr>
          <w:i/>
          <w:iCs/>
        </w:rPr>
        <w:t xml:space="preserve"> </w:t>
      </w:r>
      <w:proofErr w:type="spellStart"/>
      <w:r w:rsidRPr="00B227B7">
        <w:rPr>
          <w:i/>
          <w:iCs/>
        </w:rPr>
        <w:t>Rendus</w:t>
      </w:r>
      <w:proofErr w:type="spellEnd"/>
      <w:r w:rsidRPr="00B227B7">
        <w:rPr>
          <w:i/>
          <w:iCs/>
        </w:rPr>
        <w:t xml:space="preserve"> Des Séances De </w:t>
      </w:r>
      <w:proofErr w:type="spellStart"/>
      <w:r w:rsidRPr="00B227B7">
        <w:rPr>
          <w:i/>
          <w:iCs/>
        </w:rPr>
        <w:t>L'Académie</w:t>
      </w:r>
      <w:proofErr w:type="spellEnd"/>
      <w:r w:rsidRPr="00B227B7">
        <w:rPr>
          <w:i/>
          <w:iCs/>
        </w:rPr>
        <w:t xml:space="preserve"> Des Inscriptions Et Belles-Lettres</w:t>
      </w:r>
      <w:r w:rsidRPr="00B227B7">
        <w:t xml:space="preserve"> 117, no. 1 (1973): 127-38.</w:t>
      </w:r>
    </w:p>
    <w:p w14:paraId="57EEC08E" w14:textId="18767CA5" w:rsidR="005B20EF" w:rsidRPr="00B227B7" w:rsidRDefault="005B20EF" w:rsidP="005B20EF">
      <w:pPr>
        <w:ind w:left="720" w:hanging="720"/>
      </w:pPr>
      <w:r w:rsidRPr="00B227B7">
        <w:t xml:space="preserve">Rosenwein, Barbara H. </w:t>
      </w:r>
      <w:r w:rsidRPr="00B227B7">
        <w:rPr>
          <w:i/>
          <w:iCs/>
        </w:rPr>
        <w:t>Emotional Communities in the Early Middle Ages</w:t>
      </w:r>
      <w:r w:rsidRPr="00B227B7">
        <w:t xml:space="preserve">. </w:t>
      </w:r>
      <w:r w:rsidR="0019191C">
        <w:t>Ithaca</w:t>
      </w:r>
      <w:r w:rsidRPr="00B227B7">
        <w:t>: Cornell University Press, 2006.</w:t>
      </w:r>
    </w:p>
    <w:p w14:paraId="7D5DDA87" w14:textId="77777777" w:rsidR="005B20EF" w:rsidRPr="00B227B7" w:rsidRDefault="005B20EF" w:rsidP="005B20EF">
      <w:pPr>
        <w:ind w:left="720" w:hanging="720"/>
      </w:pPr>
      <w:proofErr w:type="spellStart"/>
      <w:r w:rsidRPr="00B227B7">
        <w:t>Siisiäinen</w:t>
      </w:r>
      <w:proofErr w:type="spellEnd"/>
      <w:r w:rsidRPr="00B227B7">
        <w:t>, Lauri. “Foucault, Pastoral Power, and Optics.” Critical Research on Religion 3, no. 3 (December 2015): 233–49</w:t>
      </w:r>
      <w:r>
        <w:t>.</w:t>
      </w:r>
    </w:p>
    <w:p w14:paraId="1495702C" w14:textId="77777777" w:rsidR="005B20EF" w:rsidRPr="00B227B7" w:rsidRDefault="005B20EF" w:rsidP="005B20EF">
      <w:pPr>
        <w:ind w:left="720" w:hanging="720"/>
      </w:pPr>
      <w:proofErr w:type="spellStart"/>
      <w:r w:rsidRPr="00B227B7">
        <w:t>Theuws</w:t>
      </w:r>
      <w:proofErr w:type="spellEnd"/>
      <w:r w:rsidRPr="00B227B7">
        <w:t xml:space="preserve">, F., </w:t>
      </w:r>
      <w:proofErr w:type="spellStart"/>
      <w:r w:rsidRPr="00B227B7">
        <w:t>Mayke</w:t>
      </w:r>
      <w:proofErr w:type="spellEnd"/>
      <w:r w:rsidRPr="00B227B7">
        <w:t xml:space="preserve"> De Jong, and Carine van </w:t>
      </w:r>
      <w:proofErr w:type="spellStart"/>
      <w:r w:rsidRPr="00B227B7">
        <w:t>Rhijn</w:t>
      </w:r>
      <w:proofErr w:type="spellEnd"/>
      <w:r w:rsidRPr="00B227B7">
        <w:t xml:space="preserve">. 2001. </w:t>
      </w:r>
      <w:r w:rsidRPr="00B227B7">
        <w:rPr>
          <w:i/>
          <w:iCs/>
        </w:rPr>
        <w:t>Topographies of Power in the Early Middle Ages</w:t>
      </w:r>
      <w:r w:rsidRPr="00B227B7">
        <w:t xml:space="preserve">. The Transformation of the Roman World. Leiden: Brill. </w:t>
      </w:r>
    </w:p>
    <w:p w14:paraId="43FCF6AA" w14:textId="77777777" w:rsidR="005B20EF" w:rsidRPr="00B227B7" w:rsidRDefault="005B20EF" w:rsidP="005B20EF">
      <w:pPr>
        <w:ind w:left="720" w:hanging="720"/>
      </w:pPr>
      <w:proofErr w:type="spellStart"/>
      <w:r w:rsidRPr="00B227B7">
        <w:t>Tinti</w:t>
      </w:r>
      <w:proofErr w:type="spellEnd"/>
      <w:r w:rsidRPr="00B227B7">
        <w:t xml:space="preserve">, Francesca, and Carine Van </w:t>
      </w:r>
      <w:proofErr w:type="spellStart"/>
      <w:r w:rsidRPr="00B227B7">
        <w:t>Rhijin</w:t>
      </w:r>
      <w:proofErr w:type="spellEnd"/>
      <w:r w:rsidRPr="00B227B7">
        <w:t>. "Shep</w:t>
      </w:r>
      <w:r>
        <w:t>h</w:t>
      </w:r>
      <w:r w:rsidRPr="00B227B7">
        <w:t xml:space="preserve">erds, Uncles, Owners, Scribes: Priests as </w:t>
      </w:r>
      <w:proofErr w:type="spellStart"/>
      <w:r w:rsidRPr="00B227B7">
        <w:t>Neighbours</w:t>
      </w:r>
      <w:proofErr w:type="spellEnd"/>
      <w:r w:rsidRPr="00B227B7">
        <w:t xml:space="preserve"> in Early Medieval Local Societies." In </w:t>
      </w:r>
      <w:proofErr w:type="spellStart"/>
      <w:r w:rsidRPr="00B227B7">
        <w:rPr>
          <w:i/>
          <w:iCs/>
        </w:rPr>
        <w:t>Neighbours</w:t>
      </w:r>
      <w:proofErr w:type="spellEnd"/>
      <w:r w:rsidRPr="00B227B7">
        <w:rPr>
          <w:i/>
          <w:iCs/>
        </w:rPr>
        <w:t xml:space="preserve"> and Strangers: Local Societies in Early Medieval Europe.</w:t>
      </w:r>
      <w:r w:rsidRPr="00B227B7">
        <w:t>, ? Manchester: Manchester University Press, 2020.</w:t>
      </w:r>
    </w:p>
    <w:p w14:paraId="5A8FB7D1" w14:textId="77777777" w:rsidR="005B20EF" w:rsidRDefault="005B20EF" w:rsidP="005B20EF">
      <w:pPr>
        <w:ind w:left="720" w:hanging="720"/>
      </w:pPr>
      <w:r w:rsidRPr="00B227B7">
        <w:t xml:space="preserve">Ward, John O. “Magic and Rhetoric From Antiquity to the Renaissance: Some Ruminations.” </w:t>
      </w:r>
      <w:proofErr w:type="spellStart"/>
      <w:r w:rsidRPr="00B227B7">
        <w:rPr>
          <w:i/>
          <w:iCs/>
        </w:rPr>
        <w:t>Rhetorica</w:t>
      </w:r>
      <w:proofErr w:type="spellEnd"/>
      <w:r w:rsidRPr="00B227B7">
        <w:rPr>
          <w:i/>
          <w:iCs/>
        </w:rPr>
        <w:t>: A Journal of the History of Rhetoric</w:t>
      </w:r>
      <w:r w:rsidRPr="00B227B7">
        <w:t xml:space="preserve"> 6, no. 1 (1988): 57–118.</w:t>
      </w:r>
    </w:p>
    <w:p w14:paraId="568BA185" w14:textId="77777777" w:rsidR="005B20EF" w:rsidRDefault="005B20EF" w:rsidP="005B20EF">
      <w:pPr>
        <w:ind w:left="720" w:hanging="720"/>
      </w:pPr>
      <w:r w:rsidRPr="00A379E7">
        <w:t>West, Charles</w:t>
      </w:r>
      <w:r>
        <w:t xml:space="preserve"> M. </w:t>
      </w:r>
      <w:proofErr w:type="gramStart"/>
      <w:r>
        <w:t>A.</w:t>
      </w:r>
      <w:r w:rsidRPr="00A379E7">
        <w:t>.</w:t>
      </w:r>
      <w:proofErr w:type="gramEnd"/>
      <w:r w:rsidRPr="00A379E7">
        <w:t xml:space="preserve"> “</w:t>
      </w:r>
      <w:proofErr w:type="spellStart"/>
      <w:r w:rsidRPr="00A379E7">
        <w:t>Unauthorised</w:t>
      </w:r>
      <w:proofErr w:type="spellEnd"/>
      <w:r w:rsidRPr="00A379E7">
        <w:t xml:space="preserve"> miracles in mid-ninth-century Dijon and the Carolingian church reforms.” </w:t>
      </w:r>
      <w:r w:rsidRPr="00A379E7">
        <w:rPr>
          <w:i/>
          <w:iCs/>
        </w:rPr>
        <w:t>Journal of Medieval History</w:t>
      </w:r>
      <w:r w:rsidRPr="00A379E7">
        <w:t xml:space="preserve"> 36 (2010): 295-311.</w:t>
      </w:r>
    </w:p>
    <w:p w14:paraId="313BB273" w14:textId="5A8273A6" w:rsidR="00226B1C" w:rsidRDefault="00EE7D05" w:rsidP="004C0258">
      <w:pPr>
        <w:ind w:left="720" w:hanging="720"/>
      </w:pPr>
      <w:r>
        <w:t>———</w:t>
      </w:r>
      <w:r w:rsidR="005B20EF" w:rsidRPr="009E5C03">
        <w:t xml:space="preserve">. "Visions in a Ninth-Century Village: An Early Medieval Microhistory." </w:t>
      </w:r>
      <w:r w:rsidR="005B20EF" w:rsidRPr="009E5C03">
        <w:rPr>
          <w:i/>
          <w:iCs/>
        </w:rPr>
        <w:t>History Workshop Journal</w:t>
      </w:r>
      <w:r w:rsidR="005B20EF" w:rsidRPr="009E5C03">
        <w:t xml:space="preserve"> 81, no. 1 (Spring 2016): </w:t>
      </w:r>
      <w:r w:rsidR="005B20EF">
        <w:t>1</w:t>
      </w:r>
      <w:r w:rsidR="005B20EF" w:rsidRPr="009E5C03">
        <w:t>-16.</w:t>
      </w:r>
    </w:p>
    <w:sectPr w:rsidR="00226B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8C99C" w14:textId="77777777" w:rsidR="0017507E" w:rsidRDefault="0017507E" w:rsidP="005B20EF">
      <w:pPr>
        <w:spacing w:after="0" w:line="240" w:lineRule="auto"/>
      </w:pPr>
      <w:r>
        <w:separator/>
      </w:r>
    </w:p>
  </w:endnote>
  <w:endnote w:type="continuationSeparator" w:id="0">
    <w:p w14:paraId="01344599" w14:textId="77777777" w:rsidR="0017507E" w:rsidRDefault="0017507E" w:rsidP="005B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B05EF" w14:textId="77777777" w:rsidR="0017507E" w:rsidRDefault="0017507E" w:rsidP="005B20EF">
      <w:pPr>
        <w:spacing w:after="0" w:line="240" w:lineRule="auto"/>
      </w:pPr>
      <w:r>
        <w:separator/>
      </w:r>
    </w:p>
  </w:footnote>
  <w:footnote w:type="continuationSeparator" w:id="0">
    <w:p w14:paraId="38D86C68" w14:textId="77777777" w:rsidR="0017507E" w:rsidRDefault="0017507E" w:rsidP="005B20EF">
      <w:pPr>
        <w:spacing w:after="0" w:line="240" w:lineRule="auto"/>
      </w:pPr>
      <w:r>
        <w:continuationSeparator/>
      </w:r>
    </w:p>
  </w:footnote>
  <w:footnote w:id="1">
    <w:p w14:paraId="168887D6" w14:textId="77777777" w:rsidR="004960B5" w:rsidRPr="00D80F5B" w:rsidRDefault="004960B5" w:rsidP="004960B5">
      <w:pPr>
        <w:pStyle w:val="FootnoteText"/>
      </w:pPr>
      <w:r>
        <w:rPr>
          <w:rStyle w:val="FootnoteReference"/>
        </w:rPr>
        <w:footnoteRef/>
      </w:r>
      <w:r>
        <w:t xml:space="preserve"> Charles West, “Unauthorized Miracles in Mid-Ninth-Century Dijon and the Carolingian Church Reforms,” </w:t>
      </w:r>
      <w:r>
        <w:rPr>
          <w:i/>
          <w:iCs/>
        </w:rPr>
        <w:t xml:space="preserve">Journal of Medieval History </w:t>
      </w:r>
      <w:r>
        <w:t>36, no. 4 (2010): 18.</w:t>
      </w:r>
    </w:p>
  </w:footnote>
  <w:footnote w:id="2">
    <w:p w14:paraId="22D0CA8F" w14:textId="7C4CAAC6" w:rsidR="00C85E7D" w:rsidRPr="00A05373" w:rsidRDefault="00C85E7D">
      <w:pPr>
        <w:pStyle w:val="FootnoteText"/>
      </w:pPr>
      <w:r>
        <w:rPr>
          <w:rStyle w:val="FootnoteReference"/>
        </w:rPr>
        <w:footnoteRef/>
      </w:r>
      <w:r>
        <w:t xml:space="preserve"> </w:t>
      </w:r>
      <w:r w:rsidR="00C93A25">
        <w:t>Michel Foucault</w:t>
      </w:r>
      <w:r w:rsidR="00A05373">
        <w:t xml:space="preserve">, </w:t>
      </w:r>
      <w:r w:rsidR="00A05373" w:rsidRPr="00A05373">
        <w:rPr>
          <w:i/>
          <w:iCs/>
        </w:rPr>
        <w:t>Security, Territory, Population: Lectures at the Collège De France 1977-1978</w:t>
      </w:r>
      <w:r w:rsidR="00294711">
        <w:t xml:space="preserve">, ed. </w:t>
      </w:r>
      <w:r w:rsidR="00294711" w:rsidRPr="00A05373">
        <w:t>Michel Senellart, François Ewald, Alessandro Fontana, and Arnold I. Davidson</w:t>
      </w:r>
      <w:r w:rsidR="00294711">
        <w:t xml:space="preserve">, trans. </w:t>
      </w:r>
      <w:r w:rsidR="00A05373" w:rsidRPr="00A05373">
        <w:t>by Graham Burchell</w:t>
      </w:r>
      <w:r w:rsidR="001D74F5">
        <w:t xml:space="preserve"> (</w:t>
      </w:r>
      <w:r w:rsidR="00DD4F7A">
        <w:t>New York: Palgrave Macmillan, 2009)</w:t>
      </w:r>
      <w:r w:rsidR="00A367E8">
        <w:t xml:space="preserve">, </w:t>
      </w:r>
      <w:r w:rsidR="00397E58">
        <w:t>166-1</w:t>
      </w:r>
      <w:r w:rsidR="00480C25">
        <w:t>72.</w:t>
      </w:r>
    </w:p>
  </w:footnote>
  <w:footnote w:id="3">
    <w:p w14:paraId="5588E9C1" w14:textId="6F295362" w:rsidR="00CA2037" w:rsidRPr="00CA2037" w:rsidRDefault="00CA2037">
      <w:pPr>
        <w:pStyle w:val="FootnoteText"/>
      </w:pPr>
      <w:r>
        <w:rPr>
          <w:rStyle w:val="FootnoteReference"/>
        </w:rPr>
        <w:footnoteRef/>
      </w:r>
      <w:r>
        <w:t xml:space="preserve"> Michel Foucault, </w:t>
      </w:r>
      <w:r w:rsidR="00D575D9">
        <w:rPr>
          <w:i/>
          <w:iCs/>
        </w:rPr>
        <w:t>“</w:t>
      </w:r>
      <w:r w:rsidR="00D575D9">
        <w:t>The Subject and Power,”</w:t>
      </w:r>
      <w:r w:rsidR="00D575D9">
        <w:rPr>
          <w:i/>
          <w:iCs/>
        </w:rPr>
        <w:t xml:space="preserve"> Critical Inquiry</w:t>
      </w:r>
      <w:r w:rsidR="00D575D9">
        <w:t xml:space="preserve"> 8 (</w:t>
      </w:r>
      <w:r w:rsidR="00635B83">
        <w:t>1982)</w:t>
      </w:r>
      <w:r w:rsidR="00A66F3A">
        <w:t>:</w:t>
      </w:r>
      <w:r w:rsidR="00D575D9">
        <w:t xml:space="preserve"> 783. </w:t>
      </w:r>
    </w:p>
  </w:footnote>
  <w:footnote w:id="4">
    <w:p w14:paraId="54095EFD" w14:textId="328ED5C8" w:rsidR="00DB4D45" w:rsidRPr="0019191C" w:rsidRDefault="00DB4D45">
      <w:pPr>
        <w:pStyle w:val="FootnoteText"/>
      </w:pPr>
      <w:r>
        <w:rPr>
          <w:rStyle w:val="FootnoteReference"/>
        </w:rPr>
        <w:footnoteRef/>
      </w:r>
      <w:r>
        <w:t xml:space="preserve"> Barbara Rosenwein</w:t>
      </w:r>
      <w:r w:rsidR="0019191C">
        <w:t xml:space="preserve">, </w:t>
      </w:r>
      <w:r w:rsidR="0019191C">
        <w:rPr>
          <w:i/>
          <w:iCs/>
        </w:rPr>
        <w:t>Emotional Communities in the Early Middle Ages</w:t>
      </w:r>
      <w:r w:rsidR="0019191C">
        <w:t xml:space="preserve"> (</w:t>
      </w:r>
      <w:r w:rsidR="0019191C" w:rsidRPr="0019191C">
        <w:t>Ithaca: Cornell University Press, 2006</w:t>
      </w:r>
      <w:r w:rsidR="0019191C">
        <w:t>),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1504D" w14:textId="482F3612" w:rsidR="00521691" w:rsidRDefault="00521691">
    <w:pPr>
      <w:pStyle w:val="Header"/>
      <w:jc w:val="right"/>
    </w:pPr>
    <w:r>
      <w:t xml:space="preserve">Corp </w:t>
    </w:r>
    <w:sdt>
      <w:sdtPr>
        <w:id w:val="-3511126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207FF8" w14:textId="77777777" w:rsidR="00521691" w:rsidRDefault="005216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7B"/>
    <w:rsid w:val="00000CD5"/>
    <w:rsid w:val="0000388F"/>
    <w:rsid w:val="00007AB5"/>
    <w:rsid w:val="00012689"/>
    <w:rsid w:val="00016BFF"/>
    <w:rsid w:val="00021654"/>
    <w:rsid w:val="000227C5"/>
    <w:rsid w:val="00023B27"/>
    <w:rsid w:val="00025BB3"/>
    <w:rsid w:val="00032DB8"/>
    <w:rsid w:val="0003358C"/>
    <w:rsid w:val="00034FCF"/>
    <w:rsid w:val="000364BC"/>
    <w:rsid w:val="000426D4"/>
    <w:rsid w:val="000435B4"/>
    <w:rsid w:val="00047CCB"/>
    <w:rsid w:val="00047F9C"/>
    <w:rsid w:val="000577C2"/>
    <w:rsid w:val="0006235E"/>
    <w:rsid w:val="00067F64"/>
    <w:rsid w:val="00074D91"/>
    <w:rsid w:val="00075D53"/>
    <w:rsid w:val="000777D2"/>
    <w:rsid w:val="00080EF8"/>
    <w:rsid w:val="00084645"/>
    <w:rsid w:val="00084DE6"/>
    <w:rsid w:val="000940A5"/>
    <w:rsid w:val="000A2A7D"/>
    <w:rsid w:val="000B23A6"/>
    <w:rsid w:val="000C1144"/>
    <w:rsid w:val="000D4C7B"/>
    <w:rsid w:val="000D603F"/>
    <w:rsid w:val="000D62DC"/>
    <w:rsid w:val="000E5DB5"/>
    <w:rsid w:val="000F3BA0"/>
    <w:rsid w:val="0010374B"/>
    <w:rsid w:val="0011787F"/>
    <w:rsid w:val="001256A6"/>
    <w:rsid w:val="00127BE6"/>
    <w:rsid w:val="0013055D"/>
    <w:rsid w:val="00137F98"/>
    <w:rsid w:val="0015608B"/>
    <w:rsid w:val="0015723B"/>
    <w:rsid w:val="001677D6"/>
    <w:rsid w:val="00167999"/>
    <w:rsid w:val="0017507E"/>
    <w:rsid w:val="00181E1E"/>
    <w:rsid w:val="0019172C"/>
    <w:rsid w:val="0019191C"/>
    <w:rsid w:val="001950FA"/>
    <w:rsid w:val="001978BD"/>
    <w:rsid w:val="001A054D"/>
    <w:rsid w:val="001A2BF1"/>
    <w:rsid w:val="001A47BC"/>
    <w:rsid w:val="001D3BA5"/>
    <w:rsid w:val="001D74F5"/>
    <w:rsid w:val="001F3029"/>
    <w:rsid w:val="002012AE"/>
    <w:rsid w:val="00207B10"/>
    <w:rsid w:val="002108A8"/>
    <w:rsid w:val="00216A92"/>
    <w:rsid w:val="00226B1C"/>
    <w:rsid w:val="00242838"/>
    <w:rsid w:val="0025659D"/>
    <w:rsid w:val="00256E86"/>
    <w:rsid w:val="0027260D"/>
    <w:rsid w:val="00275403"/>
    <w:rsid w:val="00276CA3"/>
    <w:rsid w:val="00277A17"/>
    <w:rsid w:val="00286856"/>
    <w:rsid w:val="00294711"/>
    <w:rsid w:val="00295878"/>
    <w:rsid w:val="002964F6"/>
    <w:rsid w:val="002A17C6"/>
    <w:rsid w:val="002A51A4"/>
    <w:rsid w:val="002B3D15"/>
    <w:rsid w:val="002C0950"/>
    <w:rsid w:val="002C6D74"/>
    <w:rsid w:val="002D553B"/>
    <w:rsid w:val="002D6669"/>
    <w:rsid w:val="002E366D"/>
    <w:rsid w:val="002E5102"/>
    <w:rsid w:val="002E72C5"/>
    <w:rsid w:val="002F1B9A"/>
    <w:rsid w:val="002F2E4A"/>
    <w:rsid w:val="002F4F4E"/>
    <w:rsid w:val="002F6290"/>
    <w:rsid w:val="0031761E"/>
    <w:rsid w:val="00331C2A"/>
    <w:rsid w:val="003332F4"/>
    <w:rsid w:val="003359B0"/>
    <w:rsid w:val="00337B36"/>
    <w:rsid w:val="00337C56"/>
    <w:rsid w:val="00345D03"/>
    <w:rsid w:val="00366F77"/>
    <w:rsid w:val="003715DD"/>
    <w:rsid w:val="003853B9"/>
    <w:rsid w:val="003855BE"/>
    <w:rsid w:val="0038717B"/>
    <w:rsid w:val="00397E58"/>
    <w:rsid w:val="00397F37"/>
    <w:rsid w:val="003A069A"/>
    <w:rsid w:val="003A07A2"/>
    <w:rsid w:val="003C0B49"/>
    <w:rsid w:val="003C2627"/>
    <w:rsid w:val="003C49E8"/>
    <w:rsid w:val="003E082E"/>
    <w:rsid w:val="003E436F"/>
    <w:rsid w:val="003E4A6A"/>
    <w:rsid w:val="003E74F7"/>
    <w:rsid w:val="003F15F8"/>
    <w:rsid w:val="00406A02"/>
    <w:rsid w:val="00437D45"/>
    <w:rsid w:val="00445AAE"/>
    <w:rsid w:val="004625F4"/>
    <w:rsid w:val="004637F1"/>
    <w:rsid w:val="00470060"/>
    <w:rsid w:val="00471759"/>
    <w:rsid w:val="0047685F"/>
    <w:rsid w:val="004805B7"/>
    <w:rsid w:val="00480C25"/>
    <w:rsid w:val="0049273B"/>
    <w:rsid w:val="004960B5"/>
    <w:rsid w:val="004968DC"/>
    <w:rsid w:val="004A37F1"/>
    <w:rsid w:val="004A6BC2"/>
    <w:rsid w:val="004B24C9"/>
    <w:rsid w:val="004B7B30"/>
    <w:rsid w:val="004C0258"/>
    <w:rsid w:val="004C24C4"/>
    <w:rsid w:val="004D49C2"/>
    <w:rsid w:val="004D6BB0"/>
    <w:rsid w:val="004E7017"/>
    <w:rsid w:val="004E7E7B"/>
    <w:rsid w:val="004F0C9C"/>
    <w:rsid w:val="004F1785"/>
    <w:rsid w:val="00500FE9"/>
    <w:rsid w:val="005107A4"/>
    <w:rsid w:val="00513929"/>
    <w:rsid w:val="00514764"/>
    <w:rsid w:val="00521691"/>
    <w:rsid w:val="005253DC"/>
    <w:rsid w:val="00527B18"/>
    <w:rsid w:val="0053230C"/>
    <w:rsid w:val="005334EB"/>
    <w:rsid w:val="00544BD0"/>
    <w:rsid w:val="005631FA"/>
    <w:rsid w:val="005638DC"/>
    <w:rsid w:val="0056396C"/>
    <w:rsid w:val="0056520C"/>
    <w:rsid w:val="00566278"/>
    <w:rsid w:val="005810EA"/>
    <w:rsid w:val="00581368"/>
    <w:rsid w:val="00581575"/>
    <w:rsid w:val="00587B1F"/>
    <w:rsid w:val="005A2013"/>
    <w:rsid w:val="005B20EF"/>
    <w:rsid w:val="005B2AA2"/>
    <w:rsid w:val="005C50EA"/>
    <w:rsid w:val="005C7C92"/>
    <w:rsid w:val="005D74F6"/>
    <w:rsid w:val="005D7F07"/>
    <w:rsid w:val="005F287F"/>
    <w:rsid w:val="005F5164"/>
    <w:rsid w:val="00603346"/>
    <w:rsid w:val="00603BD9"/>
    <w:rsid w:val="00604CC4"/>
    <w:rsid w:val="00607D30"/>
    <w:rsid w:val="0061049D"/>
    <w:rsid w:val="00620AE2"/>
    <w:rsid w:val="00623C70"/>
    <w:rsid w:val="006278A4"/>
    <w:rsid w:val="00627D1C"/>
    <w:rsid w:val="0063230E"/>
    <w:rsid w:val="00635B83"/>
    <w:rsid w:val="006570E7"/>
    <w:rsid w:val="00663B84"/>
    <w:rsid w:val="00663CAD"/>
    <w:rsid w:val="0066782A"/>
    <w:rsid w:val="00674D16"/>
    <w:rsid w:val="006A042E"/>
    <w:rsid w:val="006A1F4B"/>
    <w:rsid w:val="006B420A"/>
    <w:rsid w:val="006C4280"/>
    <w:rsid w:val="006D4D97"/>
    <w:rsid w:val="006D5BB0"/>
    <w:rsid w:val="006D7D28"/>
    <w:rsid w:val="006E77F3"/>
    <w:rsid w:val="006F12D3"/>
    <w:rsid w:val="006F36B4"/>
    <w:rsid w:val="00701568"/>
    <w:rsid w:val="007029DC"/>
    <w:rsid w:val="00715F0D"/>
    <w:rsid w:val="0072356F"/>
    <w:rsid w:val="00724129"/>
    <w:rsid w:val="00740043"/>
    <w:rsid w:val="007552FB"/>
    <w:rsid w:val="007554C6"/>
    <w:rsid w:val="00756F85"/>
    <w:rsid w:val="007608BA"/>
    <w:rsid w:val="007655D9"/>
    <w:rsid w:val="007709C5"/>
    <w:rsid w:val="00775440"/>
    <w:rsid w:val="007A6896"/>
    <w:rsid w:val="007B0E31"/>
    <w:rsid w:val="007B701A"/>
    <w:rsid w:val="007C78EF"/>
    <w:rsid w:val="007D374D"/>
    <w:rsid w:val="007D41BC"/>
    <w:rsid w:val="007D774A"/>
    <w:rsid w:val="007E4E43"/>
    <w:rsid w:val="007F262D"/>
    <w:rsid w:val="007F312C"/>
    <w:rsid w:val="007F4403"/>
    <w:rsid w:val="00803451"/>
    <w:rsid w:val="00813941"/>
    <w:rsid w:val="008179B6"/>
    <w:rsid w:val="0082048A"/>
    <w:rsid w:val="00823753"/>
    <w:rsid w:val="00824112"/>
    <w:rsid w:val="008276F4"/>
    <w:rsid w:val="00827BC1"/>
    <w:rsid w:val="00862DEC"/>
    <w:rsid w:val="00865CFE"/>
    <w:rsid w:val="008813B6"/>
    <w:rsid w:val="008827AB"/>
    <w:rsid w:val="00884388"/>
    <w:rsid w:val="008848D7"/>
    <w:rsid w:val="00893FD4"/>
    <w:rsid w:val="008A181A"/>
    <w:rsid w:val="008A1EB4"/>
    <w:rsid w:val="008A2F61"/>
    <w:rsid w:val="008A6E15"/>
    <w:rsid w:val="008B60C2"/>
    <w:rsid w:val="008B6C80"/>
    <w:rsid w:val="008B7A17"/>
    <w:rsid w:val="008C67E6"/>
    <w:rsid w:val="008E0A7C"/>
    <w:rsid w:val="008E16EE"/>
    <w:rsid w:val="008F1796"/>
    <w:rsid w:val="008F2BE8"/>
    <w:rsid w:val="008F5D46"/>
    <w:rsid w:val="00900BF9"/>
    <w:rsid w:val="00901E2F"/>
    <w:rsid w:val="0091710D"/>
    <w:rsid w:val="00927F94"/>
    <w:rsid w:val="009334E2"/>
    <w:rsid w:val="009341FA"/>
    <w:rsid w:val="00944F28"/>
    <w:rsid w:val="00956469"/>
    <w:rsid w:val="00964987"/>
    <w:rsid w:val="00967239"/>
    <w:rsid w:val="00967846"/>
    <w:rsid w:val="00975406"/>
    <w:rsid w:val="00977EB9"/>
    <w:rsid w:val="00981CE6"/>
    <w:rsid w:val="00983B12"/>
    <w:rsid w:val="0098501C"/>
    <w:rsid w:val="009874F0"/>
    <w:rsid w:val="00990B3A"/>
    <w:rsid w:val="009A4CA4"/>
    <w:rsid w:val="009B02EB"/>
    <w:rsid w:val="009B294F"/>
    <w:rsid w:val="009B2A1C"/>
    <w:rsid w:val="009D5E3C"/>
    <w:rsid w:val="009E03F2"/>
    <w:rsid w:val="009E33CC"/>
    <w:rsid w:val="009E57B2"/>
    <w:rsid w:val="009E7C37"/>
    <w:rsid w:val="009F33E6"/>
    <w:rsid w:val="009F7618"/>
    <w:rsid w:val="00A05373"/>
    <w:rsid w:val="00A0595E"/>
    <w:rsid w:val="00A06BA7"/>
    <w:rsid w:val="00A10CA7"/>
    <w:rsid w:val="00A12301"/>
    <w:rsid w:val="00A13D3B"/>
    <w:rsid w:val="00A17C73"/>
    <w:rsid w:val="00A25A5A"/>
    <w:rsid w:val="00A34D82"/>
    <w:rsid w:val="00A367E8"/>
    <w:rsid w:val="00A46688"/>
    <w:rsid w:val="00A503D1"/>
    <w:rsid w:val="00A51DEA"/>
    <w:rsid w:val="00A623A4"/>
    <w:rsid w:val="00A66839"/>
    <w:rsid w:val="00A66F3A"/>
    <w:rsid w:val="00A67A08"/>
    <w:rsid w:val="00A87D67"/>
    <w:rsid w:val="00AA2E6B"/>
    <w:rsid w:val="00AA3150"/>
    <w:rsid w:val="00AB2B80"/>
    <w:rsid w:val="00AB6CFD"/>
    <w:rsid w:val="00AD25DB"/>
    <w:rsid w:val="00AE24B2"/>
    <w:rsid w:val="00AE5A77"/>
    <w:rsid w:val="00AF2BF6"/>
    <w:rsid w:val="00B01D90"/>
    <w:rsid w:val="00B0247D"/>
    <w:rsid w:val="00B05BD3"/>
    <w:rsid w:val="00B42CC6"/>
    <w:rsid w:val="00B45457"/>
    <w:rsid w:val="00B539AA"/>
    <w:rsid w:val="00B53FA7"/>
    <w:rsid w:val="00B54B70"/>
    <w:rsid w:val="00B66CE2"/>
    <w:rsid w:val="00B73E90"/>
    <w:rsid w:val="00B80BB4"/>
    <w:rsid w:val="00B81BDF"/>
    <w:rsid w:val="00B901FE"/>
    <w:rsid w:val="00BA00B3"/>
    <w:rsid w:val="00BA08AA"/>
    <w:rsid w:val="00BB0900"/>
    <w:rsid w:val="00BB25A5"/>
    <w:rsid w:val="00BB46E3"/>
    <w:rsid w:val="00BB4A12"/>
    <w:rsid w:val="00BC6007"/>
    <w:rsid w:val="00BD18E6"/>
    <w:rsid w:val="00BD2BF3"/>
    <w:rsid w:val="00BD3EEC"/>
    <w:rsid w:val="00BE1CE3"/>
    <w:rsid w:val="00BE7DDE"/>
    <w:rsid w:val="00BE7E1D"/>
    <w:rsid w:val="00C00D90"/>
    <w:rsid w:val="00C00FD4"/>
    <w:rsid w:val="00C02D79"/>
    <w:rsid w:val="00C031F7"/>
    <w:rsid w:val="00C103D2"/>
    <w:rsid w:val="00C11EC9"/>
    <w:rsid w:val="00C22907"/>
    <w:rsid w:val="00C26EE1"/>
    <w:rsid w:val="00C5000B"/>
    <w:rsid w:val="00C50571"/>
    <w:rsid w:val="00C554A6"/>
    <w:rsid w:val="00C61483"/>
    <w:rsid w:val="00C669F9"/>
    <w:rsid w:val="00C714C2"/>
    <w:rsid w:val="00C805FD"/>
    <w:rsid w:val="00C81F97"/>
    <w:rsid w:val="00C85C63"/>
    <w:rsid w:val="00C85E7D"/>
    <w:rsid w:val="00C90A14"/>
    <w:rsid w:val="00C93A25"/>
    <w:rsid w:val="00C95DDC"/>
    <w:rsid w:val="00CA2037"/>
    <w:rsid w:val="00CA4886"/>
    <w:rsid w:val="00CB645B"/>
    <w:rsid w:val="00CB6EAA"/>
    <w:rsid w:val="00CC1A06"/>
    <w:rsid w:val="00CC1D4A"/>
    <w:rsid w:val="00CC6F09"/>
    <w:rsid w:val="00CD1649"/>
    <w:rsid w:val="00CD2DFB"/>
    <w:rsid w:val="00CF5A8C"/>
    <w:rsid w:val="00D04D92"/>
    <w:rsid w:val="00D1126A"/>
    <w:rsid w:val="00D1635E"/>
    <w:rsid w:val="00D176C6"/>
    <w:rsid w:val="00D31461"/>
    <w:rsid w:val="00D36D6B"/>
    <w:rsid w:val="00D45640"/>
    <w:rsid w:val="00D528E9"/>
    <w:rsid w:val="00D52F69"/>
    <w:rsid w:val="00D56E0B"/>
    <w:rsid w:val="00D575D9"/>
    <w:rsid w:val="00D7171D"/>
    <w:rsid w:val="00D72312"/>
    <w:rsid w:val="00D7753B"/>
    <w:rsid w:val="00D80066"/>
    <w:rsid w:val="00D80F5B"/>
    <w:rsid w:val="00DA49EF"/>
    <w:rsid w:val="00DB4D45"/>
    <w:rsid w:val="00DC44FD"/>
    <w:rsid w:val="00DC47AA"/>
    <w:rsid w:val="00DC7D76"/>
    <w:rsid w:val="00DD1B5B"/>
    <w:rsid w:val="00DD382B"/>
    <w:rsid w:val="00DD3B6A"/>
    <w:rsid w:val="00DD4F7A"/>
    <w:rsid w:val="00DE1D92"/>
    <w:rsid w:val="00DF11CC"/>
    <w:rsid w:val="00DF7011"/>
    <w:rsid w:val="00E02743"/>
    <w:rsid w:val="00E05E60"/>
    <w:rsid w:val="00E11312"/>
    <w:rsid w:val="00E12C69"/>
    <w:rsid w:val="00E20F0A"/>
    <w:rsid w:val="00E32351"/>
    <w:rsid w:val="00E32D6C"/>
    <w:rsid w:val="00E3742B"/>
    <w:rsid w:val="00E40989"/>
    <w:rsid w:val="00E412E1"/>
    <w:rsid w:val="00E440AD"/>
    <w:rsid w:val="00E4707C"/>
    <w:rsid w:val="00E5540C"/>
    <w:rsid w:val="00E56E66"/>
    <w:rsid w:val="00E607B4"/>
    <w:rsid w:val="00E72B92"/>
    <w:rsid w:val="00E73AA9"/>
    <w:rsid w:val="00E91B86"/>
    <w:rsid w:val="00E9276E"/>
    <w:rsid w:val="00E95B2D"/>
    <w:rsid w:val="00E962E5"/>
    <w:rsid w:val="00EA13D1"/>
    <w:rsid w:val="00EB72EF"/>
    <w:rsid w:val="00EC13AD"/>
    <w:rsid w:val="00EC26C0"/>
    <w:rsid w:val="00ED5C4C"/>
    <w:rsid w:val="00EE4588"/>
    <w:rsid w:val="00EE6425"/>
    <w:rsid w:val="00EE7D05"/>
    <w:rsid w:val="00EF0328"/>
    <w:rsid w:val="00EF4598"/>
    <w:rsid w:val="00F00EE4"/>
    <w:rsid w:val="00F0205D"/>
    <w:rsid w:val="00F04B7A"/>
    <w:rsid w:val="00F14F12"/>
    <w:rsid w:val="00F227BC"/>
    <w:rsid w:val="00F27AE2"/>
    <w:rsid w:val="00F40BF4"/>
    <w:rsid w:val="00F41A44"/>
    <w:rsid w:val="00F44A53"/>
    <w:rsid w:val="00F50910"/>
    <w:rsid w:val="00F510FD"/>
    <w:rsid w:val="00F67AD7"/>
    <w:rsid w:val="00F72499"/>
    <w:rsid w:val="00F8115C"/>
    <w:rsid w:val="00F82610"/>
    <w:rsid w:val="00F855C6"/>
    <w:rsid w:val="00F928C7"/>
    <w:rsid w:val="00FA5130"/>
    <w:rsid w:val="00FA52E0"/>
    <w:rsid w:val="00FB0D92"/>
    <w:rsid w:val="00FB50EB"/>
    <w:rsid w:val="00FB7108"/>
    <w:rsid w:val="00FC54D0"/>
    <w:rsid w:val="00FC7E70"/>
    <w:rsid w:val="00FD1B26"/>
    <w:rsid w:val="00FF0B4B"/>
    <w:rsid w:val="00FF5025"/>
    <w:rsid w:val="00FF5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DA5C"/>
  <w15:chartTrackingRefBased/>
  <w15:docId w15:val="{E54179B0-ED6F-41EF-954A-E855E00B3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0EF"/>
  </w:style>
  <w:style w:type="paragraph" w:styleId="Footer">
    <w:name w:val="footer"/>
    <w:basedOn w:val="Normal"/>
    <w:link w:val="FooterChar"/>
    <w:uiPriority w:val="99"/>
    <w:unhideWhenUsed/>
    <w:rsid w:val="005B2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0EF"/>
  </w:style>
  <w:style w:type="paragraph" w:styleId="Date">
    <w:name w:val="Date"/>
    <w:basedOn w:val="Normal"/>
    <w:next w:val="Normal"/>
    <w:link w:val="DateChar"/>
    <w:uiPriority w:val="99"/>
    <w:semiHidden/>
    <w:unhideWhenUsed/>
    <w:rsid w:val="001978BD"/>
  </w:style>
  <w:style w:type="character" w:customStyle="1" w:styleId="DateChar">
    <w:name w:val="Date Char"/>
    <w:basedOn w:val="DefaultParagraphFont"/>
    <w:link w:val="Date"/>
    <w:uiPriority w:val="99"/>
    <w:semiHidden/>
    <w:rsid w:val="001978BD"/>
  </w:style>
  <w:style w:type="paragraph" w:styleId="FootnoteText">
    <w:name w:val="footnote text"/>
    <w:basedOn w:val="Normal"/>
    <w:link w:val="FootnoteTextChar"/>
    <w:uiPriority w:val="99"/>
    <w:semiHidden/>
    <w:unhideWhenUsed/>
    <w:rsid w:val="00C85E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5E7D"/>
    <w:rPr>
      <w:sz w:val="20"/>
      <w:szCs w:val="20"/>
    </w:rPr>
  </w:style>
  <w:style w:type="character" w:styleId="FootnoteReference">
    <w:name w:val="footnote reference"/>
    <w:basedOn w:val="DefaultParagraphFont"/>
    <w:uiPriority w:val="99"/>
    <w:semiHidden/>
    <w:unhideWhenUsed/>
    <w:rsid w:val="00C85E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96724">
      <w:bodyDiv w:val="1"/>
      <w:marLeft w:val="0"/>
      <w:marRight w:val="0"/>
      <w:marTop w:val="0"/>
      <w:marBottom w:val="0"/>
      <w:divBdr>
        <w:top w:val="none" w:sz="0" w:space="0" w:color="auto"/>
        <w:left w:val="none" w:sz="0" w:space="0" w:color="auto"/>
        <w:bottom w:val="none" w:sz="0" w:space="0" w:color="auto"/>
        <w:right w:val="none" w:sz="0" w:space="0" w:color="auto"/>
      </w:divBdr>
      <w:divsChild>
        <w:div w:id="1498500275">
          <w:marLeft w:val="0"/>
          <w:marRight w:val="0"/>
          <w:marTop w:val="0"/>
          <w:marBottom w:val="0"/>
          <w:divBdr>
            <w:top w:val="none" w:sz="0" w:space="0" w:color="auto"/>
            <w:left w:val="none" w:sz="0" w:space="0" w:color="auto"/>
            <w:bottom w:val="none" w:sz="0" w:space="0" w:color="auto"/>
            <w:right w:val="none" w:sz="0" w:space="0" w:color="auto"/>
          </w:divBdr>
          <w:divsChild>
            <w:div w:id="9450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9722">
      <w:bodyDiv w:val="1"/>
      <w:marLeft w:val="0"/>
      <w:marRight w:val="0"/>
      <w:marTop w:val="0"/>
      <w:marBottom w:val="0"/>
      <w:divBdr>
        <w:top w:val="none" w:sz="0" w:space="0" w:color="auto"/>
        <w:left w:val="none" w:sz="0" w:space="0" w:color="auto"/>
        <w:bottom w:val="none" w:sz="0" w:space="0" w:color="auto"/>
        <w:right w:val="none" w:sz="0" w:space="0" w:color="auto"/>
      </w:divBdr>
    </w:div>
    <w:div w:id="1092168666">
      <w:bodyDiv w:val="1"/>
      <w:marLeft w:val="0"/>
      <w:marRight w:val="0"/>
      <w:marTop w:val="0"/>
      <w:marBottom w:val="0"/>
      <w:divBdr>
        <w:top w:val="none" w:sz="0" w:space="0" w:color="auto"/>
        <w:left w:val="none" w:sz="0" w:space="0" w:color="auto"/>
        <w:bottom w:val="none" w:sz="0" w:space="0" w:color="auto"/>
        <w:right w:val="none" w:sz="0" w:space="0" w:color="auto"/>
      </w:divBdr>
      <w:divsChild>
        <w:div w:id="186214305">
          <w:marLeft w:val="0"/>
          <w:marRight w:val="0"/>
          <w:marTop w:val="0"/>
          <w:marBottom w:val="0"/>
          <w:divBdr>
            <w:top w:val="none" w:sz="0" w:space="0" w:color="auto"/>
            <w:left w:val="none" w:sz="0" w:space="0" w:color="auto"/>
            <w:bottom w:val="none" w:sz="0" w:space="0" w:color="auto"/>
            <w:right w:val="none" w:sz="0" w:space="0" w:color="auto"/>
          </w:divBdr>
          <w:divsChild>
            <w:div w:id="1834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7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A4ADF1F-B6A1-4B65-93BD-693813D3B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6</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Corp</dc:creator>
  <cp:keywords/>
  <dc:description/>
  <cp:lastModifiedBy>Jack Corp</cp:lastModifiedBy>
  <cp:revision>622</cp:revision>
  <dcterms:created xsi:type="dcterms:W3CDTF">2021-09-20T17:13:00Z</dcterms:created>
  <dcterms:modified xsi:type="dcterms:W3CDTF">2021-10-04T01:21:00Z</dcterms:modified>
</cp:coreProperties>
</file>