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02F" w:rsidRPr="0001602F" w:rsidRDefault="0001602F" w:rsidP="0001602F">
      <w:pPr>
        <w:pStyle w:val="Corpodetexto3"/>
        <w:spacing w:after="0"/>
        <w:jc w:val="center"/>
        <w:rPr>
          <w:rFonts w:eastAsiaTheme="minorEastAsia"/>
          <w:b/>
          <w:bCs/>
          <w:sz w:val="24"/>
          <w:szCs w:val="24"/>
          <w:lang w:eastAsia="ja-JP"/>
        </w:rPr>
      </w:pPr>
      <w:r w:rsidRPr="0001602F">
        <w:rPr>
          <w:rFonts w:eastAsiaTheme="minorEastAsia"/>
          <w:b/>
          <w:bCs/>
          <w:sz w:val="24"/>
          <w:szCs w:val="24"/>
          <w:lang w:eastAsia="ja-JP"/>
        </w:rPr>
        <w:t>Estímulos fiscais e a interação entre as políticas monetária e fiscal no Brasil</w:t>
      </w:r>
    </w:p>
    <w:p w:rsidR="0001602F" w:rsidRDefault="0001602F" w:rsidP="0001602F">
      <w:pPr>
        <w:rPr>
          <w:b/>
        </w:rPr>
      </w:pPr>
    </w:p>
    <w:p w:rsidR="0001602F" w:rsidRDefault="0001602F" w:rsidP="0001602F">
      <w:pPr>
        <w:jc w:val="both"/>
        <w:rPr>
          <w:b/>
        </w:rPr>
      </w:pPr>
    </w:p>
    <w:p w:rsidR="0001602F" w:rsidRDefault="0001602F" w:rsidP="0001602F">
      <w:pPr>
        <w:jc w:val="both"/>
        <w:rPr>
          <w:b/>
        </w:rPr>
      </w:pPr>
    </w:p>
    <w:p w:rsidR="0001602F" w:rsidRPr="00C432AF" w:rsidRDefault="0001602F" w:rsidP="00C432AF">
      <w:pPr>
        <w:jc w:val="right"/>
        <w:rPr>
          <w:i/>
        </w:rPr>
      </w:pPr>
      <w:r w:rsidRPr="00C432AF">
        <w:rPr>
          <w:i/>
        </w:rPr>
        <w:t>Julio Cesar de Mello Barros</w:t>
      </w:r>
      <w:r w:rsidR="00C432AF" w:rsidRPr="00C432AF">
        <w:rPr>
          <w:rStyle w:val="Refdenotaderodap"/>
          <w:i/>
        </w:rPr>
        <w:footnoteReference w:id="2"/>
      </w:r>
    </w:p>
    <w:p w:rsidR="0001602F" w:rsidRPr="0001602F" w:rsidRDefault="0001602F" w:rsidP="00C432AF">
      <w:pPr>
        <w:jc w:val="right"/>
      </w:pPr>
      <w:r w:rsidRPr="00C432AF">
        <w:rPr>
          <w:i/>
        </w:rPr>
        <w:t>Elcyon Caiado Rocha Lima</w:t>
      </w:r>
      <w:r w:rsidR="00C432AF">
        <w:rPr>
          <w:rStyle w:val="Refdenotaderodap"/>
        </w:rPr>
        <w:footnoteReference w:id="3"/>
      </w:r>
    </w:p>
    <w:p w:rsidR="0001602F" w:rsidRPr="0001602F" w:rsidRDefault="0001602F" w:rsidP="0001602F">
      <w:pPr>
        <w:jc w:val="both"/>
      </w:pPr>
    </w:p>
    <w:p w:rsidR="0001602F" w:rsidRPr="0001602F" w:rsidRDefault="0001602F" w:rsidP="0001602F">
      <w:pPr>
        <w:ind w:firstLine="708"/>
        <w:jc w:val="both"/>
      </w:pPr>
      <w:r w:rsidRPr="0001602F">
        <w:br/>
      </w:r>
      <w:r w:rsidRPr="0001602F">
        <w:rPr>
          <w:b/>
        </w:rPr>
        <w:t>RESUMO</w:t>
      </w:r>
      <w:r w:rsidRPr="0001602F">
        <w:t>: Este trabalho estima o impacto dinâmico de um estímulo fiscal sobre variáveis macroeconômicas brasileiras entre 1999 e 2011</w:t>
      </w:r>
      <w:r w:rsidR="003E22BE">
        <w:t xml:space="preserve">. Utiliza um modelo no qual as </w:t>
      </w:r>
      <w:r w:rsidRPr="0001602F">
        <w:t>ex</w:t>
      </w:r>
      <w:r w:rsidR="00B21F91">
        <w:t>pectativas dos agentes econômico</w:t>
      </w:r>
      <w:r w:rsidRPr="0001602F">
        <w:t xml:space="preserve">s </w:t>
      </w:r>
      <w:r w:rsidR="003E22BE">
        <w:t xml:space="preserve">são </w:t>
      </w:r>
      <w:r w:rsidRPr="0001602F">
        <w:t>afetadas pela existência</w:t>
      </w:r>
      <w:r w:rsidR="002F7518">
        <w:t xml:space="preserve"> -</w:t>
      </w:r>
      <w:r w:rsidR="00857B34">
        <w:t xml:space="preserve"> </w:t>
      </w:r>
      <w:r w:rsidRPr="0001602F">
        <w:t>e probabilidade de alternância</w:t>
      </w:r>
      <w:r w:rsidR="00857B34">
        <w:t xml:space="preserve"> </w:t>
      </w:r>
      <w:r w:rsidR="002F7518">
        <w:t xml:space="preserve">- </w:t>
      </w:r>
      <w:r w:rsidRPr="0001602F">
        <w:t>d</w:t>
      </w:r>
      <w:r w:rsidR="00CD2A1C">
        <w:t>e</w:t>
      </w:r>
      <w:r w:rsidRPr="0001602F">
        <w:t xml:space="preserve"> regimes</w:t>
      </w:r>
      <w:r w:rsidR="00857B34">
        <w:t xml:space="preserve"> </w:t>
      </w:r>
      <w:r w:rsidR="00CD2A1C">
        <w:t>n</w:t>
      </w:r>
      <w:r w:rsidR="00F560B6">
        <w:t>as políticas fiscal e monetária (como em Davig e Leeper (2011)</w:t>
      </w:r>
      <w:r w:rsidR="00D43CB8">
        <w:t>)</w:t>
      </w:r>
      <w:r w:rsidRPr="0001602F">
        <w:t xml:space="preserve">. </w:t>
      </w:r>
      <w:r w:rsidR="00D43CB8">
        <w:t xml:space="preserve">As regras </w:t>
      </w:r>
      <w:r w:rsidRPr="0001602F">
        <w:t>da política m</w:t>
      </w:r>
      <w:r w:rsidR="00F560B6">
        <w:t>onetária</w:t>
      </w:r>
      <w:r w:rsidR="00D43CB8">
        <w:t xml:space="preserve">, para os dois regimes detectados, </w:t>
      </w:r>
      <w:r w:rsidRPr="0001602F">
        <w:t>foram estimad</w:t>
      </w:r>
      <w:r w:rsidR="00D43CB8">
        <w:t>a</w:t>
      </w:r>
      <w:r w:rsidRPr="0001602F">
        <w:t xml:space="preserve">s através de um modelo </w:t>
      </w:r>
      <w:r w:rsidR="003E22BE">
        <w:t xml:space="preserve">com </w:t>
      </w:r>
      <w:r w:rsidRPr="0001602F">
        <w:t>mudança Markovian</w:t>
      </w:r>
      <w:r w:rsidR="00F560B6">
        <w:t>a</w:t>
      </w:r>
      <w:r w:rsidR="008F6AB3">
        <w:t xml:space="preserve"> de regime</w:t>
      </w:r>
      <w:r w:rsidRPr="0001602F">
        <w:t xml:space="preserve">. </w:t>
      </w:r>
      <w:r w:rsidR="00D43CB8">
        <w:t>A regra da política fiscal, para o único regime detectado,</w:t>
      </w:r>
      <w:r w:rsidR="00857B34">
        <w:t xml:space="preserve"> </w:t>
      </w:r>
      <w:r w:rsidR="00F560B6">
        <w:t xml:space="preserve">foi </w:t>
      </w:r>
      <w:r w:rsidRPr="0001602F">
        <w:t>estimad</w:t>
      </w:r>
      <w:r w:rsidR="00D43CB8">
        <w:t>a</w:t>
      </w:r>
      <w:r w:rsidR="00857B34">
        <w:t xml:space="preserve"> </w:t>
      </w:r>
      <w:r w:rsidR="00CD2A1C">
        <w:t>adotando-se</w:t>
      </w:r>
      <w:r w:rsidR="00D43CB8">
        <w:t xml:space="preserve"> um </w:t>
      </w:r>
      <w:r w:rsidRPr="0001602F">
        <w:t xml:space="preserve">modelo </w:t>
      </w:r>
      <w:r w:rsidR="00CD2A1C">
        <w:t xml:space="preserve">Vetorial </w:t>
      </w:r>
      <w:r w:rsidRPr="0001602F">
        <w:t xml:space="preserve">de Correção de Erros </w:t>
      </w:r>
      <w:r w:rsidR="00CD2A1C">
        <w:t>(</w:t>
      </w:r>
      <w:r w:rsidRPr="0001602F">
        <w:t xml:space="preserve">VEC). </w:t>
      </w:r>
      <w:r w:rsidR="003F5E28">
        <w:t xml:space="preserve">Os </w:t>
      </w:r>
      <w:r w:rsidRPr="0001602F">
        <w:t>parâmetros</w:t>
      </w:r>
      <w:r w:rsidR="003F5E28">
        <w:t xml:space="preserve"> estimados</w:t>
      </w:r>
      <w:r w:rsidRPr="0001602F">
        <w:t xml:space="preserve"> foram utilizados na calibragem de um modelo de equilíbrio geral estocástico dinâmico (DSGE), com mudanças de regime, com rigidez nominal de preços e concorrência monopolística. </w:t>
      </w:r>
      <w:r w:rsidR="003F5E28">
        <w:t xml:space="preserve">No período considerado </w:t>
      </w:r>
      <w:r w:rsidRPr="0001602F">
        <w:t xml:space="preserve">a política fiscal </w:t>
      </w:r>
      <w:r w:rsidR="00F60E62">
        <w:t xml:space="preserve">foi sempre passiva </w:t>
      </w:r>
      <w:r w:rsidR="003F5E28">
        <w:t>e</w:t>
      </w:r>
      <w:r w:rsidR="00F60E62">
        <w:t xml:space="preserve"> a política</w:t>
      </w:r>
      <w:r w:rsidR="003F5E28">
        <w:t xml:space="preserve"> monetária sempre </w:t>
      </w:r>
      <w:r w:rsidRPr="0001602F">
        <w:t>ativa,</w:t>
      </w:r>
      <w:r w:rsidR="003F5E28">
        <w:t xml:space="preserve"> com alternância na intensidade da atividade da política monetária</w:t>
      </w:r>
      <w:r w:rsidR="00D43CB8">
        <w:t xml:space="preserve">. </w:t>
      </w:r>
      <w:r w:rsidR="008B698C">
        <w:t>Um</w:t>
      </w:r>
      <w:r w:rsidR="00857B34">
        <w:t xml:space="preserve"> </w:t>
      </w:r>
      <w:r w:rsidRPr="0001602F">
        <w:t>choque não antecipado dos gastos do governo</w:t>
      </w:r>
      <w:r w:rsidR="00857B34">
        <w:t xml:space="preserve"> </w:t>
      </w:r>
      <w:r w:rsidR="008B698C">
        <w:t>provoca</w:t>
      </w:r>
      <w:r w:rsidR="00CD2A1C">
        <w:t>:</w:t>
      </w:r>
      <w:r w:rsidR="00857B34">
        <w:t xml:space="preserve"> </w:t>
      </w:r>
      <w:r w:rsidR="00AC39D1">
        <w:t>um</w:t>
      </w:r>
      <w:r w:rsidRPr="0001602F">
        <w:t xml:space="preserve"> aumento do hiato do produto e dos juros reais</w:t>
      </w:r>
      <w:r w:rsidR="00CD2A1C">
        <w:t>;</w:t>
      </w:r>
      <w:r w:rsidR="00857B34">
        <w:t xml:space="preserve"> </w:t>
      </w:r>
      <w:r w:rsidR="00AC39D1">
        <w:t xml:space="preserve">uma </w:t>
      </w:r>
      <w:r w:rsidRPr="0001602F">
        <w:t xml:space="preserve">redução </w:t>
      </w:r>
      <w:r w:rsidR="008B698C">
        <w:t>d</w:t>
      </w:r>
      <w:r w:rsidRPr="0001602F">
        <w:t xml:space="preserve">o consumo privado e </w:t>
      </w:r>
      <w:r w:rsidR="008B698C">
        <w:t>d</w:t>
      </w:r>
      <w:r w:rsidRPr="0001602F">
        <w:t>a taxa de inflação.</w:t>
      </w:r>
    </w:p>
    <w:p w:rsidR="0001602F" w:rsidRDefault="0001602F" w:rsidP="0001602F">
      <w:pPr>
        <w:ind w:firstLine="708"/>
        <w:jc w:val="both"/>
      </w:pPr>
    </w:p>
    <w:p w:rsidR="00C432AF" w:rsidRPr="0001602F" w:rsidRDefault="00C432AF" w:rsidP="0001602F">
      <w:pPr>
        <w:ind w:firstLine="708"/>
        <w:jc w:val="both"/>
      </w:pPr>
    </w:p>
    <w:p w:rsidR="0001602F" w:rsidRPr="00634AF9" w:rsidRDefault="0001602F" w:rsidP="0001602F">
      <w:pPr>
        <w:jc w:val="both"/>
        <w:rPr>
          <w:rFonts w:ascii="Calibri" w:hAnsi="Calibri"/>
        </w:rPr>
      </w:pPr>
      <w:r w:rsidRPr="0001602F">
        <w:rPr>
          <w:b/>
        </w:rPr>
        <w:t>Palavras-chave:</w:t>
      </w:r>
      <w:r w:rsidRPr="0001602F">
        <w:t xml:space="preserve"> Regras da Política Monetária e Fiscal</w:t>
      </w:r>
      <w:r w:rsidR="006842C9">
        <w:t>,</w:t>
      </w:r>
      <w:r w:rsidR="00857B34">
        <w:t xml:space="preserve"> </w:t>
      </w:r>
      <w:r w:rsidR="000040AC" w:rsidRPr="000040AC">
        <w:t>Estímulo Fiscal</w:t>
      </w:r>
      <w:r w:rsidR="006842C9">
        <w:t>,</w:t>
      </w:r>
      <w:r w:rsidR="00857B34">
        <w:t xml:space="preserve"> </w:t>
      </w:r>
      <w:r w:rsidR="000040AC" w:rsidRPr="000040AC">
        <w:t>Markov-Switching</w:t>
      </w:r>
      <w:r w:rsidR="006842C9">
        <w:t>,</w:t>
      </w:r>
      <w:r w:rsidR="000040AC" w:rsidRPr="000040AC">
        <w:t xml:space="preserve"> DSGE</w:t>
      </w:r>
      <w:r w:rsidR="006842C9">
        <w:t xml:space="preserve">, </w:t>
      </w:r>
      <w:r w:rsidR="000040AC" w:rsidRPr="000040AC">
        <w:rPr>
          <w:color w:val="000000" w:themeColor="text1"/>
        </w:rPr>
        <w:t>Ciclo de Negócios</w:t>
      </w:r>
      <w:r w:rsidR="006842C9">
        <w:rPr>
          <w:color w:val="000000" w:themeColor="text1"/>
        </w:rPr>
        <w:t>.</w:t>
      </w:r>
    </w:p>
    <w:p w:rsidR="0001602F" w:rsidRDefault="0001602F" w:rsidP="0001602F">
      <w:pPr>
        <w:rPr>
          <w:b/>
        </w:rPr>
      </w:pPr>
    </w:p>
    <w:p w:rsidR="00C432AF" w:rsidRPr="00634AF9" w:rsidRDefault="00C432AF" w:rsidP="0001602F">
      <w:pPr>
        <w:rPr>
          <w:b/>
        </w:rPr>
      </w:pPr>
    </w:p>
    <w:p w:rsidR="003E22BE" w:rsidRPr="00A86BFD" w:rsidRDefault="0001602F" w:rsidP="00857B34">
      <w:pPr>
        <w:jc w:val="both"/>
        <w:rPr>
          <w:lang w:val="en-US"/>
        </w:rPr>
      </w:pPr>
      <w:r w:rsidRPr="00857B34">
        <w:rPr>
          <w:b/>
          <w:lang w:val="en-US"/>
        </w:rPr>
        <w:t>ABSTRACT:</w:t>
      </w:r>
      <w:r w:rsidR="00857B34">
        <w:rPr>
          <w:b/>
          <w:lang w:val="en-US"/>
        </w:rPr>
        <w:t xml:space="preserve"> </w:t>
      </w:r>
      <w:r w:rsidR="003E22BE" w:rsidRPr="00A86BFD">
        <w:rPr>
          <w:lang w:val="en-US"/>
        </w:rPr>
        <w:t xml:space="preserve">This paper </w:t>
      </w:r>
      <w:r w:rsidR="003E22BE">
        <w:rPr>
          <w:lang w:val="en-US"/>
        </w:rPr>
        <w:t xml:space="preserve">estimates, using quarterly data from 1999 to 2011, </w:t>
      </w:r>
      <w:r w:rsidR="003E22BE" w:rsidRPr="00A86BFD">
        <w:rPr>
          <w:lang w:val="en-US"/>
        </w:rPr>
        <w:t>the dynamic impact</w:t>
      </w:r>
      <w:r w:rsidR="003E22BE">
        <w:rPr>
          <w:lang w:val="en-US"/>
        </w:rPr>
        <w:t>s</w:t>
      </w:r>
      <w:r w:rsidR="003E22BE" w:rsidRPr="00A86BFD">
        <w:rPr>
          <w:lang w:val="en-US"/>
        </w:rPr>
        <w:t xml:space="preserve"> of a fiscal stimulus in Brazil</w:t>
      </w:r>
      <w:r w:rsidR="00857B34">
        <w:rPr>
          <w:lang w:val="en-US"/>
        </w:rPr>
        <w:t xml:space="preserve"> </w:t>
      </w:r>
      <w:r w:rsidR="003E22BE" w:rsidRPr="00A86BFD">
        <w:rPr>
          <w:lang w:val="en-US"/>
        </w:rPr>
        <w:t xml:space="preserve">on key </w:t>
      </w:r>
      <w:r w:rsidR="003E22BE">
        <w:rPr>
          <w:lang w:val="en-US"/>
        </w:rPr>
        <w:t xml:space="preserve">Brazilian </w:t>
      </w:r>
      <w:r w:rsidR="003E22BE" w:rsidRPr="00A86BFD">
        <w:rPr>
          <w:lang w:val="en-US"/>
        </w:rPr>
        <w:t>macroeconomic variables</w:t>
      </w:r>
      <w:r w:rsidR="003E22BE">
        <w:rPr>
          <w:lang w:val="en-US"/>
        </w:rPr>
        <w:t xml:space="preserve">. </w:t>
      </w:r>
      <w:r w:rsidR="008F6AB3">
        <w:rPr>
          <w:lang w:val="en-US"/>
        </w:rPr>
        <w:t>It</w:t>
      </w:r>
      <w:r w:rsidR="00857B34">
        <w:rPr>
          <w:lang w:val="en-US"/>
        </w:rPr>
        <w:t xml:space="preserve"> </w:t>
      </w:r>
      <w:r w:rsidR="008F6AB3">
        <w:rPr>
          <w:lang w:val="en-US"/>
        </w:rPr>
        <w:t>a</w:t>
      </w:r>
      <w:r w:rsidR="00F60E62">
        <w:rPr>
          <w:lang w:val="en-US"/>
        </w:rPr>
        <w:t xml:space="preserve">dopts a model in which the </w:t>
      </w:r>
      <w:r w:rsidR="003E22BE">
        <w:rPr>
          <w:lang w:val="en-US"/>
        </w:rPr>
        <w:t>estimates take into account the effects of the existence</w:t>
      </w:r>
      <w:r w:rsidR="008B698C">
        <w:sym w:font="Symbol" w:char="F02D"/>
      </w:r>
      <w:r w:rsidR="003E22BE">
        <w:rPr>
          <w:lang w:val="en-US"/>
        </w:rPr>
        <w:t xml:space="preserve"> and of the probabilities of occurrence</w:t>
      </w:r>
      <w:r w:rsidR="008B698C">
        <w:sym w:font="Symbol" w:char="F02D"/>
      </w:r>
      <w:r w:rsidR="003E22BE">
        <w:rPr>
          <w:lang w:val="en-US"/>
        </w:rPr>
        <w:t xml:space="preserve"> of switching </w:t>
      </w:r>
      <w:r w:rsidR="00D13ECF">
        <w:rPr>
          <w:lang w:val="en-US"/>
        </w:rPr>
        <w:t>fiscal and monetary</w:t>
      </w:r>
      <w:r w:rsidR="003E22BE">
        <w:rPr>
          <w:lang w:val="en-US"/>
        </w:rPr>
        <w:t xml:space="preserve"> policy regimes on agent’s expectations formation</w:t>
      </w:r>
      <w:r w:rsidR="00F60E62">
        <w:rPr>
          <w:lang w:val="en-US"/>
        </w:rPr>
        <w:t xml:space="preserve"> (as in Davig and Leeper (2011))</w:t>
      </w:r>
      <w:r w:rsidR="003E22BE">
        <w:rPr>
          <w:lang w:val="en-US"/>
        </w:rPr>
        <w:t>.The monetary policy rules, in the two detected regimes, were estimated through a Markov regime-switching model</w:t>
      </w:r>
      <w:r w:rsidR="00F60E62">
        <w:rPr>
          <w:lang w:val="en-US"/>
        </w:rPr>
        <w:t>.</w:t>
      </w:r>
      <w:r w:rsidR="003E22BE">
        <w:rPr>
          <w:lang w:val="en-US"/>
        </w:rPr>
        <w:t xml:space="preserve"> The fiscal </w:t>
      </w:r>
      <w:r w:rsidR="00F60E62">
        <w:rPr>
          <w:lang w:val="en-US"/>
        </w:rPr>
        <w:t xml:space="preserve">rule, </w:t>
      </w:r>
      <w:r w:rsidR="00C85C6A">
        <w:rPr>
          <w:lang w:val="en-US"/>
        </w:rPr>
        <w:t xml:space="preserve">of </w:t>
      </w:r>
      <w:r w:rsidR="003E22BE">
        <w:rPr>
          <w:lang w:val="en-US"/>
        </w:rPr>
        <w:t>the unique detected fiscal policy regime</w:t>
      </w:r>
      <w:r w:rsidR="00F60E62">
        <w:rPr>
          <w:lang w:val="en-US"/>
        </w:rPr>
        <w:t>,</w:t>
      </w:r>
      <w:r w:rsidR="00857B34">
        <w:rPr>
          <w:lang w:val="en-US"/>
        </w:rPr>
        <w:t xml:space="preserve"> </w:t>
      </w:r>
      <w:r w:rsidR="00F60E62">
        <w:rPr>
          <w:lang w:val="en-US"/>
        </w:rPr>
        <w:t>was</w:t>
      </w:r>
      <w:r w:rsidR="003E22BE">
        <w:rPr>
          <w:lang w:val="en-US"/>
        </w:rPr>
        <w:t xml:space="preserve"> estimated through a Vector Error Correction (VEC) model. The </w:t>
      </w:r>
      <w:r w:rsidR="00F60E62">
        <w:rPr>
          <w:lang w:val="en-US"/>
        </w:rPr>
        <w:t xml:space="preserve">estimated </w:t>
      </w:r>
      <w:r w:rsidR="003E22BE">
        <w:rPr>
          <w:lang w:val="en-US"/>
        </w:rPr>
        <w:t xml:space="preserve">parameters were </w:t>
      </w:r>
      <w:r w:rsidR="00F60E62">
        <w:rPr>
          <w:lang w:val="en-US"/>
        </w:rPr>
        <w:t>used</w:t>
      </w:r>
      <w:r w:rsidR="003E22BE">
        <w:rPr>
          <w:lang w:val="en-US"/>
        </w:rPr>
        <w:t xml:space="preserve"> in the calibration of a Dynamic Stochastic General Equilibrium (DSGE) model with regime-switching</w:t>
      </w:r>
      <w:r w:rsidR="008F6AB3">
        <w:rPr>
          <w:lang w:val="en-US"/>
        </w:rPr>
        <w:t>, nominal price rigidities</w:t>
      </w:r>
      <w:r w:rsidR="003E22BE">
        <w:rPr>
          <w:lang w:val="en-US"/>
        </w:rPr>
        <w:t xml:space="preserve"> and monopolistic competition. </w:t>
      </w:r>
      <w:r w:rsidR="00F60E62">
        <w:rPr>
          <w:lang w:val="en-US"/>
        </w:rPr>
        <w:t>During the period analyzed</w:t>
      </w:r>
      <w:r w:rsidR="00C85C6A">
        <w:rPr>
          <w:lang w:val="en-US"/>
        </w:rPr>
        <w:t>,</w:t>
      </w:r>
      <w:r w:rsidR="00F60E62">
        <w:rPr>
          <w:lang w:val="en-US"/>
        </w:rPr>
        <w:t xml:space="preserve"> the fiscal policy was always </w:t>
      </w:r>
      <w:r w:rsidR="003E22BE" w:rsidRPr="007B61E6">
        <w:rPr>
          <w:lang w:val="en-US"/>
        </w:rPr>
        <w:t xml:space="preserve">passive and </w:t>
      </w:r>
      <w:r w:rsidR="008F6AB3">
        <w:rPr>
          <w:lang w:val="en-US"/>
        </w:rPr>
        <w:t xml:space="preserve">the </w:t>
      </w:r>
      <w:r w:rsidR="003E22BE" w:rsidRPr="007B61E6">
        <w:rPr>
          <w:lang w:val="en-US"/>
        </w:rPr>
        <w:t>monetary policy always active, but</w:t>
      </w:r>
      <w:r w:rsidR="008F6AB3">
        <w:rPr>
          <w:lang w:val="en-US"/>
        </w:rPr>
        <w:t xml:space="preserve"> with altering degrees of activity</w:t>
      </w:r>
      <w:r w:rsidR="003E22BE" w:rsidRPr="007B61E6">
        <w:rPr>
          <w:lang w:val="en-US"/>
        </w:rPr>
        <w:t xml:space="preserve">. </w:t>
      </w:r>
      <w:r w:rsidR="008F6AB3">
        <w:rPr>
          <w:lang w:val="en-US"/>
        </w:rPr>
        <w:t>A</w:t>
      </w:r>
      <w:r w:rsidR="003E22BE" w:rsidRPr="00A86BFD">
        <w:rPr>
          <w:lang w:val="en-US"/>
        </w:rPr>
        <w:t xml:space="preserve"> government spending shock </w:t>
      </w:r>
      <w:r w:rsidR="00857B34">
        <w:rPr>
          <w:lang w:val="en-US"/>
        </w:rPr>
        <w:t>leads to</w:t>
      </w:r>
      <w:r w:rsidR="009C724F">
        <w:rPr>
          <w:lang w:val="en-US"/>
        </w:rPr>
        <w:t xml:space="preserve"> </w:t>
      </w:r>
      <w:r w:rsidR="003E22BE" w:rsidRPr="00A86BFD">
        <w:rPr>
          <w:lang w:val="en-US"/>
        </w:rPr>
        <w:t xml:space="preserve">increase </w:t>
      </w:r>
      <w:r w:rsidR="003E22BE">
        <w:rPr>
          <w:lang w:val="en-US"/>
        </w:rPr>
        <w:t xml:space="preserve">in </w:t>
      </w:r>
      <w:r w:rsidR="003E22BE" w:rsidRPr="00A86BFD">
        <w:rPr>
          <w:lang w:val="en-US"/>
        </w:rPr>
        <w:t>the output gap</w:t>
      </w:r>
      <w:r w:rsidR="003E22BE">
        <w:rPr>
          <w:lang w:val="en-US"/>
        </w:rPr>
        <w:t>,</w:t>
      </w:r>
      <w:r w:rsidR="00857B34">
        <w:rPr>
          <w:lang w:val="en-US"/>
        </w:rPr>
        <w:t xml:space="preserve"> </w:t>
      </w:r>
      <w:r w:rsidR="003E22BE">
        <w:rPr>
          <w:lang w:val="en-US"/>
        </w:rPr>
        <w:t>increases</w:t>
      </w:r>
      <w:r w:rsidR="003E22BE" w:rsidRPr="00A86BFD">
        <w:rPr>
          <w:lang w:val="en-US"/>
        </w:rPr>
        <w:t xml:space="preserve"> in real interest rates</w:t>
      </w:r>
      <w:r w:rsidR="003E22BE">
        <w:rPr>
          <w:lang w:val="en-US"/>
        </w:rPr>
        <w:t>,</w:t>
      </w:r>
      <w:r w:rsidR="00857B34">
        <w:rPr>
          <w:lang w:val="en-US"/>
        </w:rPr>
        <w:t xml:space="preserve"> </w:t>
      </w:r>
      <w:r w:rsidR="008F6AB3">
        <w:rPr>
          <w:lang w:val="en-US"/>
        </w:rPr>
        <w:t>a</w:t>
      </w:r>
      <w:r w:rsidR="003E22BE" w:rsidRPr="00A86BFD">
        <w:rPr>
          <w:lang w:val="en-US"/>
        </w:rPr>
        <w:t xml:space="preserve"> reduction in private consumption</w:t>
      </w:r>
      <w:r w:rsidR="003E22BE">
        <w:rPr>
          <w:lang w:val="en-US"/>
        </w:rPr>
        <w:t xml:space="preserve"> and a reduction in inflation.</w:t>
      </w:r>
    </w:p>
    <w:p w:rsidR="00CB2635" w:rsidRPr="003E22BE" w:rsidRDefault="00CB2635" w:rsidP="0001602F">
      <w:pPr>
        <w:jc w:val="both"/>
        <w:rPr>
          <w:b/>
          <w:color w:val="FF0000"/>
          <w:lang w:val="en-US"/>
        </w:rPr>
      </w:pPr>
    </w:p>
    <w:p w:rsidR="00CB2635" w:rsidRPr="003E22BE" w:rsidRDefault="00CB2635" w:rsidP="0001602F">
      <w:pPr>
        <w:jc w:val="both"/>
        <w:rPr>
          <w:rStyle w:val="apple-style-span"/>
          <w:color w:val="FF0000"/>
          <w:shd w:val="clear" w:color="auto" w:fill="FFFFFF" w:themeFill="background1"/>
          <w:lang w:val="en-US"/>
        </w:rPr>
      </w:pPr>
    </w:p>
    <w:p w:rsidR="00634AF9" w:rsidRPr="00DB1285" w:rsidRDefault="000040AC" w:rsidP="00634AF9">
      <w:pPr>
        <w:jc w:val="both"/>
        <w:rPr>
          <w:rFonts w:ascii="Calibri" w:hAnsi="Calibri"/>
          <w:color w:val="000000" w:themeColor="text1"/>
          <w:lang w:val="en-US"/>
        </w:rPr>
      </w:pPr>
      <w:r w:rsidRPr="000040AC">
        <w:rPr>
          <w:rStyle w:val="apple-style-span"/>
          <w:b/>
          <w:color w:val="000000" w:themeColor="text1"/>
          <w:shd w:val="clear" w:color="auto" w:fill="FFFFFF" w:themeFill="background1"/>
          <w:lang w:val="en-US"/>
        </w:rPr>
        <w:t>Key-words</w:t>
      </w:r>
      <w:r w:rsidRPr="000040AC">
        <w:rPr>
          <w:rStyle w:val="apple-style-span"/>
          <w:color w:val="000000" w:themeColor="text1"/>
          <w:shd w:val="clear" w:color="auto" w:fill="FFFFFF" w:themeFill="background1"/>
          <w:lang w:val="en-US"/>
        </w:rPr>
        <w:t>:</w:t>
      </w:r>
      <w:r w:rsidR="00857B34">
        <w:rPr>
          <w:rStyle w:val="apple-style-span"/>
          <w:color w:val="000000" w:themeColor="text1"/>
          <w:shd w:val="clear" w:color="auto" w:fill="FFFFFF" w:themeFill="background1"/>
          <w:lang w:val="en-US"/>
        </w:rPr>
        <w:t xml:space="preserve"> </w:t>
      </w:r>
      <w:r w:rsidRPr="000040AC">
        <w:rPr>
          <w:rStyle w:val="apple-style-span"/>
          <w:color w:val="000000" w:themeColor="text1"/>
          <w:shd w:val="clear" w:color="auto" w:fill="FFFFFF" w:themeFill="background1"/>
          <w:lang w:val="en-US"/>
        </w:rPr>
        <w:t>Monetary policy</w:t>
      </w:r>
      <w:r w:rsidRPr="000040AC">
        <w:rPr>
          <w:color w:val="000000" w:themeColor="text1"/>
          <w:lang w:val="en-US"/>
        </w:rPr>
        <w:t>, Fiscal</w:t>
      </w:r>
      <w:r w:rsidR="00164B17">
        <w:rPr>
          <w:color w:val="000000" w:themeColor="text1"/>
          <w:lang w:val="en-US"/>
        </w:rPr>
        <w:t xml:space="preserve"> policy</w:t>
      </w:r>
      <w:r w:rsidRPr="000040AC">
        <w:rPr>
          <w:color w:val="000000" w:themeColor="text1"/>
          <w:lang w:val="en-US"/>
        </w:rPr>
        <w:t>, Markov-Switching</w:t>
      </w:r>
      <w:r w:rsidR="00DB1285">
        <w:rPr>
          <w:color w:val="000000" w:themeColor="text1"/>
          <w:lang w:val="en-US"/>
        </w:rPr>
        <w:t xml:space="preserve">, </w:t>
      </w:r>
      <w:r w:rsidRPr="000040AC">
        <w:rPr>
          <w:color w:val="000000" w:themeColor="text1"/>
          <w:lang w:val="en-US"/>
        </w:rPr>
        <w:t>DSGE</w:t>
      </w:r>
      <w:r w:rsidR="006842C9">
        <w:rPr>
          <w:color w:val="000000" w:themeColor="text1"/>
          <w:lang w:val="en-US"/>
        </w:rPr>
        <w:t>, Business Cycles.</w:t>
      </w:r>
    </w:p>
    <w:p w:rsidR="00634AF9" w:rsidRPr="00DB1285" w:rsidRDefault="00634AF9" w:rsidP="0001602F">
      <w:pPr>
        <w:jc w:val="both"/>
        <w:rPr>
          <w:b/>
          <w:i/>
          <w:lang w:val="en-US"/>
        </w:rPr>
      </w:pPr>
    </w:p>
    <w:p w:rsidR="0001602F" w:rsidRDefault="0001602F" w:rsidP="0001602F">
      <w:pPr>
        <w:rPr>
          <w:b/>
        </w:rPr>
      </w:pPr>
      <w:r w:rsidRPr="0001602F">
        <w:rPr>
          <w:b/>
        </w:rPr>
        <w:t xml:space="preserve">JEL: </w:t>
      </w:r>
      <w:r w:rsidR="000040AC" w:rsidRPr="000040AC">
        <w:t>E31, E32,</w:t>
      </w:r>
      <w:r w:rsidR="00830FC8">
        <w:t xml:space="preserve"> </w:t>
      </w:r>
      <w:r w:rsidR="000040AC" w:rsidRPr="000040AC">
        <w:t>E63, C34</w:t>
      </w:r>
      <w:r w:rsidR="00DB1285">
        <w:t>.</w:t>
      </w:r>
    </w:p>
    <w:p w:rsidR="0001602F" w:rsidRDefault="0001602F" w:rsidP="0001602F">
      <w:pPr>
        <w:rPr>
          <w:b/>
        </w:rPr>
      </w:pPr>
    </w:p>
    <w:p w:rsidR="00EB57C9" w:rsidRDefault="00EB57C9" w:rsidP="0001602F">
      <w:pPr>
        <w:rPr>
          <w:b/>
        </w:rPr>
      </w:pPr>
    </w:p>
    <w:p w:rsidR="00C432AF" w:rsidRPr="0001602F" w:rsidRDefault="00C432AF" w:rsidP="00C432AF">
      <w:pPr>
        <w:jc w:val="center"/>
        <w:rPr>
          <w:b/>
          <w:bCs/>
        </w:rPr>
      </w:pPr>
      <w:r w:rsidRPr="0001602F">
        <w:rPr>
          <w:b/>
          <w:bCs/>
        </w:rPr>
        <w:t>Área 4 - Macroeconomia, Economia Monetária e Finanças</w:t>
      </w:r>
    </w:p>
    <w:p w:rsidR="00490FEF" w:rsidRDefault="00490FEF" w:rsidP="0001602F">
      <w:pPr>
        <w:rPr>
          <w:b/>
        </w:rPr>
      </w:pPr>
    </w:p>
    <w:p w:rsidR="009C724F" w:rsidRDefault="009C724F" w:rsidP="0001602F">
      <w:pPr>
        <w:rPr>
          <w:b/>
        </w:rPr>
      </w:pPr>
    </w:p>
    <w:p w:rsidR="00490FEF" w:rsidRDefault="00490FEF" w:rsidP="0001602F">
      <w:pPr>
        <w:rPr>
          <w:b/>
        </w:rPr>
      </w:pPr>
    </w:p>
    <w:p w:rsidR="00694342" w:rsidRPr="00F3661B" w:rsidRDefault="00694342" w:rsidP="00E02BDD">
      <w:pPr>
        <w:jc w:val="both"/>
        <w:rPr>
          <w:b/>
        </w:rPr>
      </w:pPr>
      <w:r w:rsidRPr="00F3661B">
        <w:rPr>
          <w:b/>
        </w:rPr>
        <w:t>Introdução</w:t>
      </w:r>
    </w:p>
    <w:p w:rsidR="00694342" w:rsidRDefault="00694342" w:rsidP="00E02BDD"/>
    <w:p w:rsidR="00694342" w:rsidRDefault="00694342" w:rsidP="00E02BDD">
      <w:pPr>
        <w:ind w:firstLine="720"/>
        <w:jc w:val="both"/>
      </w:pPr>
      <w:r w:rsidRPr="0024399F">
        <w:t>As respostas dos governos à crise financeira internacional de 2007</w:t>
      </w:r>
      <w:r>
        <w:t>/</w:t>
      </w:r>
      <w:r w:rsidRPr="0024399F">
        <w:t>2009</w:t>
      </w:r>
      <w:r>
        <w:t xml:space="preserve"> tê</w:t>
      </w:r>
      <w:r w:rsidRPr="0024399F">
        <w:t xml:space="preserve">m sido bem distintas entre os países ao redor do mundo. No entanto, existem alguns elementos em comum, como por exemplo, a utilização conjunta das políticas monetária e fiscal para combater </w:t>
      </w:r>
      <w:r>
        <w:t xml:space="preserve">a </w:t>
      </w:r>
      <w:r w:rsidRPr="0024399F">
        <w:t>crise. No Brasil</w:t>
      </w:r>
      <w:r>
        <w:t>,</w:t>
      </w:r>
      <w:r w:rsidR="00490FEF">
        <w:t xml:space="preserve"> </w:t>
      </w:r>
      <w:r w:rsidR="00B26FC8">
        <w:t>em</w:t>
      </w:r>
      <w:r w:rsidRPr="0024399F">
        <w:t xml:space="preserve"> 2009 foram editadas </w:t>
      </w:r>
      <w:r>
        <w:t>diversas</w:t>
      </w:r>
      <w:r w:rsidRPr="0024399F">
        <w:t xml:space="preserve"> medidas fiscais de combate à crise e </w:t>
      </w:r>
      <w:r>
        <w:t xml:space="preserve">de </w:t>
      </w:r>
      <w:r w:rsidRPr="0024399F">
        <w:t>estímulo</w:t>
      </w:r>
      <w:r>
        <w:t xml:space="preserve"> à atividade econômica. </w:t>
      </w:r>
      <w:r w:rsidR="00B26FC8">
        <w:t xml:space="preserve">O </w:t>
      </w:r>
      <w:r w:rsidR="00490FEF">
        <w:t xml:space="preserve">efeito </w:t>
      </w:r>
      <w:r w:rsidR="00B26FC8">
        <w:t xml:space="preserve">destas </w:t>
      </w:r>
      <w:r w:rsidRPr="0024399F">
        <w:t xml:space="preserve">medidas </w:t>
      </w:r>
      <w:r>
        <w:t xml:space="preserve">de estímulos fiscais </w:t>
      </w:r>
      <w:r w:rsidR="00B26FC8">
        <w:t xml:space="preserve">sobre a </w:t>
      </w:r>
      <w:r w:rsidRPr="0024399F">
        <w:t>demanda agregada</w:t>
      </w:r>
      <w:r w:rsidR="00B26FC8">
        <w:t xml:space="preserve"> depende</w:t>
      </w:r>
      <w:r w:rsidR="00D539EB">
        <w:t xml:space="preserve">, em grande </w:t>
      </w:r>
      <w:r w:rsidR="00B26FC8">
        <w:t>parte</w:t>
      </w:r>
      <w:r w:rsidR="00D539EB">
        <w:t>,</w:t>
      </w:r>
      <w:r w:rsidR="00490FEF">
        <w:t xml:space="preserve"> </w:t>
      </w:r>
      <w:r w:rsidR="00D539EB">
        <w:t>do seu impacto</w:t>
      </w:r>
      <w:r w:rsidR="00490FEF">
        <w:t xml:space="preserve"> </w:t>
      </w:r>
      <w:r w:rsidR="00D539EB">
        <w:t>n</w:t>
      </w:r>
      <w:r w:rsidRPr="0024399F">
        <w:t>o consumo privado, principalmente no curto prazo. Davig e Leeper (20</w:t>
      </w:r>
      <w:r>
        <w:t>11</w:t>
      </w:r>
      <w:r w:rsidRPr="0024399F">
        <w:t xml:space="preserve">) </w:t>
      </w:r>
      <w:r>
        <w:t xml:space="preserve">sugerem </w:t>
      </w:r>
      <w:r w:rsidR="00737ACE">
        <w:t>que um impacto positivo no consumo</w:t>
      </w:r>
      <w:r w:rsidRPr="0024399F">
        <w:t xml:space="preserve"> não encontraria suporte nem na teoria econômica e nem, universalmente, nas evidências empíricas. </w:t>
      </w:r>
      <w:r>
        <w:t>Entretanto, estas</w:t>
      </w:r>
      <w:r w:rsidR="00490FEF">
        <w:t xml:space="preserve"> </w:t>
      </w:r>
      <w:r>
        <w:t xml:space="preserve">medidas governamentais </w:t>
      </w:r>
      <w:r w:rsidRPr="0024399F">
        <w:t>t</w:t>
      </w:r>
      <w:r w:rsidR="00490FEF">
        <w:t>ê</w:t>
      </w:r>
      <w:r w:rsidRPr="0024399F">
        <w:t xml:space="preserve">m chamado a atenção de diversos pesquisadores e formuladores de política econômica por todo o mundo no sentido de avaliar de que modo essas medidas de política fiscal e monetária afetam a economia, principalmente quando há interação entre </w:t>
      </w:r>
      <w:r>
        <w:t>elas</w:t>
      </w:r>
      <w:r w:rsidRPr="0024399F">
        <w:t xml:space="preserve">. </w:t>
      </w:r>
    </w:p>
    <w:p w:rsidR="00694342" w:rsidRDefault="00BB2AA7" w:rsidP="00E02BDD">
      <w:pPr>
        <w:ind w:firstLine="709"/>
        <w:jc w:val="both"/>
      </w:pPr>
      <w:r>
        <w:t>E</w:t>
      </w:r>
      <w:r w:rsidR="00694342" w:rsidRPr="0024399F">
        <w:t xml:space="preserve">ste trabalho busca </w:t>
      </w:r>
      <w:r w:rsidR="00694342">
        <w:t>estimar</w:t>
      </w:r>
      <w:r w:rsidR="00694342" w:rsidRPr="0024399F">
        <w:t xml:space="preserve"> o impacto dinâmico de um estímulo fiscal</w:t>
      </w:r>
      <w:r>
        <w:t>,</w:t>
      </w:r>
      <w:r w:rsidR="00694342" w:rsidRPr="0024399F">
        <w:t xml:space="preserve"> condicionado ao tipo de </w:t>
      </w:r>
      <w:r w:rsidR="00694342">
        <w:t xml:space="preserve">combinação de </w:t>
      </w:r>
      <w:r w:rsidR="00694342" w:rsidRPr="0024399F">
        <w:t>regime</w:t>
      </w:r>
      <w:r w:rsidR="00694342">
        <w:t>s</w:t>
      </w:r>
      <w:r w:rsidR="00694342" w:rsidRPr="0024399F">
        <w:t xml:space="preserve"> de política monetária e fiscal</w:t>
      </w:r>
      <w:r>
        <w:t>,</w:t>
      </w:r>
      <w:r w:rsidR="00490FEF">
        <w:t xml:space="preserve"> </w:t>
      </w:r>
      <w:r w:rsidR="00694342">
        <w:t>em um</w:t>
      </w:r>
      <w:r w:rsidR="00694342" w:rsidRPr="0024399F">
        <w:t xml:space="preserve"> Modelo de Equilíbrio Geral Estocástico Dinâmico (</w:t>
      </w:r>
      <w:r w:rsidR="00822229">
        <w:t>DSGE</w:t>
      </w:r>
      <w:r w:rsidR="00694342" w:rsidRPr="0024399F">
        <w:t>)</w:t>
      </w:r>
      <w:r w:rsidR="00694342">
        <w:t xml:space="preserve"> calibrado para a economia brasileira. Introduzimos algumas hipóteses típicas de um </w:t>
      </w:r>
      <w:r w:rsidR="00822229">
        <w:t>DSGE</w:t>
      </w:r>
      <w:r w:rsidR="00694342">
        <w:t xml:space="preserve"> Novo Keynesiano, tais como rigidez nominal de preços, </w:t>
      </w:r>
      <w:r w:rsidR="00694342" w:rsidRPr="0024399F">
        <w:t xml:space="preserve">completa especificação das políticas monetária e fiscal e empresas atuando em mercado </w:t>
      </w:r>
      <w:r w:rsidR="00694342">
        <w:t xml:space="preserve">em </w:t>
      </w:r>
      <w:r w:rsidR="00694342" w:rsidRPr="0024399F">
        <w:t xml:space="preserve">concorrência monopolística. Os parâmetros da regra de política monetária </w:t>
      </w:r>
      <w:r w:rsidR="00D539EB">
        <w:t>foram estimados adotando-se</w:t>
      </w:r>
      <w:r w:rsidR="00694342" w:rsidRPr="0024399F">
        <w:t xml:space="preserve"> um </w:t>
      </w:r>
      <w:r w:rsidR="00D539EB">
        <w:t xml:space="preserve">modelo </w:t>
      </w:r>
      <w:r w:rsidR="00694342">
        <w:t>d</w:t>
      </w:r>
      <w:r w:rsidR="00694342" w:rsidRPr="0024399F">
        <w:t xml:space="preserve">e alternância de regime </w:t>
      </w:r>
      <w:r w:rsidR="00694342">
        <w:t>Markoviano</w:t>
      </w:r>
      <w:r w:rsidR="00CD2FD1">
        <w:t xml:space="preserve"> </w:t>
      </w:r>
      <w:r w:rsidR="00694342" w:rsidRPr="0024399F">
        <w:t xml:space="preserve">e evoluem de acordo com a </w:t>
      </w:r>
      <w:r w:rsidR="00694342">
        <w:t xml:space="preserve">distribuição de probabilidade de ocorrência dos diversos </w:t>
      </w:r>
      <w:r w:rsidR="00D539EB">
        <w:t>regimes</w:t>
      </w:r>
      <w:r w:rsidR="00694342">
        <w:t xml:space="preserve">, </w:t>
      </w:r>
      <w:r>
        <w:t xml:space="preserve">sendo </w:t>
      </w:r>
      <w:r w:rsidR="00694342">
        <w:t>esta distribuição conhecida pelos agentes</w:t>
      </w:r>
      <w:r>
        <w:t xml:space="preserve"> econômicos</w:t>
      </w:r>
      <w:r w:rsidR="00694342" w:rsidRPr="0024399F">
        <w:t>. Já os parâmetros da regra de política fiscal</w:t>
      </w:r>
      <w:r w:rsidR="00737ACE">
        <w:t>, para o único regime detectado para esta política,</w:t>
      </w:r>
      <w:r w:rsidR="00694342" w:rsidRPr="0024399F">
        <w:t xml:space="preserve"> são estimados</w:t>
      </w:r>
      <w:r w:rsidR="00694342">
        <w:t xml:space="preserve"> postulando um modelo vetorial de correção de erros (VEC). </w:t>
      </w:r>
      <w:r w:rsidR="00737ACE">
        <w:t xml:space="preserve">Estimando-se a </w:t>
      </w:r>
      <w:r w:rsidR="00694342" w:rsidRPr="0024399F">
        <w:t>matriz de</w:t>
      </w:r>
      <w:r w:rsidR="00CD2FD1">
        <w:t xml:space="preserve"> </w:t>
      </w:r>
      <w:r w:rsidR="00694342" w:rsidRPr="0024399F">
        <w:t>probabilidades</w:t>
      </w:r>
      <w:r w:rsidR="00694342">
        <w:t xml:space="preserve"> de</w:t>
      </w:r>
      <w:r w:rsidR="00694342" w:rsidRPr="0024399F">
        <w:t xml:space="preserve"> transição conjunta</w:t>
      </w:r>
      <w:r w:rsidR="00694342">
        <w:t xml:space="preserve">, para os estados das políticas fiscal e monetária, </w:t>
      </w:r>
      <w:r w:rsidR="00694342" w:rsidRPr="0024399F">
        <w:t>a interação entre as políticas monetária e fiscal</w:t>
      </w:r>
      <w:r w:rsidR="00854C3B">
        <w:t xml:space="preserve"> </w:t>
      </w:r>
      <w:r w:rsidR="00737ACE">
        <w:t xml:space="preserve">é introduzida </w:t>
      </w:r>
      <w:r w:rsidR="00694342">
        <w:t>no modelo. É importante destacar que os agentes privados</w:t>
      </w:r>
      <w:r w:rsidR="00D539EB">
        <w:t>,</w:t>
      </w:r>
      <w:r w:rsidR="00694342">
        <w:t xml:space="preserve"> ao formarem suas expectativas </w:t>
      </w:r>
      <w:r w:rsidR="00D539EB">
        <w:t>sobre o comportamento futuro das políticas fiscal e monetária</w:t>
      </w:r>
      <w:r w:rsidR="00694342">
        <w:t>,</w:t>
      </w:r>
      <w:r w:rsidR="00D539EB">
        <w:t xml:space="preserve"> incorporam nestas as probabilidades de mudanças </w:t>
      </w:r>
      <w:r w:rsidR="00694342">
        <w:t xml:space="preserve">de estados. </w:t>
      </w:r>
      <w:r w:rsidR="00694342" w:rsidRPr="0024399F">
        <w:t>O</w:t>
      </w:r>
      <w:r w:rsidR="00694342">
        <w:t>s parâmetros restantes do modelo</w:t>
      </w:r>
      <w:r w:rsidR="00D539EB">
        <w:t xml:space="preserve"> DSGE</w:t>
      </w:r>
      <w:r w:rsidR="00694342">
        <w:t xml:space="preserve"> são calibrados conforme é explicitado </w:t>
      </w:r>
      <w:r w:rsidR="00694342" w:rsidRPr="0024399F">
        <w:t>em seção específica deste trabalho.</w:t>
      </w:r>
    </w:p>
    <w:p w:rsidR="00694342" w:rsidRPr="00731670" w:rsidRDefault="00694342" w:rsidP="00E02BDD">
      <w:pPr>
        <w:ind w:firstLine="709"/>
        <w:jc w:val="both"/>
      </w:pPr>
      <w:r>
        <w:t>A</w:t>
      </w:r>
      <w:r w:rsidRPr="00003876">
        <w:t xml:space="preserve"> combinação d</w:t>
      </w:r>
      <w:r w:rsidR="00737ACE">
        <w:t>os</w:t>
      </w:r>
      <w:r w:rsidRPr="00003876">
        <w:t xml:space="preserve"> regimes que detectamos empiricamente para o Brasil e que analisaremos neste texto pode ser caracterizada como AM/PF</w:t>
      </w:r>
      <w:r>
        <w:rPr>
          <w:rStyle w:val="Refdenotaderodap"/>
        </w:rPr>
        <w:footnoteReference w:id="4"/>
      </w:r>
      <w:r w:rsidRPr="00003876">
        <w:t xml:space="preserve"> e é consistente com os pressupostos da Teoria da Equivalência Ricardiana</w:t>
      </w:r>
      <w:r w:rsidRPr="009B26BC">
        <w:t>.</w:t>
      </w:r>
      <w:r w:rsidR="00CD2FD1">
        <w:t xml:space="preserve"> </w:t>
      </w:r>
      <w:r w:rsidRPr="00731670">
        <w:t>Com uma política monetária ativa (no nosso caso</w:t>
      </w:r>
      <w:r w:rsidR="00737ACE">
        <w:t xml:space="preserve"> há dois regimes, mas ela é ativa em ambos:</w:t>
      </w:r>
      <w:r w:rsidRPr="00731670">
        <w:t xml:space="preserve"> ela é mais ativa ou menos ativa) e fiscal passiva</w:t>
      </w:r>
      <w:r w:rsidR="00CD2FD1">
        <w:t>,</w:t>
      </w:r>
      <w:r w:rsidRPr="00731670">
        <w:t xml:space="preserve"> </w:t>
      </w:r>
      <w:r>
        <w:t>os</w:t>
      </w:r>
      <w:r w:rsidRPr="00731670">
        <w:t xml:space="preserve"> efeito</w:t>
      </w:r>
      <w:r>
        <w:t>s</w:t>
      </w:r>
      <w:r w:rsidRPr="00731670">
        <w:t xml:space="preserve"> substituição</w:t>
      </w:r>
      <w:r>
        <w:t xml:space="preserve"> e renda</w:t>
      </w:r>
      <w:r w:rsidR="00CD2FD1">
        <w:t xml:space="preserve"> </w:t>
      </w:r>
      <w:r w:rsidR="007E6183">
        <w:t xml:space="preserve">inter e </w:t>
      </w:r>
      <w:r w:rsidRPr="00731670">
        <w:t>intratempora</w:t>
      </w:r>
      <w:r>
        <w:t>is</w:t>
      </w:r>
      <w:r w:rsidRPr="00731670">
        <w:t xml:space="preserve"> provoc</w:t>
      </w:r>
      <w:r>
        <w:t xml:space="preserve">ados por um </w:t>
      </w:r>
      <w:r w:rsidRPr="00731670">
        <w:t>aumento inesperado nos gastos do governo leva</w:t>
      </w:r>
      <w:r>
        <w:t>m</w:t>
      </w:r>
      <w:r w:rsidRPr="00731670">
        <w:t xml:space="preserve"> a um aumento na demanda agregada. Com o aumento da demanda agregada haverá um aumento do produto e aumento na demanda por trabalho. </w:t>
      </w:r>
      <w:r w:rsidR="007E6183">
        <w:t xml:space="preserve">Como veremos a seguir, </w:t>
      </w:r>
      <w:r w:rsidRPr="00731670">
        <w:t>os efeitos</w:t>
      </w:r>
      <w:r w:rsidR="007E6183">
        <w:t xml:space="preserve"> renda e substituição</w:t>
      </w:r>
      <w:r w:rsidR="00CD2FD1">
        <w:t xml:space="preserve"> </w:t>
      </w:r>
      <w:r w:rsidRPr="00731670">
        <w:t>intratemporal e intertemporal</w:t>
      </w:r>
      <w:r w:rsidR="00737ACE">
        <w:t>,</w:t>
      </w:r>
      <w:r w:rsidR="00CD2FD1">
        <w:t xml:space="preserve"> </w:t>
      </w:r>
      <w:r w:rsidR="007E6183">
        <w:t xml:space="preserve">provocados pela alteração dos gastos, </w:t>
      </w:r>
      <w:r w:rsidRPr="00731670">
        <w:t>das taxas de juros reais e dos impostos fazem com que haja queda de salário real, queda da produtividade marginal</w:t>
      </w:r>
      <w:r w:rsidR="007E6183">
        <w:t xml:space="preserve"> do trabalho</w:t>
      </w:r>
      <w:r w:rsidRPr="00731670">
        <w:t xml:space="preserve">, queda dos custos marginais, aumento da oferta de trabalho, queda do nível de preços e redução do consumo privado. É importante destacar que há também elevação da dívida pública e aumento dos impostos para financiá-la. Com exceção da trajetória das taxas de juros nominais, a </w:t>
      </w:r>
      <w:r>
        <w:t xml:space="preserve">única </w:t>
      </w:r>
      <w:r w:rsidRPr="00731670">
        <w:t>diferença</w:t>
      </w:r>
      <w:r>
        <w:t xml:space="preserve"> relevante</w:t>
      </w:r>
      <w:r w:rsidRPr="00731670">
        <w:t xml:space="preserve"> nos resultados encontrados</w:t>
      </w:r>
      <w:r w:rsidR="00737ACE">
        <w:t>,</w:t>
      </w:r>
      <w:r w:rsidRPr="00731670">
        <w:t xml:space="preserve"> sob as duas combinações de </w:t>
      </w:r>
      <w:r w:rsidR="00737ACE" w:rsidRPr="00731670">
        <w:t>regimes empiricamente detectad</w:t>
      </w:r>
      <w:r w:rsidR="00737ACE">
        <w:t>os</w:t>
      </w:r>
      <w:r w:rsidRPr="00731670">
        <w:t xml:space="preserve"> neste trabalho, consiste na magnitude dos efeitos das variáveis analisadas.</w:t>
      </w:r>
    </w:p>
    <w:p w:rsidR="00694342" w:rsidRPr="0024399F" w:rsidRDefault="00694342" w:rsidP="00E02BDD">
      <w:pPr>
        <w:ind w:firstLine="720"/>
        <w:jc w:val="both"/>
      </w:pPr>
      <w:r>
        <w:t xml:space="preserve">O segundo esforço deste trabalho é analisar o </w:t>
      </w:r>
      <w:r w:rsidRPr="0024399F">
        <w:t xml:space="preserve">impacto </w:t>
      </w:r>
      <w:r>
        <w:t xml:space="preserve">inesperado </w:t>
      </w:r>
      <w:r w:rsidRPr="0024399F">
        <w:t xml:space="preserve">da elevação dos gastos do governo sobre a dinâmica da dívida pública. </w:t>
      </w:r>
      <w:r>
        <w:t>Como apontam Davig e Leeper (2011) quando há uma expectativa de uma trajetória de elevação dos gastos do governo sem uma contrapartida em uma trajetória de elevação de impostos, ocorre um dese</w:t>
      </w:r>
      <w:r w:rsidRPr="0024399F">
        <w:t xml:space="preserve">quilíbrio intertemporal a restrição orçamentária do </w:t>
      </w:r>
      <w:r>
        <w:t xml:space="preserve">governo, e as famílias substituem dívida (títulos) por consumo. Portanto, é necessário que se façam determinados ajustamentos para que a restrição orçamentária do governo volte a ser satisfeita. Os tipos de combinação </w:t>
      </w:r>
      <w:r>
        <w:lastRenderedPageBreak/>
        <w:t>dos regimes de política monetária e fiscal vão determinar de que forma este mecanismo de ajustamento vai ocorrer e como</w:t>
      </w:r>
      <w:r w:rsidRPr="0024399F">
        <w:t xml:space="preserve"> cada componente da restrição orçamentária (receita de senhoriagem e receita primária) </w:t>
      </w:r>
      <w:r>
        <w:t xml:space="preserve">contribuirá </w:t>
      </w:r>
      <w:r w:rsidRPr="0024399F">
        <w:t xml:space="preserve">para </w:t>
      </w:r>
      <w:r>
        <w:t xml:space="preserve">esse </w:t>
      </w:r>
      <w:r w:rsidRPr="0024399F">
        <w:t>resultado</w:t>
      </w:r>
      <w:r>
        <w:t xml:space="preserve">. Por fim, </w:t>
      </w:r>
      <w:r w:rsidRPr="0024399F">
        <w:t xml:space="preserve">este trabalho também visa prestar contribuição </w:t>
      </w:r>
      <w:r>
        <w:t xml:space="preserve">na mensuração </w:t>
      </w:r>
      <w:r w:rsidRPr="0024399F">
        <w:t xml:space="preserve">quantitativa </w:t>
      </w:r>
      <w:r>
        <w:t>d</w:t>
      </w:r>
      <w:r w:rsidRPr="0024399F">
        <w:t>os multiplicadores d</w:t>
      </w:r>
      <w:r>
        <w:t>os</w:t>
      </w:r>
      <w:r w:rsidRPr="0024399F">
        <w:t xml:space="preserve"> gastos do governo.</w:t>
      </w:r>
    </w:p>
    <w:p w:rsidR="00694342" w:rsidRPr="0062679A" w:rsidRDefault="00694342" w:rsidP="00E02BDD">
      <w:pPr>
        <w:ind w:firstLine="709"/>
        <w:jc w:val="both"/>
      </w:pPr>
      <w:r w:rsidRPr="0062679A">
        <w:t xml:space="preserve">O trabalho é composto por quatro </w:t>
      </w:r>
      <w:r w:rsidR="0062679A">
        <w:t>seções</w:t>
      </w:r>
      <w:r w:rsidRPr="0062679A">
        <w:t xml:space="preserve"> além desta introdução. </w:t>
      </w:r>
      <w:r w:rsidR="0062679A">
        <w:t>Na seção</w:t>
      </w:r>
      <w:r w:rsidRPr="0062679A">
        <w:t xml:space="preserve"> 1 será apresentada uma breve revisão da literatura sobre os impactos esperados de um estímulo fiscal sobre variáveis macroeconômicas. </w:t>
      </w:r>
      <w:r w:rsidR="0062679A">
        <w:t>Na seção</w:t>
      </w:r>
      <w:r w:rsidRPr="0062679A">
        <w:t xml:space="preserve"> 2 serão apresentadas as estimações das regras de política monetária e fiscal.  Ao final </w:t>
      </w:r>
      <w:r w:rsidR="0062679A">
        <w:t xml:space="preserve">da seção </w:t>
      </w:r>
      <w:r w:rsidRPr="0062679A">
        <w:t xml:space="preserve">será explicitada a modelagem adotada para se obter a interação entre as políticas monetária e fiscal. </w:t>
      </w:r>
      <w:r w:rsidR="0062679A">
        <w:t>Na seção</w:t>
      </w:r>
      <w:r w:rsidRPr="0062679A">
        <w:t xml:space="preserve"> 3 é introduzido o </w:t>
      </w:r>
      <w:r w:rsidR="009E642B" w:rsidRPr="0062679A">
        <w:t>DSGE</w:t>
      </w:r>
      <w:r w:rsidRPr="0062679A">
        <w:t xml:space="preserve"> utilizado, a metodologia empregada, quais parâmetros foram utilizados e como o modelo foi calibrado. Ao final d</w:t>
      </w:r>
      <w:r w:rsidR="0062679A">
        <w:t>a seção</w:t>
      </w:r>
      <w:r w:rsidRPr="0062679A">
        <w:t xml:space="preserve"> será feita a análise empírica dos resultados do modelo para o Brasil. Por fim </w:t>
      </w:r>
      <w:r w:rsidR="0062679A">
        <w:t>a seção</w:t>
      </w:r>
      <w:r w:rsidRPr="0062679A">
        <w:t xml:space="preserve"> 4 finaliza o trabalho apresentando as principais conclusões.</w:t>
      </w:r>
    </w:p>
    <w:p w:rsidR="00CA7067" w:rsidRDefault="00CA7067" w:rsidP="00E02BDD">
      <w:pPr>
        <w:ind w:firstLine="709"/>
        <w:jc w:val="both"/>
      </w:pPr>
    </w:p>
    <w:p w:rsidR="00CA7067" w:rsidRPr="0019668F" w:rsidRDefault="00CA7067" w:rsidP="00E02BDD">
      <w:pPr>
        <w:pStyle w:val="PargrafodaLista"/>
        <w:numPr>
          <w:ilvl w:val="0"/>
          <w:numId w:val="9"/>
        </w:numPr>
        <w:spacing w:after="0" w:line="240" w:lineRule="auto"/>
        <w:ind w:left="426"/>
        <w:jc w:val="both"/>
        <w:rPr>
          <w:rFonts w:ascii="Times New Roman" w:hAnsi="Times New Roman"/>
          <w:b/>
          <w:sz w:val="24"/>
          <w:szCs w:val="24"/>
        </w:rPr>
      </w:pPr>
      <w:r>
        <w:rPr>
          <w:rFonts w:ascii="Times New Roman" w:hAnsi="Times New Roman"/>
          <w:b/>
          <w:sz w:val="24"/>
          <w:szCs w:val="24"/>
        </w:rPr>
        <w:t>Breve R</w:t>
      </w:r>
      <w:r w:rsidRPr="0019668F">
        <w:rPr>
          <w:rFonts w:ascii="Times New Roman" w:hAnsi="Times New Roman"/>
          <w:b/>
          <w:sz w:val="24"/>
          <w:szCs w:val="24"/>
        </w:rPr>
        <w:t>evisão da Literatura</w:t>
      </w:r>
    </w:p>
    <w:p w:rsidR="00CA7067" w:rsidRPr="00844901" w:rsidRDefault="00CA7067" w:rsidP="00E02BDD">
      <w:pPr>
        <w:tabs>
          <w:tab w:val="left" w:pos="7552"/>
        </w:tabs>
        <w:jc w:val="both"/>
      </w:pPr>
    </w:p>
    <w:p w:rsidR="00CA7067" w:rsidRDefault="00CA7067" w:rsidP="00830FC8">
      <w:pPr>
        <w:ind w:firstLine="709"/>
        <w:jc w:val="both"/>
      </w:pPr>
      <w:r w:rsidRPr="00844901">
        <w:t xml:space="preserve">Nas últimas três décadas surgiram diversos estudos </w:t>
      </w:r>
      <w:r>
        <w:t>ac</w:t>
      </w:r>
      <w:r w:rsidRPr="00844901">
        <w:t xml:space="preserve">erca da importância do efeito das mudanças </w:t>
      </w:r>
      <w:r w:rsidR="000A2F6E">
        <w:t>d</w:t>
      </w:r>
      <w:r w:rsidRPr="00844901">
        <w:t>os gastos do governo sobre uma sér</w:t>
      </w:r>
      <w:r>
        <w:t>ie de variáveis macroeconômicas -</w:t>
      </w:r>
      <w:r w:rsidR="000A2F6E">
        <w:t xml:space="preserve"> </w:t>
      </w:r>
      <w:r>
        <w:t>c</w:t>
      </w:r>
      <w:r w:rsidRPr="00844901">
        <w:t>onsumo</w:t>
      </w:r>
      <w:r>
        <w:t xml:space="preserve"> privado</w:t>
      </w:r>
      <w:r w:rsidRPr="00844901">
        <w:t>, ta</w:t>
      </w:r>
      <w:r>
        <w:t>xa de juros, horas trabalhadas,</w:t>
      </w:r>
      <w:r w:rsidRPr="00844901">
        <w:t xml:space="preserve"> impostos </w:t>
      </w:r>
      <w:r>
        <w:t>etc.</w:t>
      </w:r>
      <w:r w:rsidR="000A2F6E">
        <w:t xml:space="preserve"> </w:t>
      </w:r>
      <w:r w:rsidR="004E4238" w:rsidRPr="00844901">
        <w:t>De acordo com a teoria neoclássica</w:t>
      </w:r>
      <w:r w:rsidR="004E4238">
        <w:t xml:space="preserve">, </w:t>
      </w:r>
      <w:r w:rsidR="004E4238" w:rsidRPr="00844901">
        <w:t>elevados gastos do governo financiados por impostos</w:t>
      </w:r>
      <w:r w:rsidR="004E4238">
        <w:t xml:space="preserve"> do tipo</w:t>
      </w:r>
      <w:r w:rsidR="000A2F6E">
        <w:t xml:space="preserve"> </w:t>
      </w:r>
      <w:r w:rsidR="004E4238" w:rsidRPr="00297347">
        <w:rPr>
          <w:i/>
        </w:rPr>
        <w:t>lump-sum</w:t>
      </w:r>
      <w:r w:rsidR="004E4238" w:rsidRPr="00844901">
        <w:t xml:space="preserve"> reduzem a riqueza das famílias o que</w:t>
      </w:r>
      <w:r w:rsidR="004E4238">
        <w:t>,</w:t>
      </w:r>
      <w:r w:rsidR="004E4238" w:rsidRPr="00844901">
        <w:t xml:space="preserve"> por sua vez, reduz a trajetória de consumo privado.</w:t>
      </w:r>
      <w:r w:rsidR="004E4238">
        <w:t xml:space="preserve"> Os estudos de </w:t>
      </w:r>
      <w:r w:rsidR="004E4238" w:rsidRPr="002E7B58">
        <w:t>Hall (1979), Barro e King (1984), Aiyagari</w:t>
      </w:r>
      <w:r w:rsidR="000A2F6E">
        <w:t xml:space="preserve"> </w:t>
      </w:r>
      <w:r w:rsidR="004E4238" w:rsidRPr="002E7B58">
        <w:t>et al</w:t>
      </w:r>
      <w:r w:rsidR="008D1EE5">
        <w:t>.</w:t>
      </w:r>
      <w:r w:rsidR="004E4238" w:rsidRPr="002E7B58">
        <w:t xml:space="preserve"> (1990), e Baxter e King (1993)</w:t>
      </w:r>
      <w:r w:rsidR="004E4238">
        <w:t xml:space="preserve"> são alguns exemplos. A principal diferença nos estudos anteriormente citados está no tipo de choque de gastos que é realizado,</w:t>
      </w:r>
      <w:r w:rsidR="008342FE">
        <w:t xml:space="preserve"> se</w:t>
      </w:r>
      <w:r w:rsidR="004E4238">
        <w:t xml:space="preserve"> permanente ou temporário e se antecipado ou não</w:t>
      </w:r>
      <w:r w:rsidR="008342FE">
        <w:t xml:space="preserve"> pelos agentes econômicos</w:t>
      </w:r>
      <w:r w:rsidR="004E4238">
        <w:t xml:space="preserve">. Em contrapartida a esses trabalhos foram elaborados estudos empíricos que sugerem que um choque de gastos do governo leva a um aumento do consumo privado. </w:t>
      </w:r>
      <w:r w:rsidR="0039406C" w:rsidRPr="00844901">
        <w:t>Blanchard e Perotti (2002) utilizaram um VAR estrutural (SVAR)</w:t>
      </w:r>
      <w:r w:rsidR="0039406C">
        <w:t xml:space="preserve"> com </w:t>
      </w:r>
      <w:r w:rsidR="0039406C" w:rsidRPr="00844901">
        <w:t xml:space="preserve">informação institucional sobre o sistema de impostos e transferências para identificar </w:t>
      </w:r>
      <w:r w:rsidR="0039406C">
        <w:t>o</w:t>
      </w:r>
      <w:r w:rsidR="0039406C" w:rsidRPr="00844901">
        <w:t xml:space="preserve">s </w:t>
      </w:r>
      <w:r w:rsidR="0039406C">
        <w:t>choques em</w:t>
      </w:r>
      <w:r w:rsidR="0039406C" w:rsidRPr="00844901">
        <w:t xml:space="preserve"> impostos e gastos do governo sobre a atividade econômica.</w:t>
      </w:r>
      <w:r w:rsidR="0039406C">
        <w:t xml:space="preserve"> Já </w:t>
      </w:r>
      <w:r w:rsidR="0039406C" w:rsidRPr="00844901">
        <w:t>Alesina</w:t>
      </w:r>
      <w:r w:rsidR="00854C3B">
        <w:t xml:space="preserve"> </w:t>
      </w:r>
      <w:r w:rsidR="0039406C" w:rsidRPr="00844901">
        <w:t>et al</w:t>
      </w:r>
      <w:r w:rsidR="008D1EE5">
        <w:t>.</w:t>
      </w:r>
      <w:r w:rsidR="0039406C" w:rsidRPr="00844901">
        <w:t xml:space="preserve"> (1999) utilizando um VAR com dados em painel </w:t>
      </w:r>
      <w:r w:rsidR="0039406C">
        <w:t>para</w:t>
      </w:r>
      <w:r w:rsidR="0039406C" w:rsidRPr="00844901">
        <w:t xml:space="preserve"> 20 países da OCDE chegaram</w:t>
      </w:r>
      <w:r w:rsidR="008D1EE5">
        <w:t xml:space="preserve"> ao </w:t>
      </w:r>
      <w:r w:rsidR="0039406C" w:rsidRPr="00844901">
        <w:t xml:space="preserve">mesmo resultado </w:t>
      </w:r>
      <w:r w:rsidR="0039406C">
        <w:t xml:space="preserve">obtido por </w:t>
      </w:r>
      <w:r w:rsidR="0039406C" w:rsidRPr="00844901">
        <w:t>Blanchard e Perotti (2002)</w:t>
      </w:r>
      <w:r w:rsidR="0039406C">
        <w:t xml:space="preserve">, ou seja, </w:t>
      </w:r>
      <w:r w:rsidR="008342FE">
        <w:t>de elevação do</w:t>
      </w:r>
      <w:r w:rsidR="0039406C">
        <w:t xml:space="preserve"> consumo privado.</w:t>
      </w:r>
    </w:p>
    <w:p w:rsidR="0039406C" w:rsidRPr="00844901" w:rsidRDefault="0039406C" w:rsidP="00830FC8">
      <w:pPr>
        <w:jc w:val="both"/>
      </w:pPr>
      <w:r w:rsidRPr="00844901">
        <w:t>Numa análise após o período de Bretton Woods, Ravn</w:t>
      </w:r>
      <w:r w:rsidR="000A2F6E">
        <w:t xml:space="preserve"> </w:t>
      </w:r>
      <w:r w:rsidR="00ED6BB3">
        <w:t>et al.</w:t>
      </w:r>
      <w:r w:rsidRPr="00844901">
        <w:t xml:space="preserve"> (200</w:t>
      </w:r>
      <w:r>
        <w:t>7</w:t>
      </w:r>
      <w:r w:rsidRPr="00844901">
        <w:t xml:space="preserve">) também empregaram </w:t>
      </w:r>
      <w:r>
        <w:t xml:space="preserve">um </w:t>
      </w:r>
      <w:r w:rsidRPr="00844901">
        <w:t>VAR estrutural (SVAR) em</w:t>
      </w:r>
      <w:r w:rsidR="00ED6BB3">
        <w:t xml:space="preserve"> um</w:t>
      </w:r>
      <w:r w:rsidRPr="00844901">
        <w:t xml:space="preserve"> painel com países industrializados e </w:t>
      </w:r>
      <w:r>
        <w:t>detectaram</w:t>
      </w:r>
      <w:r w:rsidRPr="00844901">
        <w:t xml:space="preserve"> que aumentos </w:t>
      </w:r>
      <w:r>
        <w:t xml:space="preserve">não antecipados </w:t>
      </w:r>
      <w:r w:rsidRPr="00844901">
        <w:t xml:space="preserve">de gastos do governo levam a aumentos tanto no produto quanto no consumo privado. Estes resultados foram encontrados </w:t>
      </w:r>
      <w:r w:rsidR="00696F08">
        <w:t xml:space="preserve">adotando a hipótese de </w:t>
      </w:r>
      <w:r w:rsidR="000040AC" w:rsidRPr="000040AC">
        <w:rPr>
          <w:i/>
          <w:u w:val="single"/>
        </w:rPr>
        <w:t>deep</w:t>
      </w:r>
      <w:r w:rsidR="000A2F6E">
        <w:rPr>
          <w:i/>
          <w:u w:val="single"/>
        </w:rPr>
        <w:t xml:space="preserve"> </w:t>
      </w:r>
      <w:r w:rsidR="000040AC" w:rsidRPr="000040AC">
        <w:rPr>
          <w:i/>
          <w:u w:val="single"/>
        </w:rPr>
        <w:t>habit</w:t>
      </w:r>
      <w:r>
        <w:t xml:space="preserve">. </w:t>
      </w:r>
      <w:r w:rsidR="008342FE">
        <w:t xml:space="preserve">A introdução </w:t>
      </w:r>
      <w:r w:rsidR="00696F08">
        <w:t xml:space="preserve">desta hipótese torna </w:t>
      </w:r>
      <w:r w:rsidR="008342FE">
        <w:t xml:space="preserve">o </w:t>
      </w:r>
      <w:r w:rsidRPr="00844901">
        <w:t xml:space="preserve">efeito substituição forte o bastante para anular o efeito renda negativo sobre o consumo, decorrente do aumento da absorção pública de recursos. </w:t>
      </w:r>
      <w:r w:rsidR="00696F08">
        <w:t xml:space="preserve">Os resultados </w:t>
      </w:r>
      <w:r w:rsidRPr="00844901">
        <w:t>encontrados por Ravn</w:t>
      </w:r>
      <w:r w:rsidR="000A2F6E">
        <w:t xml:space="preserve"> </w:t>
      </w:r>
      <w:r w:rsidR="00ED6BB3">
        <w:t>et al.</w:t>
      </w:r>
      <w:r w:rsidR="00696F08">
        <w:t xml:space="preserve"> s</w:t>
      </w:r>
      <w:r w:rsidR="00ED6BB3">
        <w:t xml:space="preserve">ão </w:t>
      </w:r>
      <w:r w:rsidRPr="00844901">
        <w:t xml:space="preserve">consistentes com </w:t>
      </w:r>
      <w:r>
        <w:t xml:space="preserve">os de </w:t>
      </w:r>
      <w:r w:rsidRPr="00844901">
        <w:t>autores como Rotemberg e Woodford (1992), Fatás e Mihov (2001), Blanchard e Perotti (2002), Perotti (2007), e Galí</w:t>
      </w:r>
      <w:r w:rsidR="00ED6BB3">
        <w:t xml:space="preserve"> et al.</w:t>
      </w:r>
      <w:r w:rsidRPr="00844901">
        <w:t xml:space="preserve"> (2007), cujas hipóteses de identificação e métodos de estimação são similares aos utilizados por eles. </w:t>
      </w:r>
    </w:p>
    <w:p w:rsidR="008D1EE5" w:rsidRDefault="0043702E" w:rsidP="008342FE">
      <w:pPr>
        <w:ind w:firstLine="709"/>
        <w:jc w:val="both"/>
        <w:rPr>
          <w:i/>
        </w:rPr>
      </w:pPr>
      <w:r w:rsidRPr="00844901">
        <w:t>Num modelo padrão de ciclo</w:t>
      </w:r>
      <w:r>
        <w:t>s</w:t>
      </w:r>
      <w:r w:rsidRPr="00844901">
        <w:t xml:space="preserve"> reais de negócios (com consumidores Ricardianos</w:t>
      </w:r>
      <w:r>
        <w:rPr>
          <w:rStyle w:val="Refdenotaderodap"/>
        </w:rPr>
        <w:footnoteReference w:id="5"/>
      </w:r>
      <w:r w:rsidRPr="00844901">
        <w:t>) um aumento de gastos do governo leva a uma redução no consumo privado. Já num modelo IS-LM padrão (com consumidores não-Ricardianos</w:t>
      </w:r>
      <w:r>
        <w:rPr>
          <w:rStyle w:val="Refdenotaderodap"/>
        </w:rPr>
        <w:footnoteReference w:id="6"/>
      </w:r>
      <w:r w:rsidRPr="00844901">
        <w:t>), um aumento dos gastos do governo leva a um aumento no cons</w:t>
      </w:r>
      <w:r>
        <w:t>umo privado. Galí</w:t>
      </w:r>
      <w:r w:rsidR="000A2F6E">
        <w:t xml:space="preserve"> </w:t>
      </w:r>
      <w:r w:rsidR="00696F08">
        <w:t>et al.</w:t>
      </w:r>
      <w:r w:rsidRPr="00844901">
        <w:t xml:space="preserve"> (2007) utilizaram um modelo simples de equilíbrio geral dinâmico que leva em consideração</w:t>
      </w:r>
      <w:r>
        <w:t xml:space="preserve"> a existência de</w:t>
      </w:r>
      <w:r w:rsidRPr="00844901">
        <w:t xml:space="preserve"> uma parcela de cons</w:t>
      </w:r>
      <w:r>
        <w:t>umidores não-Ricardianos</w:t>
      </w:r>
      <w:r w:rsidR="000A2F6E">
        <w:t xml:space="preserve"> </w:t>
      </w:r>
      <w:r w:rsidRPr="00844901">
        <w:t>e uma parcela de consum</w:t>
      </w:r>
      <w:r>
        <w:t xml:space="preserve">idores Ricardianos. </w:t>
      </w:r>
      <w:r w:rsidRPr="00844901">
        <w:t xml:space="preserve">Além disso, </w:t>
      </w:r>
      <w:r w:rsidR="008D1EE5">
        <w:t xml:space="preserve">utilizam a </w:t>
      </w:r>
      <w:r w:rsidRPr="00844901">
        <w:t>hipótese de rigidez nominal nos preços. Com este modelo</w:t>
      </w:r>
      <w:r>
        <w:t>,</w:t>
      </w:r>
      <w:r w:rsidR="000A2F6E">
        <w:t xml:space="preserve"> </w:t>
      </w:r>
      <w:r>
        <w:t>Galí</w:t>
      </w:r>
      <w:r w:rsidR="000A2F6E">
        <w:t xml:space="preserve"> </w:t>
      </w:r>
      <w:r w:rsidR="00696F08">
        <w:t xml:space="preserve">et al. </w:t>
      </w:r>
      <w:r w:rsidRPr="00844901">
        <w:t xml:space="preserve">chegaram à mesma conclusão do modelo IS-LM </w:t>
      </w:r>
      <w:r>
        <w:t>K</w:t>
      </w:r>
      <w:r w:rsidRPr="00844901">
        <w:t>eynesiano de que uma expansão fiscal leva a um aumento do consumo privado</w:t>
      </w:r>
      <w:r>
        <w:t>.</w:t>
      </w:r>
      <w:r w:rsidR="008D1EE5">
        <w:t xml:space="preserve">Outros autores, como </w:t>
      </w:r>
      <w:r w:rsidR="008D1EE5" w:rsidRPr="00844901">
        <w:t>Monacelli e Perotti (200</w:t>
      </w:r>
      <w:r w:rsidR="008D1EE5">
        <w:t>8</w:t>
      </w:r>
      <w:r w:rsidR="008D1EE5" w:rsidRPr="00844901">
        <w:t>)</w:t>
      </w:r>
      <w:r w:rsidR="008D1EE5">
        <w:t xml:space="preserve"> e </w:t>
      </w:r>
      <w:r w:rsidR="008D1EE5" w:rsidRPr="00844901">
        <w:t>Mountford e Uhlig (2009</w:t>
      </w:r>
      <w:r w:rsidR="008D1EE5">
        <w:t>) também obtiveram</w:t>
      </w:r>
      <w:r w:rsidRPr="00844901">
        <w:t xml:space="preserve"> que aumentos de gastos do governo afetam positivamente o consumo privado</w:t>
      </w:r>
      <w:r w:rsidR="000040AC" w:rsidRPr="000040AC">
        <w:rPr>
          <w:i/>
        </w:rPr>
        <w:t>.</w:t>
      </w:r>
    </w:p>
    <w:p w:rsidR="00CA7067" w:rsidRDefault="008342FE" w:rsidP="008342FE">
      <w:pPr>
        <w:ind w:firstLine="709"/>
        <w:jc w:val="both"/>
      </w:pPr>
      <w:r>
        <w:t xml:space="preserve">Por fim é importante destacar que </w:t>
      </w:r>
      <w:r w:rsidR="0038276B">
        <w:t xml:space="preserve">Kim (2003) utiliza </w:t>
      </w:r>
      <w:r w:rsidR="00696F08">
        <w:t>um</w:t>
      </w:r>
      <w:r w:rsidR="0038276B">
        <w:t xml:space="preserve"> mecanismo de alternância de regimes das políticas monetária e fiscal para </w:t>
      </w:r>
      <w:r w:rsidR="00696F08">
        <w:t>obter,</w:t>
      </w:r>
      <w:r w:rsidR="0038276B">
        <w:t xml:space="preserve"> via efeito substituição e renda intertemporal e intratemporal, </w:t>
      </w:r>
      <w:r w:rsidR="00696F08">
        <w:t xml:space="preserve">uma </w:t>
      </w:r>
      <w:r w:rsidR="0038276B">
        <w:lastRenderedPageBreak/>
        <w:t>elevação</w:t>
      </w:r>
      <w:r w:rsidR="00696F08">
        <w:t>,</w:t>
      </w:r>
      <w:r w:rsidR="0038276B">
        <w:t xml:space="preserve"> no consumo privado</w:t>
      </w:r>
      <w:r w:rsidR="00696F08">
        <w:t>,</w:t>
      </w:r>
      <w:r w:rsidR="00BA08C0">
        <w:t xml:space="preserve"> </w:t>
      </w:r>
      <w:r w:rsidR="00696F08">
        <w:t>provocada por uma inovação fiscal</w:t>
      </w:r>
      <w:r w:rsidR="0038276B">
        <w:t xml:space="preserve">. Davig e Leeper (2011) </w:t>
      </w:r>
      <w:r w:rsidR="00696F08">
        <w:t xml:space="preserve">adotam modelo similar ao de </w:t>
      </w:r>
      <w:r w:rsidR="0038276B">
        <w:t xml:space="preserve">Kim (2003) </w:t>
      </w:r>
      <w:r>
        <w:t xml:space="preserve">para estudar os efeitos dos choques de gastos do governo não antecipados e temporários sobre </w:t>
      </w:r>
      <w:r w:rsidR="002C33FA">
        <w:t xml:space="preserve">algumas </w:t>
      </w:r>
      <w:r>
        <w:t xml:space="preserve">variáveis macroeconômicas </w:t>
      </w:r>
      <w:r w:rsidR="00696F08">
        <w:t xml:space="preserve">americanas, </w:t>
      </w:r>
      <w:r>
        <w:t xml:space="preserve">como </w:t>
      </w:r>
      <w:r w:rsidR="00696F08">
        <w:t xml:space="preserve">o </w:t>
      </w:r>
      <w:r>
        <w:t>consumo privado. Nosso trabalho explorar</w:t>
      </w:r>
      <w:r w:rsidR="002C33FA">
        <w:t>á</w:t>
      </w:r>
      <w:r>
        <w:t xml:space="preserve"> estes mesmos canais de transmissão para analisar os efeitos de um choque de gastos do governo </w:t>
      </w:r>
      <w:r w:rsidR="00696F08">
        <w:t>n</w:t>
      </w:r>
      <w:r>
        <w:t xml:space="preserve">a economia brasileira. </w:t>
      </w:r>
    </w:p>
    <w:p w:rsidR="00694342" w:rsidRDefault="00694342" w:rsidP="00E02BDD"/>
    <w:p w:rsidR="00CA546F" w:rsidRPr="0019668F" w:rsidRDefault="00CA546F" w:rsidP="00E02BDD">
      <w:pPr>
        <w:pStyle w:val="PargrafodaLista"/>
        <w:numPr>
          <w:ilvl w:val="0"/>
          <w:numId w:val="9"/>
        </w:numPr>
        <w:spacing w:after="0" w:line="240" w:lineRule="auto"/>
        <w:ind w:left="426"/>
        <w:rPr>
          <w:rFonts w:ascii="Times New Roman" w:hAnsi="Times New Roman"/>
          <w:b/>
          <w:sz w:val="24"/>
          <w:szCs w:val="24"/>
        </w:rPr>
      </w:pPr>
      <w:r w:rsidRPr="0019668F">
        <w:rPr>
          <w:rFonts w:ascii="Times New Roman" w:hAnsi="Times New Roman"/>
          <w:b/>
          <w:sz w:val="24"/>
          <w:szCs w:val="24"/>
        </w:rPr>
        <w:t>Regras de Política Monetária e Fiscal</w:t>
      </w:r>
    </w:p>
    <w:p w:rsidR="00CA546F" w:rsidRPr="00844901" w:rsidRDefault="00CA546F" w:rsidP="00E02BDD"/>
    <w:p w:rsidR="00CA546F" w:rsidRPr="00844901" w:rsidRDefault="00CA546F" w:rsidP="00E02BDD">
      <w:pPr>
        <w:pStyle w:val="PargrafodaLista"/>
        <w:numPr>
          <w:ilvl w:val="1"/>
          <w:numId w:val="7"/>
        </w:numPr>
        <w:spacing w:after="0" w:line="240" w:lineRule="auto"/>
        <w:rPr>
          <w:rFonts w:ascii="Times New Roman" w:hAnsi="Times New Roman"/>
          <w:b/>
          <w:sz w:val="24"/>
          <w:szCs w:val="24"/>
        </w:rPr>
      </w:pPr>
      <w:r w:rsidRPr="00844901">
        <w:rPr>
          <w:rFonts w:ascii="Times New Roman" w:hAnsi="Times New Roman"/>
          <w:b/>
          <w:sz w:val="24"/>
          <w:szCs w:val="24"/>
        </w:rPr>
        <w:t>Regra de política monetária</w:t>
      </w:r>
      <w:r>
        <w:rPr>
          <w:rStyle w:val="Refdenotaderodap"/>
          <w:rFonts w:ascii="Times New Roman" w:hAnsi="Times New Roman"/>
          <w:b/>
          <w:sz w:val="24"/>
          <w:szCs w:val="24"/>
        </w:rPr>
        <w:footnoteReference w:id="7"/>
      </w:r>
    </w:p>
    <w:p w:rsidR="00CA546F" w:rsidRDefault="00CA546F" w:rsidP="00E02BDD">
      <w:pPr>
        <w:jc w:val="both"/>
      </w:pPr>
    </w:p>
    <w:p w:rsidR="00CA546F" w:rsidRPr="00D5285D" w:rsidRDefault="00CA546F" w:rsidP="00E02BDD">
      <w:pPr>
        <w:ind w:firstLine="709"/>
        <w:jc w:val="both"/>
      </w:pPr>
      <w:r>
        <w:t xml:space="preserve">Como dito anteriormente, analisaremos o impacto </w:t>
      </w:r>
      <w:r w:rsidRPr="00D5285D">
        <w:t>de</w:t>
      </w:r>
      <w:r>
        <w:t xml:space="preserve"> um choque de</w:t>
      </w:r>
      <w:r w:rsidRPr="00D5285D">
        <w:t xml:space="preserve"> gastos do governo </w:t>
      </w:r>
      <w:r>
        <w:t>considerando ser possível haver</w:t>
      </w:r>
      <w:r w:rsidRPr="00D5285D">
        <w:t xml:space="preserve"> altern</w:t>
      </w:r>
      <w:r>
        <w:t>â</w:t>
      </w:r>
      <w:r w:rsidRPr="00D5285D">
        <w:t xml:space="preserve">ncia </w:t>
      </w:r>
      <w:r>
        <w:t>nos</w:t>
      </w:r>
      <w:r w:rsidRPr="00D5285D">
        <w:t xml:space="preserve"> regimes</w:t>
      </w:r>
      <w:r>
        <w:t xml:space="preserve"> da política monetária.  Consistentemente com esta hipótese de alternância, escolhemos um método de</w:t>
      </w:r>
      <w:r w:rsidR="00854C3B">
        <w:t xml:space="preserve"> </w:t>
      </w:r>
      <w:r>
        <w:t xml:space="preserve">estimação </w:t>
      </w:r>
      <w:r w:rsidRPr="00D5285D">
        <w:t>que</w:t>
      </w:r>
      <w:r>
        <w:t xml:space="preserve"> admite que os parâmetros, da função de reação do Banco Central, sigam um processo markoviano de mudança (</w:t>
      </w:r>
      <w:r w:rsidRPr="004718EE">
        <w:rPr>
          <w:i/>
        </w:rPr>
        <w:t>Markov-Switching</w:t>
      </w:r>
      <w:r>
        <w:t xml:space="preserve">) </w:t>
      </w:r>
      <w:r w:rsidR="00A14160">
        <w:t xml:space="preserve">de regime. Ou seja, </w:t>
      </w:r>
      <w:r>
        <w:t>os valores destes parâmetros dependam do regime no qual a política monetária se encontra em cada instante de tempo.  O modelo</w:t>
      </w:r>
      <w:r w:rsidRPr="00D5285D">
        <w:t xml:space="preserve"> pode ser descrito pelas equações abaixo:</w:t>
      </w:r>
    </w:p>
    <w:p w:rsidR="00CA546F" w:rsidRPr="00D5285D" w:rsidRDefault="00CA546F" w:rsidP="00E02BDD"/>
    <w:p w:rsidR="00CA546F" w:rsidRPr="00D5285D" w:rsidRDefault="00CA546F" w:rsidP="00E02BDD">
      <w:pPr>
        <w:jc w:val="center"/>
      </w:pPr>
      <w:r w:rsidRPr="009A480F">
        <w:rPr>
          <w:position w:val="-26"/>
        </w:rPr>
        <w:object w:dxaOrig="54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31.5pt" o:ole="">
            <v:imagedata r:id="rId8" o:title=""/>
          </v:shape>
          <o:OLEObject Type="Embed" ProgID="Equation.3" ShapeID="_x0000_i1025" DrawAspect="Content" ObjectID="_1436078103" r:id="rId9"/>
        </w:object>
      </w:r>
      <w:r w:rsidRPr="00D5285D">
        <w:t>,</w:t>
      </w:r>
      <w:r w:rsidRPr="00D5285D">
        <w:tab/>
        <w:t xml:space="preserve">                                  (1)</w:t>
      </w:r>
    </w:p>
    <w:p w:rsidR="00CA546F" w:rsidRPr="00D5285D" w:rsidRDefault="00CA546F" w:rsidP="00E02BDD">
      <w:pPr>
        <w:jc w:val="center"/>
      </w:pPr>
      <w:r w:rsidRPr="00D5285D">
        <w:rPr>
          <w:position w:val="-12"/>
        </w:rPr>
        <w:object w:dxaOrig="1660" w:dyaOrig="380">
          <v:shape id="_x0000_i1026" type="#_x0000_t75" style="width:83.25pt;height:18.75pt" o:ole="">
            <v:imagedata r:id="rId10" o:title=""/>
          </v:shape>
          <o:OLEObject Type="Embed" ProgID="Equation.3" ShapeID="_x0000_i1026" DrawAspect="Content" ObjectID="_1436078104" r:id="rId11"/>
        </w:object>
      </w:r>
      <w:r w:rsidRPr="00D5285D">
        <w:t xml:space="preserve">).  </w:t>
      </w:r>
    </w:p>
    <w:p w:rsidR="00CA546F" w:rsidRPr="00D5285D" w:rsidRDefault="00CA546F" w:rsidP="00E02BDD">
      <w:pPr>
        <w:jc w:val="center"/>
      </w:pPr>
    </w:p>
    <w:p w:rsidR="00CA546F" w:rsidRPr="00D5285D" w:rsidRDefault="00CA546F" w:rsidP="00E02BDD">
      <w:pPr>
        <w:jc w:val="center"/>
      </w:pPr>
      <w:r w:rsidRPr="00D5285D">
        <w:t>P=[p</w:t>
      </w:r>
      <w:r w:rsidRPr="00D5285D">
        <w:rPr>
          <w:vertAlign w:val="subscript"/>
        </w:rPr>
        <w:t>ij</w:t>
      </w:r>
      <w:r w:rsidRPr="00D5285D">
        <w:t xml:space="preserve">],           </w:t>
      </w:r>
      <w:r w:rsidRPr="00D5285D">
        <w:rPr>
          <w:position w:val="-14"/>
        </w:rPr>
        <w:object w:dxaOrig="2240" w:dyaOrig="380">
          <v:shape id="_x0000_i1027" type="#_x0000_t75" style="width:111.75pt;height:18.75pt" o:ole="">
            <v:imagedata r:id="rId12" o:title=""/>
          </v:shape>
          <o:OLEObject Type="Embed" ProgID="Equation.3" ShapeID="_x0000_i1027" DrawAspect="Content" ObjectID="_1436078105" r:id="rId13"/>
        </w:object>
      </w:r>
      <w:r w:rsidRPr="00D5285D">
        <w:t xml:space="preserve">, </w:t>
      </w:r>
      <w:r w:rsidRPr="00D5285D">
        <w:rPr>
          <w:position w:val="-10"/>
        </w:rPr>
        <w:object w:dxaOrig="859" w:dyaOrig="320">
          <v:shape id="_x0000_i1028" type="#_x0000_t75" style="width:42pt;height:15.75pt" o:ole="">
            <v:imagedata r:id="rId14" o:title=""/>
          </v:shape>
          <o:OLEObject Type="Embed" ProgID="Equation.3" ShapeID="_x0000_i1028" DrawAspect="Content" ObjectID="_1436078106" r:id="rId15"/>
        </w:object>
      </w:r>
      <w:r w:rsidRPr="00D5285D">
        <w:t xml:space="preserve">.            </w:t>
      </w:r>
      <w:r w:rsidR="00CF282C">
        <w:t xml:space="preserve">                  </w:t>
      </w:r>
      <w:r w:rsidRPr="00D5285D">
        <w:t xml:space="preserve">                     (2)</w:t>
      </w:r>
    </w:p>
    <w:p w:rsidR="00CA546F" w:rsidRPr="00D5285D" w:rsidRDefault="00CA546F" w:rsidP="00E02BDD"/>
    <w:p w:rsidR="00CA546F" w:rsidRPr="00D5285D" w:rsidRDefault="00CA546F" w:rsidP="00E02BDD">
      <w:r w:rsidRPr="00D5285D">
        <w:t>Onde:</w:t>
      </w:r>
    </w:p>
    <w:p w:rsidR="00CA546F" w:rsidRDefault="00CA546F" w:rsidP="00E02BDD">
      <w:r w:rsidRPr="00D5285D">
        <w:rPr>
          <w:position w:val="-12"/>
        </w:rPr>
        <w:object w:dxaOrig="260" w:dyaOrig="360">
          <v:shape id="_x0000_i1029" type="#_x0000_t75" style="width:12.75pt;height:18pt" o:ole="">
            <v:imagedata r:id="rId16" o:title=""/>
          </v:shape>
          <o:OLEObject Type="Embed" ProgID="Equation.3" ShapeID="_x0000_i1029" DrawAspect="Content" ObjectID="_1436078107" r:id="rId17"/>
        </w:object>
      </w:r>
      <w:r>
        <w:t>é</w:t>
      </w:r>
      <w:r w:rsidR="00BA08C0">
        <w:t xml:space="preserve"> </w:t>
      </w:r>
      <w:r w:rsidR="00552197">
        <w:t>o log d</w:t>
      </w:r>
      <w:r>
        <w:t>a taxa de juros nominal de curto prazo,</w:t>
      </w:r>
    </w:p>
    <w:p w:rsidR="00CA546F" w:rsidRDefault="00CA546F" w:rsidP="00E02BDD">
      <w:pPr>
        <w:jc w:val="both"/>
      </w:pPr>
      <w:r w:rsidRPr="00D5285D">
        <w:rPr>
          <w:position w:val="-12"/>
        </w:rPr>
        <w:object w:dxaOrig="240" w:dyaOrig="360">
          <v:shape id="_x0000_i1030" type="#_x0000_t75" style="width:12pt;height:18pt" o:ole="">
            <v:imagedata r:id="rId18" o:title=""/>
          </v:shape>
          <o:OLEObject Type="Embed" ProgID="Equation.3" ShapeID="_x0000_i1030" DrawAspect="Content" ObjectID="_1436078108" r:id="rId19"/>
        </w:object>
      </w:r>
      <w:r>
        <w:t>é</w:t>
      </w:r>
      <w:r w:rsidRPr="00D5285D">
        <w:t xml:space="preserve"> o vetor de</w:t>
      </w:r>
      <w:r w:rsidR="00B90A8E">
        <w:t xml:space="preserve"> log das</w:t>
      </w:r>
      <w:r w:rsidRPr="00D5285D">
        <w:t xml:space="preserve"> variáveis que o Banco Central leva em conta</w:t>
      </w:r>
      <w:r>
        <w:t xml:space="preserve"> na fixação da taxa de juros,</w:t>
      </w:r>
    </w:p>
    <w:p w:rsidR="00CA546F" w:rsidRPr="00D5285D" w:rsidRDefault="00CA546F" w:rsidP="00E02BDD">
      <w:pPr>
        <w:jc w:val="both"/>
      </w:pPr>
      <w:r w:rsidRPr="00D5285D">
        <w:rPr>
          <w:position w:val="-12"/>
        </w:rPr>
        <w:object w:dxaOrig="260" w:dyaOrig="360">
          <v:shape id="_x0000_i1031" type="#_x0000_t75" style="width:12.75pt;height:18pt" o:ole="">
            <v:imagedata r:id="rId20" o:title=""/>
          </v:shape>
          <o:OLEObject Type="Embed" ProgID="Equation.3" ShapeID="_x0000_i1031" DrawAspect="Content" ObjectID="_1436078109" r:id="rId21"/>
        </w:object>
      </w:r>
      <w:r w:rsidRPr="00D5285D">
        <w:t xml:space="preserve">é uma variável aleatória que evolui de acordo com uma matriz de probabilidades </w:t>
      </w:r>
      <w:r>
        <w:t xml:space="preserve"> de </w:t>
      </w:r>
      <w:r w:rsidRPr="00D5285D">
        <w:t>transição</w:t>
      </w:r>
      <w:r>
        <w:t>, P,</w:t>
      </w:r>
      <w:r w:rsidRPr="00D5285D">
        <w:t xml:space="preserve"> expressa por (2) e que assume, em cada período t, um d</w:t>
      </w:r>
      <w:r>
        <w:t>e</w:t>
      </w:r>
      <w:r w:rsidR="00BA08C0">
        <w:t xml:space="preserve"> </w:t>
      </w:r>
      <w:r>
        <w:t>dois</w:t>
      </w:r>
      <w:r w:rsidRPr="00D5285D">
        <w:t xml:space="preserve"> valores diferentes.</w:t>
      </w:r>
    </w:p>
    <w:p w:rsidR="00CA546F" w:rsidRPr="00D5285D" w:rsidRDefault="00CA546F" w:rsidP="00E02BDD">
      <w:pPr>
        <w:jc w:val="both"/>
      </w:pPr>
    </w:p>
    <w:p w:rsidR="00CA546F" w:rsidRPr="00D5285D" w:rsidRDefault="00CA546F" w:rsidP="00E02BDD">
      <w:pPr>
        <w:ind w:firstLine="709"/>
        <w:jc w:val="both"/>
      </w:pPr>
      <w:r w:rsidRPr="00D5285D">
        <w:t>Para estimar a regra de política monetária foi utilizada</w:t>
      </w:r>
      <w:r>
        <w:t xml:space="preserve"> a</w:t>
      </w:r>
      <w:r w:rsidRPr="00D5285D">
        <w:t xml:space="preserve"> taxa de juros nominal de curto prazo do Sistema de Liquidação e Custódia (Over - Selic) corrigida para dias úteis</w:t>
      </w:r>
      <w:r>
        <w:t xml:space="preserve"> e </w:t>
      </w:r>
      <w:r w:rsidRPr="00D5285D">
        <w:t>disponibilizada pelo Banco Ce</w:t>
      </w:r>
      <w:r>
        <w:t>ntral do Brasil (BCB). Para o cá</w:t>
      </w:r>
      <w:r w:rsidRPr="00D5285D">
        <w:t>lculo da taxa de inflação foi utilizado o Índice de Preços ao Consumidor Amplo (IPCA) disponibilizad</w:t>
      </w:r>
      <w:r>
        <w:t>o</w:t>
      </w:r>
      <w:r w:rsidRPr="00D5285D">
        <w:t xml:space="preserve"> pelo Instituto Brasileiro de Geografia e Estatística (IBGE). </w:t>
      </w:r>
      <w:r w:rsidR="006C1D1D">
        <w:t>O</w:t>
      </w:r>
      <w:r w:rsidRPr="00D5285D">
        <w:t xml:space="preserve"> Produto Interno Bruto (PIB)</w:t>
      </w:r>
      <w:r w:rsidR="006C1D1D">
        <w:t>,</w:t>
      </w:r>
      <w:r w:rsidRPr="00D5285D">
        <w:t xml:space="preserve"> também disponibilizado pelo IBGE</w:t>
      </w:r>
      <w:r w:rsidR="006C1D1D">
        <w:t>, foi utilizado para calcular o hiato do produto</w:t>
      </w:r>
      <w:r w:rsidRPr="00D5285D">
        <w:t>. A série de taxa de juros</w:t>
      </w:r>
      <w:r>
        <w:t xml:space="preserve"> nominal</w:t>
      </w:r>
      <w:r w:rsidR="00BA08C0">
        <w:t xml:space="preserve"> </w:t>
      </w:r>
      <w:r>
        <w:t xml:space="preserve">mensal anualizada </w:t>
      </w:r>
      <w:r w:rsidRPr="00D5285D">
        <w:t xml:space="preserve">foi trimestralizada e a taxa de inflação utilizada é a taxa </w:t>
      </w:r>
      <w:r>
        <w:t xml:space="preserve">de inflação </w:t>
      </w:r>
      <w:r w:rsidRPr="00D5285D">
        <w:t xml:space="preserve">acumulada em 12 meses. O hiato do produto </w:t>
      </w:r>
      <w:r>
        <w:t>foi obtido</w:t>
      </w:r>
      <w:r w:rsidRPr="00D5285D">
        <w:t xml:space="preserve"> através do filtro HP</w:t>
      </w:r>
      <w:r>
        <w:t xml:space="preserve"> cujo parâmetro de suavização foi configurado no valor igual a 1600, conforme sugerido por Hodrick e Prescott (1997)</w:t>
      </w:r>
      <w:r w:rsidRPr="00D5285D">
        <w:t xml:space="preserve">. O período da amostra é de 1999:T1 até 2011:T2. </w:t>
      </w:r>
    </w:p>
    <w:p w:rsidR="00CA546F" w:rsidRPr="0045599D" w:rsidRDefault="00CA546F" w:rsidP="00E02BDD">
      <w:pPr>
        <w:ind w:firstLine="709"/>
        <w:jc w:val="both"/>
      </w:pPr>
      <w:r>
        <w:t>Primeiramente foi realizado o teste</w:t>
      </w:r>
      <w:r w:rsidR="009C724F">
        <w:rPr>
          <w:rStyle w:val="Refdenotaderodap"/>
        </w:rPr>
        <w:footnoteReference w:id="8"/>
      </w:r>
      <w:r>
        <w:t xml:space="preserve"> de </w:t>
      </w:r>
      <w:r w:rsidR="00133B2C" w:rsidRPr="00133B2C">
        <w:rPr>
          <w:color w:val="FF0000"/>
        </w:rPr>
        <w:t>Dickey-Fuller Aumentado</w:t>
      </w:r>
      <w:r>
        <w:t xml:space="preserve"> para a verificação de presença ou não de raiz unitária. A hipótese nula é a de existência de raiz unitária, ou seja, de não-estacionaridade.</w:t>
      </w:r>
      <w:r w:rsidR="00DE1791">
        <w:t xml:space="preserve"> Também foram realizados testes de critério de informação. O</w:t>
      </w:r>
      <w:r w:rsidRPr="007660DB">
        <w:t xml:space="preserve"> Critério de Informação de Schwartz (SIC)</w:t>
      </w:r>
      <w:r w:rsidR="00DE1791">
        <w:t xml:space="preserve"> sugere que </w:t>
      </w:r>
      <w:r w:rsidRPr="007660DB">
        <w:t xml:space="preserve">o modelo a ser escolhido deveria ser o </w:t>
      </w:r>
      <w:r>
        <w:t>estimado via MQO</w:t>
      </w:r>
      <w:r w:rsidR="009E642B">
        <w:rPr>
          <w:rStyle w:val="Refdenotaderodap"/>
        </w:rPr>
        <w:footnoteReference w:id="9"/>
      </w:r>
      <w:r w:rsidRPr="007660DB">
        <w:t>. Já pelo Critério de Informação Akaike (AIC) o modelo MS</w:t>
      </w:r>
      <w:r w:rsidR="009E642B">
        <w:rPr>
          <w:rStyle w:val="Refdenotaderodap"/>
        </w:rPr>
        <w:footnoteReference w:id="10"/>
      </w:r>
      <w:r w:rsidRPr="007660DB">
        <w:t xml:space="preserve"> deveria ser adotado. De certa forma o resultado obtido não é de surpreender tendo em vista que o custo marginal de se introduzir mais regressores é maior no SIC do que no AIC. Assim, como o MS é mais parametrizado do que o </w:t>
      </w:r>
      <w:r>
        <w:t>MQO</w:t>
      </w:r>
      <w:r w:rsidRPr="007660DB">
        <w:t xml:space="preserve"> não é estranho que</w:t>
      </w:r>
      <w:r>
        <w:t xml:space="preserve"> o teste SIC tenha preferido o MQO</w:t>
      </w:r>
      <w:r w:rsidRPr="007660DB">
        <w:t xml:space="preserve">. Analisar os resíduos gerados pelas duas estimações nos ajuda a definir melhor qual o modelo a ser </w:t>
      </w:r>
      <w:r w:rsidRPr="007660DB">
        <w:lastRenderedPageBreak/>
        <w:t>adotado. Para tanto, foram realizados testes de normalidade dos resíduos, análise de correlação serial entre os resíduos da regressão e verificação de presença de heterocedasticidade ou não no modelo.</w:t>
      </w:r>
    </w:p>
    <w:p w:rsidR="00CA546F" w:rsidRDefault="00CA546F" w:rsidP="009E642B">
      <w:pPr>
        <w:ind w:firstLine="709"/>
        <w:jc w:val="both"/>
      </w:pPr>
      <w:r w:rsidRPr="007660DB">
        <w:t>Antes de tudo é fundamental entender</w:t>
      </w:r>
      <w:r w:rsidR="009E642B">
        <w:t xml:space="preserve"> o que significa neste trabalho uma </w:t>
      </w:r>
      <w:r w:rsidRPr="007660DB">
        <w:t xml:space="preserve">Política Monetária Mais Ativa e </w:t>
      </w:r>
      <w:r w:rsidR="006C1D1D">
        <w:t xml:space="preserve">uma </w:t>
      </w:r>
      <w:r w:rsidRPr="007660DB">
        <w:t>Política Monetária Menos Ativa. De acordo com</w:t>
      </w:r>
      <w:r>
        <w:t xml:space="preserve"> o Princípio de Taylor </w:t>
      </w:r>
      <w:r w:rsidRPr="007660DB">
        <w:t xml:space="preserve">quando a elasticidade de longo prazo da taxa de </w:t>
      </w:r>
      <w:r>
        <w:t>inflação em relação à</w:t>
      </w:r>
      <w:r w:rsidRPr="007660DB">
        <w:t xml:space="preserve"> taxa de juros é maior do que </w:t>
      </w:r>
      <w:r>
        <w:t>a unidade,</w:t>
      </w:r>
      <w:r w:rsidRPr="007660DB">
        <w:t xml:space="preserve"> a autoridade monet</w:t>
      </w:r>
      <w:r>
        <w:t>á</w:t>
      </w:r>
      <w:r w:rsidRPr="007660DB">
        <w:t xml:space="preserve">ria está agindo </w:t>
      </w:r>
      <w:r w:rsidRPr="00BC6D41">
        <w:t xml:space="preserve">ativamente. </w:t>
      </w:r>
      <w:r w:rsidRPr="00BC6D41">
        <w:rPr>
          <w:lang w:val="en-US"/>
        </w:rPr>
        <w:t xml:space="preserve">Além disso, Taylor e Williams (2010) argumentam que </w:t>
      </w:r>
      <w:r w:rsidRPr="00BC6D41">
        <w:rPr>
          <w:i/>
          <w:lang w:val="en-US"/>
        </w:rPr>
        <w:t>“in most existing macroeconomic models, this condition (or some close variant of it) must be met for a unique stable rational expectations to exist”</w:t>
      </w:r>
      <w:r w:rsidRPr="00BC6D41">
        <w:rPr>
          <w:rStyle w:val="Refdenotaderodap"/>
          <w:i/>
          <w:lang w:val="en-US"/>
        </w:rPr>
        <w:footnoteReference w:id="11"/>
      </w:r>
      <w:r w:rsidRPr="00BC6D41">
        <w:rPr>
          <w:i/>
          <w:lang w:val="en-US"/>
        </w:rPr>
        <w:t xml:space="preserve">. </w:t>
      </w:r>
      <w:r w:rsidRPr="00BC6D41">
        <w:t>Conforme podemos verificar, ambos os coeficientes são maiores do que 1</w:t>
      </w:r>
      <w:r w:rsidRPr="00BC6D41">
        <w:rPr>
          <w:rStyle w:val="Refdenotaderodap"/>
        </w:rPr>
        <w:footnoteReference w:id="12"/>
      </w:r>
      <w:r w:rsidRPr="00BC6D41">
        <w:t>. No caso do regime 1 o coeficiente chega a ser maior do que três, mostrando que a política monetária</w:t>
      </w:r>
      <w:r w:rsidRPr="007660DB">
        <w:t xml:space="preserve"> neste regime é altamente ativa. Como no regime 2 o coeficiente </w:t>
      </w:r>
      <w:r>
        <w:t>também é maior do que a unidade</w:t>
      </w:r>
      <w:r w:rsidRPr="007660DB">
        <w:t xml:space="preserve"> não podemos classificá-lo de passivo e como já temos um regime altamente ativ</w:t>
      </w:r>
      <w:r>
        <w:t>o, então, resolveu-se por defini</w:t>
      </w:r>
      <w:r w:rsidRPr="007660DB">
        <w:t>-lo como menos ativo. Desta forma, a política monetária no período analisado atuou ativamente, sendo em alguns momentos mais ativa e em outros menos ativa.</w:t>
      </w:r>
      <w:r w:rsidR="002B610C">
        <w:t xml:space="preserve"> </w:t>
      </w:r>
      <w:r w:rsidRPr="007660DB">
        <w:t>Os sinais dos coeficientes estão todos de acordo com o que a literatura prevê. Tanto um aumento da taxa de inflação quanto um aumento do hiato do produto leva</w:t>
      </w:r>
      <w:r>
        <w:t>m</w:t>
      </w:r>
      <w:r w:rsidRPr="007660DB">
        <w:t xml:space="preserve"> a </w:t>
      </w:r>
      <w:r>
        <w:t>um aumento da taxa de juros pela autoridade monetária</w:t>
      </w:r>
      <w:r w:rsidR="004D4372">
        <w:t>.</w:t>
      </w:r>
    </w:p>
    <w:p w:rsidR="00CA546F" w:rsidRDefault="00CA546F" w:rsidP="00E02BDD">
      <w:pPr>
        <w:jc w:val="both"/>
      </w:pPr>
    </w:p>
    <w:tbl>
      <w:tblPr>
        <w:tblW w:w="7394" w:type="dxa"/>
        <w:jc w:val="center"/>
        <w:tblCellMar>
          <w:left w:w="70" w:type="dxa"/>
          <w:right w:w="70" w:type="dxa"/>
        </w:tblCellMar>
        <w:tblLook w:val="04A0"/>
      </w:tblPr>
      <w:tblGrid>
        <w:gridCol w:w="2854"/>
        <w:gridCol w:w="2434"/>
        <w:gridCol w:w="2106"/>
      </w:tblGrid>
      <w:tr w:rsidR="00CA546F" w:rsidRPr="000C4641" w:rsidTr="00DE1791">
        <w:trPr>
          <w:trHeight w:val="378"/>
          <w:jc w:val="center"/>
        </w:trPr>
        <w:tc>
          <w:tcPr>
            <w:tcW w:w="7394" w:type="dxa"/>
            <w:gridSpan w:val="3"/>
            <w:tcBorders>
              <w:left w:val="nil"/>
              <w:bottom w:val="double" w:sz="6" w:space="0" w:color="auto"/>
              <w:right w:val="nil"/>
            </w:tcBorders>
            <w:shd w:val="clear" w:color="000000" w:fill="FFFFFF"/>
            <w:noWrap/>
            <w:vAlign w:val="bottom"/>
            <w:hideMark/>
          </w:tcPr>
          <w:p w:rsidR="00CA546F" w:rsidRPr="000C4641" w:rsidRDefault="00CA546F" w:rsidP="0001602F">
            <w:pPr>
              <w:jc w:val="center"/>
              <w:rPr>
                <w:color w:val="000000"/>
                <w:lang w:eastAsia="zh-CN"/>
              </w:rPr>
            </w:pPr>
            <w:r w:rsidRPr="000C4641">
              <w:rPr>
                <w:sz w:val="22"/>
                <w:szCs w:val="22"/>
              </w:rPr>
              <w:t xml:space="preserve">Tabela </w:t>
            </w:r>
            <w:r w:rsidR="002B610C">
              <w:rPr>
                <w:sz w:val="22"/>
                <w:szCs w:val="22"/>
              </w:rPr>
              <w:t>1</w:t>
            </w:r>
            <w:r w:rsidRPr="000C4641">
              <w:rPr>
                <w:sz w:val="22"/>
                <w:szCs w:val="22"/>
              </w:rPr>
              <w:t xml:space="preserve"> - Estimação da Regra de Política Monetária.</w:t>
            </w:r>
          </w:p>
        </w:tc>
      </w:tr>
      <w:tr w:rsidR="00CA546F" w:rsidRPr="000C4641" w:rsidTr="00DE1791">
        <w:trPr>
          <w:trHeight w:val="378"/>
          <w:jc w:val="center"/>
        </w:trPr>
        <w:tc>
          <w:tcPr>
            <w:tcW w:w="2854" w:type="dxa"/>
            <w:vMerge w:val="restart"/>
            <w:tcBorders>
              <w:top w:val="double" w:sz="6" w:space="0" w:color="auto"/>
              <w:left w:val="nil"/>
              <w:right w:val="nil"/>
            </w:tcBorders>
            <w:shd w:val="clear" w:color="000000" w:fill="FFFFFF"/>
            <w:noWrap/>
            <w:vAlign w:val="center"/>
            <w:hideMark/>
          </w:tcPr>
          <w:p w:rsidR="00CA546F" w:rsidRPr="000C4641" w:rsidRDefault="00CA546F" w:rsidP="0001602F">
            <w:pPr>
              <w:jc w:val="center"/>
              <w:rPr>
                <w:color w:val="000000"/>
                <w:lang w:eastAsia="zh-CN"/>
              </w:rPr>
            </w:pPr>
            <w:r w:rsidRPr="000C4641">
              <w:rPr>
                <w:color w:val="000000"/>
                <w:sz w:val="22"/>
                <w:szCs w:val="22"/>
                <w:lang w:eastAsia="zh-CN"/>
              </w:rPr>
              <w:t>Estado</w:t>
            </w:r>
          </w:p>
        </w:tc>
        <w:tc>
          <w:tcPr>
            <w:tcW w:w="2434" w:type="dxa"/>
            <w:tcBorders>
              <w:top w:val="double" w:sz="6" w:space="0" w:color="auto"/>
              <w:left w:val="nil"/>
              <w:bottom w:val="single" w:sz="4" w:space="0" w:color="auto"/>
              <w:right w:val="nil"/>
            </w:tcBorders>
            <w:shd w:val="clear" w:color="000000" w:fill="FFFFFF"/>
            <w:noWrap/>
            <w:vAlign w:val="bottom"/>
            <w:hideMark/>
          </w:tcPr>
          <w:p w:rsidR="00CA546F" w:rsidRPr="000C4641" w:rsidRDefault="00CA546F" w:rsidP="0001602F">
            <w:pPr>
              <w:jc w:val="center"/>
              <w:rPr>
                <w:color w:val="000000"/>
                <w:lang w:eastAsia="zh-CN"/>
              </w:rPr>
            </w:pPr>
            <w:r w:rsidRPr="000C4641">
              <w:rPr>
                <w:color w:val="000000"/>
                <w:sz w:val="22"/>
                <w:szCs w:val="22"/>
                <w:lang w:eastAsia="zh-CN"/>
              </w:rPr>
              <w:t>Mais Ativa</w:t>
            </w:r>
          </w:p>
        </w:tc>
        <w:tc>
          <w:tcPr>
            <w:tcW w:w="2106" w:type="dxa"/>
            <w:tcBorders>
              <w:top w:val="double" w:sz="6" w:space="0" w:color="auto"/>
              <w:left w:val="nil"/>
              <w:bottom w:val="single" w:sz="4" w:space="0" w:color="auto"/>
              <w:right w:val="nil"/>
            </w:tcBorders>
            <w:shd w:val="clear" w:color="000000" w:fill="FFFFFF"/>
            <w:noWrap/>
            <w:vAlign w:val="bottom"/>
            <w:hideMark/>
          </w:tcPr>
          <w:p w:rsidR="00CA546F" w:rsidRPr="000C4641" w:rsidRDefault="00CA546F" w:rsidP="0001602F">
            <w:pPr>
              <w:jc w:val="center"/>
              <w:rPr>
                <w:color w:val="000000"/>
                <w:lang w:eastAsia="zh-CN"/>
              </w:rPr>
            </w:pPr>
            <w:r w:rsidRPr="000C4641">
              <w:rPr>
                <w:color w:val="000000"/>
                <w:sz w:val="22"/>
                <w:szCs w:val="22"/>
                <w:lang w:eastAsia="zh-CN"/>
              </w:rPr>
              <w:t>Menos Ativa</w:t>
            </w:r>
          </w:p>
        </w:tc>
      </w:tr>
      <w:tr w:rsidR="00CA546F" w:rsidRPr="000C4641" w:rsidTr="00DE1791">
        <w:trPr>
          <w:trHeight w:val="398"/>
          <w:jc w:val="center"/>
        </w:trPr>
        <w:tc>
          <w:tcPr>
            <w:tcW w:w="2854" w:type="dxa"/>
            <w:vMerge/>
            <w:tcBorders>
              <w:top w:val="nil"/>
              <w:left w:val="nil"/>
              <w:bottom w:val="double" w:sz="4" w:space="0" w:color="auto"/>
              <w:right w:val="nil"/>
            </w:tcBorders>
            <w:vAlign w:val="center"/>
            <w:hideMark/>
          </w:tcPr>
          <w:p w:rsidR="00CA546F" w:rsidRPr="000C4641" w:rsidRDefault="00CA546F" w:rsidP="0001602F">
            <w:pPr>
              <w:rPr>
                <w:color w:val="000000"/>
                <w:lang w:eastAsia="zh-CN"/>
              </w:rPr>
            </w:pPr>
          </w:p>
        </w:tc>
        <w:tc>
          <w:tcPr>
            <w:tcW w:w="2434" w:type="dxa"/>
            <w:tcBorders>
              <w:top w:val="single" w:sz="4" w:space="0" w:color="auto"/>
              <w:left w:val="nil"/>
              <w:bottom w:val="double" w:sz="4" w:space="0" w:color="auto"/>
              <w:right w:val="nil"/>
            </w:tcBorders>
            <w:shd w:val="clear" w:color="000000" w:fill="FFFFFF"/>
            <w:noWrap/>
            <w:vAlign w:val="bottom"/>
            <w:hideMark/>
          </w:tcPr>
          <w:p w:rsidR="00CA546F" w:rsidRPr="000C4641" w:rsidRDefault="00E16B7D" w:rsidP="0001602F">
            <w:pPr>
              <w:jc w:val="center"/>
              <w:rPr>
                <w:color w:val="000000"/>
                <w:lang w:eastAsia="zh-CN"/>
              </w:rPr>
            </w:pPr>
            <m:oMath>
              <m:sSubSup>
                <m:sSubSupPr>
                  <m:ctrlPr>
                    <w:rPr>
                      <w:rFonts w:ascii="Cambria Math" w:hAnsi="Cambria Math"/>
                      <w:i/>
                      <w:color w:val="000000"/>
                      <w:sz w:val="22"/>
                      <w:szCs w:val="22"/>
                      <w:lang w:eastAsia="zh-CN"/>
                    </w:rPr>
                  </m:ctrlPr>
                </m:sSubSupPr>
                <m:e>
                  <m:r>
                    <w:rPr>
                      <w:rFonts w:ascii="Cambria Math" w:hAnsi="Cambria Math"/>
                      <w:color w:val="000000"/>
                      <w:sz w:val="22"/>
                      <w:szCs w:val="22"/>
                      <w:lang w:eastAsia="zh-CN"/>
                    </w:rPr>
                    <m:t>S</m:t>
                  </m:r>
                </m:e>
                <m:sub>
                  <m:r>
                    <w:rPr>
                      <w:rFonts w:ascii="Cambria Math" w:hAnsi="Cambria Math"/>
                      <w:color w:val="000000"/>
                      <w:sz w:val="22"/>
                      <w:szCs w:val="22"/>
                      <w:lang w:eastAsia="zh-CN"/>
                    </w:rPr>
                    <m:t>t</m:t>
                  </m:r>
                </m:sub>
                <m:sup>
                  <m:r>
                    <w:rPr>
                      <w:rFonts w:ascii="Cambria Math" w:hAnsi="Cambria Math"/>
                      <w:color w:val="000000"/>
                      <w:sz w:val="22"/>
                      <w:szCs w:val="22"/>
                      <w:lang w:eastAsia="zh-CN"/>
                    </w:rPr>
                    <m:t>M</m:t>
                  </m:r>
                </m:sup>
              </m:sSubSup>
            </m:oMath>
            <w:r w:rsidR="00CA546F" w:rsidRPr="000C4641">
              <w:rPr>
                <w:color w:val="000000"/>
                <w:sz w:val="22"/>
                <w:szCs w:val="22"/>
                <w:lang w:eastAsia="zh-CN"/>
              </w:rPr>
              <w:t>=1</w:t>
            </w:r>
          </w:p>
        </w:tc>
        <w:tc>
          <w:tcPr>
            <w:tcW w:w="2106" w:type="dxa"/>
            <w:tcBorders>
              <w:top w:val="single" w:sz="4" w:space="0" w:color="auto"/>
              <w:left w:val="nil"/>
              <w:bottom w:val="double" w:sz="4" w:space="0" w:color="auto"/>
              <w:right w:val="nil"/>
            </w:tcBorders>
            <w:shd w:val="clear" w:color="000000" w:fill="FFFFFF"/>
            <w:noWrap/>
            <w:vAlign w:val="bottom"/>
            <w:hideMark/>
          </w:tcPr>
          <w:p w:rsidR="00CA546F" w:rsidRPr="000C4641" w:rsidRDefault="00E16B7D" w:rsidP="0001602F">
            <w:pPr>
              <w:jc w:val="center"/>
              <w:rPr>
                <w:color w:val="000000"/>
                <w:lang w:eastAsia="zh-CN"/>
              </w:rPr>
            </w:pPr>
            <m:oMath>
              <m:sSubSup>
                <m:sSubSupPr>
                  <m:ctrlPr>
                    <w:rPr>
                      <w:rFonts w:ascii="Cambria Math" w:hAnsi="Cambria Math"/>
                      <w:i/>
                      <w:color w:val="000000"/>
                      <w:sz w:val="22"/>
                      <w:szCs w:val="22"/>
                      <w:lang w:eastAsia="zh-CN"/>
                    </w:rPr>
                  </m:ctrlPr>
                </m:sSubSupPr>
                <m:e>
                  <m:r>
                    <w:rPr>
                      <w:rFonts w:ascii="Cambria Math" w:hAnsi="Cambria Math"/>
                      <w:color w:val="000000"/>
                      <w:sz w:val="22"/>
                      <w:szCs w:val="22"/>
                      <w:lang w:eastAsia="zh-CN"/>
                    </w:rPr>
                    <m:t>S</m:t>
                  </m:r>
                </m:e>
                <m:sub>
                  <m:r>
                    <w:rPr>
                      <w:rFonts w:ascii="Cambria Math" w:hAnsi="Cambria Math"/>
                      <w:color w:val="000000"/>
                      <w:sz w:val="22"/>
                      <w:szCs w:val="22"/>
                      <w:lang w:eastAsia="zh-CN"/>
                    </w:rPr>
                    <m:t>t</m:t>
                  </m:r>
                </m:sub>
                <m:sup>
                  <m:r>
                    <w:rPr>
                      <w:rFonts w:ascii="Cambria Math" w:hAnsi="Cambria Math"/>
                      <w:color w:val="000000"/>
                      <w:sz w:val="22"/>
                      <w:szCs w:val="22"/>
                      <w:lang w:eastAsia="zh-CN"/>
                    </w:rPr>
                    <m:t>M</m:t>
                  </m:r>
                </m:sup>
              </m:sSubSup>
            </m:oMath>
            <w:r w:rsidR="00CA546F" w:rsidRPr="000C4641">
              <w:rPr>
                <w:color w:val="000000"/>
                <w:sz w:val="22"/>
                <w:szCs w:val="22"/>
                <w:lang w:eastAsia="zh-CN"/>
              </w:rPr>
              <w:t>=2</w:t>
            </w:r>
          </w:p>
        </w:tc>
      </w:tr>
      <w:tr w:rsidR="00CA546F" w:rsidRPr="000C4641" w:rsidTr="00DE1791">
        <w:trPr>
          <w:trHeight w:val="398"/>
          <w:jc w:val="center"/>
        </w:trPr>
        <w:tc>
          <w:tcPr>
            <w:tcW w:w="2854" w:type="dxa"/>
            <w:tcBorders>
              <w:top w:val="double" w:sz="4" w:space="0" w:color="auto"/>
              <w:left w:val="nil"/>
              <w:bottom w:val="nil"/>
              <w:right w:val="nil"/>
            </w:tcBorders>
            <w:shd w:val="clear" w:color="000000" w:fill="FFFFFF"/>
            <w:noWrap/>
            <w:hideMark/>
          </w:tcPr>
          <w:p w:rsidR="00CA546F" w:rsidRPr="000C4641" w:rsidRDefault="00E16B7D" w:rsidP="0001602F">
            <w:pPr>
              <w:jc w:val="center"/>
              <w:rPr>
                <w:b/>
                <w:color w:val="000000"/>
                <w:lang w:eastAsia="zh-CN"/>
              </w:rPr>
            </w:pPr>
            <m:oMathPara>
              <m:oMath>
                <m:sSub>
                  <m:sSubPr>
                    <m:ctrlPr>
                      <w:rPr>
                        <w:rFonts w:ascii="Cambria Math" w:hAnsi="Cambria Math"/>
                        <w:b/>
                        <w:i/>
                        <w:color w:val="000000"/>
                        <w:sz w:val="22"/>
                        <w:szCs w:val="22"/>
                        <w:lang w:eastAsia="zh-CN"/>
                      </w:rPr>
                    </m:ctrlPr>
                  </m:sSubPr>
                  <m:e>
                    <m:r>
                      <m:rPr>
                        <m:sty m:val="bi"/>
                      </m:rPr>
                      <w:rPr>
                        <w:rFonts w:ascii="Cambria Math" w:hAnsi="Cambria Math"/>
                        <w:color w:val="000000"/>
                        <w:sz w:val="22"/>
                        <w:szCs w:val="22"/>
                        <w:lang w:eastAsia="zh-CN"/>
                      </w:rPr>
                      <m:t>α</m:t>
                    </m:r>
                  </m:e>
                  <m:sub>
                    <m:r>
                      <m:rPr>
                        <m:sty m:val="bi"/>
                      </m:rPr>
                      <w:rPr>
                        <w:rFonts w:ascii="Cambria Math"/>
                        <w:color w:val="000000"/>
                        <w:sz w:val="22"/>
                        <w:szCs w:val="22"/>
                        <w:lang w:eastAsia="zh-CN"/>
                      </w:rPr>
                      <m:t>0</m:t>
                    </m:r>
                  </m:sub>
                </m:sSub>
              </m:oMath>
            </m:oMathPara>
          </w:p>
        </w:tc>
        <w:tc>
          <w:tcPr>
            <w:tcW w:w="2434" w:type="dxa"/>
            <w:tcBorders>
              <w:top w:val="double" w:sz="4" w:space="0" w:color="auto"/>
              <w:left w:val="nil"/>
              <w:bottom w:val="nil"/>
              <w:right w:val="nil"/>
            </w:tcBorders>
            <w:shd w:val="clear" w:color="000000" w:fill="FFFFFF"/>
            <w:noWrap/>
            <w:vAlign w:val="bottom"/>
            <w:hideMark/>
          </w:tcPr>
          <w:p w:rsidR="00CA546F" w:rsidRPr="000C4641" w:rsidRDefault="00CA546F" w:rsidP="0001602F">
            <w:pPr>
              <w:jc w:val="center"/>
              <w:rPr>
                <w:b/>
                <w:color w:val="000000"/>
                <w:lang w:eastAsia="zh-CN"/>
              </w:rPr>
            </w:pPr>
            <w:r w:rsidRPr="000C4641">
              <w:rPr>
                <w:b/>
                <w:color w:val="000000"/>
                <w:sz w:val="22"/>
                <w:szCs w:val="22"/>
                <w:lang w:eastAsia="zh-CN"/>
              </w:rPr>
              <w:t>0,002915</w:t>
            </w:r>
          </w:p>
          <w:p w:rsidR="00CA546F" w:rsidRPr="000C4641" w:rsidRDefault="00CA546F" w:rsidP="0001602F">
            <w:pPr>
              <w:jc w:val="center"/>
              <w:rPr>
                <w:color w:val="000000"/>
                <w:lang w:eastAsia="zh-CN"/>
              </w:rPr>
            </w:pPr>
          </w:p>
        </w:tc>
        <w:tc>
          <w:tcPr>
            <w:tcW w:w="2106" w:type="dxa"/>
            <w:tcBorders>
              <w:top w:val="double" w:sz="4" w:space="0" w:color="auto"/>
              <w:left w:val="nil"/>
              <w:bottom w:val="nil"/>
              <w:right w:val="nil"/>
            </w:tcBorders>
            <w:shd w:val="clear" w:color="000000" w:fill="FFFFFF"/>
            <w:noWrap/>
            <w:vAlign w:val="bottom"/>
            <w:hideMark/>
          </w:tcPr>
          <w:p w:rsidR="00CA546F" w:rsidRPr="000C4641" w:rsidRDefault="00CA546F" w:rsidP="0001602F">
            <w:pPr>
              <w:jc w:val="center"/>
              <w:rPr>
                <w:b/>
                <w:color w:val="000000"/>
                <w:lang w:eastAsia="zh-CN"/>
              </w:rPr>
            </w:pPr>
            <w:r w:rsidRPr="000C4641">
              <w:rPr>
                <w:b/>
                <w:color w:val="000000"/>
                <w:sz w:val="22"/>
                <w:szCs w:val="22"/>
                <w:lang w:eastAsia="zh-CN"/>
              </w:rPr>
              <w:t>-0,012913</w:t>
            </w:r>
          </w:p>
          <w:p w:rsidR="00CA546F" w:rsidRPr="000C4641" w:rsidRDefault="00CA546F" w:rsidP="0001602F">
            <w:pPr>
              <w:jc w:val="center"/>
              <w:rPr>
                <w:color w:val="000000"/>
                <w:lang w:eastAsia="zh-CN"/>
              </w:rPr>
            </w:pPr>
          </w:p>
        </w:tc>
      </w:tr>
      <w:tr w:rsidR="00CA546F" w:rsidRPr="000C4641" w:rsidTr="00DE1791">
        <w:trPr>
          <w:trHeight w:val="378"/>
          <w:jc w:val="center"/>
        </w:trPr>
        <w:tc>
          <w:tcPr>
            <w:tcW w:w="2854" w:type="dxa"/>
            <w:tcBorders>
              <w:top w:val="nil"/>
              <w:left w:val="nil"/>
              <w:bottom w:val="nil"/>
              <w:right w:val="nil"/>
            </w:tcBorders>
            <w:shd w:val="clear" w:color="000000" w:fill="FFFFFF"/>
            <w:noWrap/>
            <w:hideMark/>
          </w:tcPr>
          <w:p w:rsidR="00CA546F" w:rsidRPr="000C4641" w:rsidRDefault="00E16B7D" w:rsidP="0001602F">
            <w:pPr>
              <w:jc w:val="center"/>
              <w:rPr>
                <w:b/>
                <w:color w:val="000000"/>
                <w:lang w:eastAsia="zh-CN"/>
              </w:rPr>
            </w:pPr>
            <m:oMathPara>
              <m:oMath>
                <m:sSub>
                  <m:sSubPr>
                    <m:ctrlPr>
                      <w:rPr>
                        <w:rFonts w:ascii="Cambria Math" w:hAnsi="Cambria Math"/>
                        <w:b/>
                        <w:i/>
                        <w:color w:val="000000"/>
                        <w:sz w:val="22"/>
                        <w:szCs w:val="22"/>
                        <w:lang w:eastAsia="zh-CN"/>
                      </w:rPr>
                    </m:ctrlPr>
                  </m:sSubPr>
                  <m:e>
                    <m:r>
                      <m:rPr>
                        <m:sty m:val="bi"/>
                      </m:rPr>
                      <w:rPr>
                        <w:rFonts w:ascii="Cambria Math" w:hAnsi="Cambria Math"/>
                        <w:color w:val="000000"/>
                        <w:sz w:val="22"/>
                        <w:szCs w:val="22"/>
                        <w:lang w:eastAsia="zh-CN"/>
                      </w:rPr>
                      <m:t>α</m:t>
                    </m:r>
                  </m:e>
                  <m:sub>
                    <m:r>
                      <m:rPr>
                        <m:sty m:val="bi"/>
                      </m:rPr>
                      <w:rPr>
                        <w:rFonts w:ascii="Cambria Math" w:hAnsi="Cambria Math"/>
                        <w:color w:val="000000"/>
                        <w:sz w:val="22"/>
                        <w:szCs w:val="22"/>
                        <w:lang w:eastAsia="zh-CN"/>
                      </w:rPr>
                      <m:t>π</m:t>
                    </m:r>
                  </m:sub>
                </m:sSub>
              </m:oMath>
            </m:oMathPara>
          </w:p>
        </w:tc>
        <w:tc>
          <w:tcPr>
            <w:tcW w:w="2434" w:type="dxa"/>
            <w:tcBorders>
              <w:top w:val="nil"/>
              <w:left w:val="nil"/>
              <w:bottom w:val="nil"/>
              <w:right w:val="nil"/>
            </w:tcBorders>
            <w:shd w:val="clear" w:color="000000" w:fill="FFFFFF"/>
            <w:noWrap/>
            <w:vAlign w:val="bottom"/>
            <w:hideMark/>
          </w:tcPr>
          <w:p w:rsidR="00CA546F" w:rsidRPr="000C4641" w:rsidRDefault="00CA546F" w:rsidP="0001602F">
            <w:pPr>
              <w:jc w:val="center"/>
              <w:rPr>
                <w:b/>
                <w:color w:val="000000"/>
                <w:lang w:eastAsia="zh-CN"/>
              </w:rPr>
            </w:pPr>
            <w:r w:rsidRPr="000C4641">
              <w:rPr>
                <w:b/>
                <w:color w:val="000000"/>
                <w:sz w:val="22"/>
                <w:szCs w:val="22"/>
                <w:lang w:eastAsia="zh-CN"/>
              </w:rPr>
              <w:t>3,040170</w:t>
            </w:r>
          </w:p>
          <w:p w:rsidR="00CA546F" w:rsidRPr="000C4641" w:rsidRDefault="00CA546F" w:rsidP="0001602F">
            <w:pPr>
              <w:jc w:val="center"/>
              <w:rPr>
                <w:color w:val="000000"/>
                <w:lang w:eastAsia="zh-CN"/>
              </w:rPr>
            </w:pPr>
          </w:p>
        </w:tc>
        <w:tc>
          <w:tcPr>
            <w:tcW w:w="2106" w:type="dxa"/>
            <w:tcBorders>
              <w:top w:val="nil"/>
              <w:left w:val="nil"/>
              <w:bottom w:val="nil"/>
              <w:right w:val="nil"/>
            </w:tcBorders>
            <w:shd w:val="clear" w:color="000000" w:fill="FFFFFF"/>
            <w:noWrap/>
            <w:vAlign w:val="bottom"/>
            <w:hideMark/>
          </w:tcPr>
          <w:p w:rsidR="00CA546F" w:rsidRPr="000C4641" w:rsidRDefault="00CA546F" w:rsidP="0001602F">
            <w:pPr>
              <w:jc w:val="center"/>
              <w:rPr>
                <w:b/>
                <w:color w:val="000000"/>
                <w:lang w:eastAsia="zh-CN"/>
              </w:rPr>
            </w:pPr>
            <w:r w:rsidRPr="000C4641">
              <w:rPr>
                <w:color w:val="000000"/>
                <w:sz w:val="22"/>
                <w:szCs w:val="22"/>
                <w:lang w:eastAsia="zh-CN"/>
              </w:rPr>
              <w:t> </w:t>
            </w:r>
            <w:r w:rsidRPr="000C4641">
              <w:rPr>
                <w:b/>
                <w:color w:val="000000"/>
                <w:sz w:val="22"/>
                <w:szCs w:val="22"/>
                <w:lang w:eastAsia="zh-CN"/>
              </w:rPr>
              <w:t>1,421590</w:t>
            </w:r>
          </w:p>
          <w:p w:rsidR="00CA546F" w:rsidRPr="000C4641" w:rsidRDefault="00CA546F" w:rsidP="0001602F">
            <w:pPr>
              <w:jc w:val="center"/>
              <w:rPr>
                <w:color w:val="000000"/>
                <w:lang w:eastAsia="zh-CN"/>
              </w:rPr>
            </w:pPr>
          </w:p>
        </w:tc>
      </w:tr>
      <w:tr w:rsidR="00CA546F" w:rsidRPr="000C4641" w:rsidTr="00DE1791">
        <w:trPr>
          <w:trHeight w:val="378"/>
          <w:jc w:val="center"/>
        </w:trPr>
        <w:tc>
          <w:tcPr>
            <w:tcW w:w="2854" w:type="dxa"/>
            <w:tcBorders>
              <w:top w:val="nil"/>
              <w:left w:val="nil"/>
              <w:right w:val="nil"/>
            </w:tcBorders>
            <w:shd w:val="clear" w:color="000000" w:fill="FFFFFF"/>
            <w:noWrap/>
            <w:hideMark/>
          </w:tcPr>
          <w:p w:rsidR="00CA546F" w:rsidRPr="000C4641" w:rsidRDefault="00E16B7D" w:rsidP="0001602F">
            <w:pPr>
              <w:jc w:val="center"/>
              <w:rPr>
                <w:b/>
                <w:color w:val="000000"/>
                <w:lang w:eastAsia="zh-CN"/>
              </w:rPr>
            </w:pPr>
            <m:oMathPara>
              <m:oMath>
                <m:sSub>
                  <m:sSubPr>
                    <m:ctrlPr>
                      <w:rPr>
                        <w:rFonts w:ascii="Cambria Math" w:hAnsi="Cambria Math"/>
                        <w:b/>
                        <w:i/>
                        <w:color w:val="000000"/>
                        <w:sz w:val="22"/>
                        <w:szCs w:val="22"/>
                        <w:lang w:eastAsia="zh-CN"/>
                      </w:rPr>
                    </m:ctrlPr>
                  </m:sSubPr>
                  <m:e>
                    <m:r>
                      <m:rPr>
                        <m:sty m:val="bi"/>
                      </m:rPr>
                      <w:rPr>
                        <w:rFonts w:ascii="Cambria Math" w:hAnsi="Cambria Math"/>
                        <w:color w:val="000000"/>
                        <w:sz w:val="22"/>
                        <w:szCs w:val="22"/>
                        <w:lang w:eastAsia="zh-CN"/>
                      </w:rPr>
                      <m:t>α</m:t>
                    </m:r>
                  </m:e>
                  <m:sub>
                    <m:r>
                      <m:rPr>
                        <m:sty m:val="bi"/>
                      </m:rPr>
                      <w:rPr>
                        <w:rFonts w:ascii="Cambria Math" w:hAnsi="Cambria Math"/>
                        <w:color w:val="000000"/>
                        <w:sz w:val="22"/>
                        <w:szCs w:val="22"/>
                        <w:lang w:eastAsia="zh-CN"/>
                      </w:rPr>
                      <m:t>y</m:t>
                    </m:r>
                  </m:sub>
                </m:sSub>
              </m:oMath>
            </m:oMathPara>
          </w:p>
        </w:tc>
        <w:tc>
          <w:tcPr>
            <w:tcW w:w="2434" w:type="dxa"/>
            <w:tcBorders>
              <w:top w:val="nil"/>
              <w:left w:val="nil"/>
              <w:right w:val="nil"/>
            </w:tcBorders>
            <w:shd w:val="clear" w:color="000000" w:fill="FFFFFF"/>
            <w:noWrap/>
            <w:vAlign w:val="bottom"/>
            <w:hideMark/>
          </w:tcPr>
          <w:p w:rsidR="00CA546F" w:rsidRPr="000C4641" w:rsidRDefault="00CA546F" w:rsidP="0001602F">
            <w:pPr>
              <w:jc w:val="center"/>
              <w:rPr>
                <w:b/>
                <w:lang w:eastAsia="zh-CN"/>
              </w:rPr>
            </w:pPr>
            <w:r w:rsidRPr="000C4641">
              <w:rPr>
                <w:sz w:val="22"/>
                <w:szCs w:val="22"/>
                <w:lang w:eastAsia="zh-CN"/>
              </w:rPr>
              <w:t> </w:t>
            </w:r>
            <w:r w:rsidRPr="000C4641">
              <w:rPr>
                <w:b/>
                <w:sz w:val="22"/>
                <w:szCs w:val="22"/>
                <w:lang w:eastAsia="zh-CN"/>
              </w:rPr>
              <w:t>1,639793</w:t>
            </w:r>
          </w:p>
          <w:p w:rsidR="00CA546F" w:rsidRPr="000C4641" w:rsidRDefault="00CA546F" w:rsidP="0001602F">
            <w:pPr>
              <w:jc w:val="center"/>
              <w:rPr>
                <w:lang w:eastAsia="zh-CN"/>
              </w:rPr>
            </w:pPr>
          </w:p>
        </w:tc>
        <w:tc>
          <w:tcPr>
            <w:tcW w:w="2106" w:type="dxa"/>
            <w:tcBorders>
              <w:top w:val="nil"/>
              <w:left w:val="nil"/>
              <w:right w:val="nil"/>
            </w:tcBorders>
            <w:shd w:val="clear" w:color="000000" w:fill="FFFFFF"/>
            <w:noWrap/>
            <w:vAlign w:val="bottom"/>
            <w:hideMark/>
          </w:tcPr>
          <w:p w:rsidR="00CA546F" w:rsidRPr="000C4641" w:rsidRDefault="00CA546F" w:rsidP="0001602F">
            <w:pPr>
              <w:jc w:val="center"/>
              <w:rPr>
                <w:b/>
                <w:lang w:eastAsia="zh-CN"/>
              </w:rPr>
            </w:pPr>
            <w:r w:rsidRPr="000C4641">
              <w:rPr>
                <w:b/>
                <w:sz w:val="22"/>
                <w:szCs w:val="22"/>
                <w:lang w:eastAsia="zh-CN"/>
              </w:rPr>
              <w:t> 1,978087</w:t>
            </w:r>
          </w:p>
          <w:p w:rsidR="00CA546F" w:rsidRPr="000C4641" w:rsidRDefault="00CA546F" w:rsidP="0001602F">
            <w:pPr>
              <w:jc w:val="center"/>
              <w:rPr>
                <w:lang w:eastAsia="zh-CN"/>
              </w:rPr>
            </w:pPr>
          </w:p>
        </w:tc>
      </w:tr>
      <w:tr w:rsidR="00CA546F" w:rsidRPr="000C4641" w:rsidTr="00DE1791">
        <w:trPr>
          <w:trHeight w:val="378"/>
          <w:jc w:val="center"/>
        </w:trPr>
        <w:tc>
          <w:tcPr>
            <w:tcW w:w="2854" w:type="dxa"/>
            <w:tcBorders>
              <w:top w:val="nil"/>
              <w:left w:val="nil"/>
              <w:bottom w:val="double" w:sz="6" w:space="0" w:color="auto"/>
              <w:right w:val="nil"/>
            </w:tcBorders>
            <w:shd w:val="clear" w:color="000000" w:fill="FFFFFF"/>
            <w:noWrap/>
            <w:hideMark/>
          </w:tcPr>
          <w:p w:rsidR="00CA546F" w:rsidRPr="000C4641" w:rsidRDefault="00E16B7D" w:rsidP="0001602F">
            <w:pPr>
              <w:jc w:val="center"/>
              <w:rPr>
                <w:b/>
                <w:color w:val="000000"/>
                <w:lang w:eastAsia="zh-CN"/>
              </w:rPr>
            </w:pPr>
            <m:oMathPara>
              <m:oMath>
                <m:sSubSup>
                  <m:sSubSupPr>
                    <m:ctrlPr>
                      <w:rPr>
                        <w:rFonts w:ascii="Cambria Math" w:hAnsi="Cambria Math"/>
                        <w:b/>
                        <w:i/>
                        <w:color w:val="000000"/>
                        <w:sz w:val="22"/>
                        <w:szCs w:val="22"/>
                        <w:lang w:eastAsia="zh-CN"/>
                      </w:rPr>
                    </m:ctrlPr>
                  </m:sSubSupPr>
                  <m:e>
                    <m:r>
                      <m:rPr>
                        <m:sty m:val="bi"/>
                      </m:rPr>
                      <w:rPr>
                        <w:rFonts w:ascii="Cambria Math" w:hAnsi="Cambria Math"/>
                        <w:color w:val="000000"/>
                        <w:sz w:val="22"/>
                        <w:szCs w:val="22"/>
                        <w:lang w:eastAsia="zh-CN"/>
                      </w:rPr>
                      <m:t>σ</m:t>
                    </m:r>
                  </m:e>
                  <m:sub>
                    <m:r>
                      <m:rPr>
                        <m:sty m:val="bi"/>
                      </m:rPr>
                      <w:rPr>
                        <w:rFonts w:ascii="Cambria Math" w:hAnsi="Cambria Math"/>
                        <w:color w:val="000000"/>
                        <w:sz w:val="22"/>
                        <w:szCs w:val="22"/>
                        <w:lang w:eastAsia="zh-CN"/>
                      </w:rPr>
                      <m:t>r</m:t>
                    </m:r>
                  </m:sub>
                  <m:sup>
                    <m:r>
                      <m:rPr>
                        <m:sty m:val="bi"/>
                      </m:rPr>
                      <w:rPr>
                        <w:rFonts w:ascii="Cambria Math"/>
                        <w:color w:val="000000"/>
                        <w:sz w:val="22"/>
                        <w:szCs w:val="22"/>
                        <w:lang w:eastAsia="zh-CN"/>
                      </w:rPr>
                      <m:t>2</m:t>
                    </m:r>
                  </m:sup>
                </m:sSubSup>
              </m:oMath>
            </m:oMathPara>
          </w:p>
        </w:tc>
        <w:tc>
          <w:tcPr>
            <w:tcW w:w="2434" w:type="dxa"/>
            <w:tcBorders>
              <w:top w:val="nil"/>
              <w:left w:val="nil"/>
              <w:bottom w:val="double" w:sz="6" w:space="0" w:color="auto"/>
              <w:right w:val="nil"/>
            </w:tcBorders>
            <w:shd w:val="clear" w:color="000000" w:fill="FFFFFF"/>
            <w:noWrap/>
            <w:vAlign w:val="bottom"/>
            <w:hideMark/>
          </w:tcPr>
          <w:p w:rsidR="00CA546F" w:rsidRPr="000C4641" w:rsidRDefault="00CA546F" w:rsidP="0001602F">
            <w:pPr>
              <w:jc w:val="center"/>
              <w:rPr>
                <w:b/>
                <w:lang w:eastAsia="zh-CN"/>
              </w:rPr>
            </w:pPr>
            <w:r w:rsidRPr="000C4641">
              <w:rPr>
                <w:b/>
                <w:sz w:val="22"/>
                <w:szCs w:val="22"/>
                <w:lang w:eastAsia="zh-CN"/>
              </w:rPr>
              <w:t>0,0057</w:t>
            </w:r>
          </w:p>
          <w:p w:rsidR="00CA546F" w:rsidRPr="000C4641" w:rsidRDefault="00CA546F" w:rsidP="0001602F">
            <w:pPr>
              <w:rPr>
                <w:b/>
                <w:lang w:eastAsia="zh-CN"/>
              </w:rPr>
            </w:pPr>
          </w:p>
        </w:tc>
        <w:tc>
          <w:tcPr>
            <w:tcW w:w="2106" w:type="dxa"/>
            <w:tcBorders>
              <w:top w:val="nil"/>
              <w:left w:val="nil"/>
              <w:bottom w:val="double" w:sz="6" w:space="0" w:color="auto"/>
              <w:right w:val="nil"/>
            </w:tcBorders>
            <w:shd w:val="clear" w:color="000000" w:fill="FFFFFF"/>
            <w:noWrap/>
            <w:vAlign w:val="bottom"/>
            <w:hideMark/>
          </w:tcPr>
          <w:p w:rsidR="00CA546F" w:rsidRPr="000C4641" w:rsidRDefault="00CA546F" w:rsidP="0001602F">
            <w:pPr>
              <w:jc w:val="center"/>
              <w:rPr>
                <w:b/>
                <w:lang w:eastAsia="zh-CN"/>
              </w:rPr>
            </w:pPr>
            <w:r w:rsidRPr="000C4641">
              <w:rPr>
                <w:b/>
                <w:sz w:val="22"/>
                <w:szCs w:val="22"/>
                <w:lang w:eastAsia="zh-CN"/>
              </w:rPr>
              <w:t>0,0012</w:t>
            </w:r>
          </w:p>
          <w:p w:rsidR="00CA546F" w:rsidRPr="000C4641" w:rsidRDefault="00CA546F" w:rsidP="0001602F">
            <w:pPr>
              <w:rPr>
                <w:b/>
                <w:lang w:eastAsia="zh-CN"/>
              </w:rPr>
            </w:pPr>
          </w:p>
        </w:tc>
      </w:tr>
      <w:tr w:rsidR="00CA546F" w:rsidRPr="000C4641" w:rsidTr="00DE1791">
        <w:trPr>
          <w:trHeight w:val="243"/>
          <w:jc w:val="center"/>
        </w:trPr>
        <w:tc>
          <w:tcPr>
            <w:tcW w:w="7394" w:type="dxa"/>
            <w:gridSpan w:val="3"/>
            <w:tcBorders>
              <w:top w:val="double" w:sz="6" w:space="0" w:color="auto"/>
              <w:left w:val="nil"/>
              <w:right w:val="nil"/>
            </w:tcBorders>
            <w:shd w:val="clear" w:color="000000" w:fill="FFFFFF"/>
            <w:noWrap/>
            <w:hideMark/>
          </w:tcPr>
          <w:p w:rsidR="00CA546F" w:rsidRPr="000C4641" w:rsidRDefault="00CA546F" w:rsidP="0001602F">
            <w:pPr>
              <w:rPr>
                <w:color w:val="000000"/>
                <w:lang w:eastAsia="zh-CN"/>
              </w:rPr>
            </w:pPr>
            <w:r w:rsidRPr="000C4641">
              <w:rPr>
                <w:sz w:val="22"/>
                <w:szCs w:val="22"/>
              </w:rPr>
              <w:t>Valor da Verossimilhança = -184,4986</w:t>
            </w:r>
          </w:p>
        </w:tc>
      </w:tr>
      <w:tr w:rsidR="00CA546F" w:rsidRPr="000C4641" w:rsidTr="00DE1791">
        <w:trPr>
          <w:trHeight w:val="378"/>
          <w:jc w:val="center"/>
        </w:trPr>
        <w:tc>
          <w:tcPr>
            <w:tcW w:w="7394" w:type="dxa"/>
            <w:gridSpan w:val="3"/>
            <w:tcBorders>
              <w:left w:val="nil"/>
              <w:right w:val="nil"/>
            </w:tcBorders>
            <w:shd w:val="clear" w:color="000000" w:fill="FFFFFF"/>
            <w:noWrap/>
            <w:hideMark/>
          </w:tcPr>
          <w:p w:rsidR="00CA546F" w:rsidRPr="000C4641" w:rsidRDefault="00CA546F" w:rsidP="0001602F">
            <w:pPr>
              <w:rPr>
                <w:sz w:val="18"/>
                <w:szCs w:val="18"/>
              </w:rPr>
            </w:pPr>
            <w:r w:rsidRPr="000C4641">
              <w:rPr>
                <w:sz w:val="18"/>
                <w:szCs w:val="18"/>
              </w:rPr>
              <w:t xml:space="preserve">Fonte: </w:t>
            </w:r>
            <w:r w:rsidR="006C1D1D">
              <w:rPr>
                <w:sz w:val="18"/>
                <w:szCs w:val="18"/>
              </w:rPr>
              <w:t>elaboração própria</w:t>
            </w:r>
            <w:r w:rsidRPr="000C4641">
              <w:rPr>
                <w:sz w:val="18"/>
                <w:szCs w:val="18"/>
              </w:rPr>
              <w:t>, 2012.</w:t>
            </w:r>
          </w:p>
        </w:tc>
      </w:tr>
    </w:tbl>
    <w:p w:rsidR="00CA546F" w:rsidRDefault="00CA546F" w:rsidP="00E02BDD">
      <w:pPr>
        <w:jc w:val="both"/>
      </w:pPr>
    </w:p>
    <w:p w:rsidR="00CA546F" w:rsidRDefault="00CA546F" w:rsidP="00E02BDD">
      <w:pPr>
        <w:ind w:firstLine="709"/>
        <w:jc w:val="both"/>
      </w:pPr>
      <w:r w:rsidRPr="001A69E4">
        <w:t xml:space="preserve">O Gráfico </w:t>
      </w:r>
      <w:r w:rsidR="002B610C">
        <w:t>1</w:t>
      </w:r>
      <w:r w:rsidRPr="001A69E4">
        <w:t xml:space="preserve"> de probabilidades suavizadas de estado mostra como a política monetária alternou no período analisado. </w:t>
      </w:r>
      <w:r>
        <w:t xml:space="preserve">Pode-se verificar </w:t>
      </w:r>
      <w:r w:rsidRPr="0019668F">
        <w:t>que entre o terceiro trimestre de 1999 e o terceiro trimestre do ano seguinte, a política monetária foi menos ativa. A taxa de inflação ficou dentro da faixa estabelecida pelo regime de metas. Parece razoável, portanto, que neste subperíodo o BCB estivesse menos preocupado em responder às variações na taxa de inflação e mais atento ao hiato do produto.</w:t>
      </w:r>
    </w:p>
    <w:p w:rsidR="00120783" w:rsidRDefault="00120783" w:rsidP="00E02BDD">
      <w:pPr>
        <w:ind w:firstLine="709"/>
        <w:jc w:val="both"/>
      </w:pPr>
      <w:r>
        <w:t>Apostura</w:t>
      </w:r>
      <w:r w:rsidRPr="001A69E4">
        <w:t xml:space="preserve"> do BCB passa a ser mais </w:t>
      </w:r>
      <w:r>
        <w:t>restritiva</w:t>
      </w:r>
      <w:r w:rsidRPr="001A69E4">
        <w:t xml:space="preserve"> a partir do terceiro trimestre de 2001. Há uma desvalorização cambial que somada à crise energética doméstica, leva a um aumento da taxa de inflação e, portanto, o BCB passa a atuar de forma mais ativa em relação à taxa de inflação. Este movimento segue até o final do mesmo ano quando volta a se tornar menos </w:t>
      </w:r>
      <w:r>
        <w:t>ativa</w:t>
      </w:r>
      <w:r w:rsidRPr="001A69E4">
        <w:t xml:space="preserve"> até o primeiro trimestre de 2002. Porém, as eleições presidenciais inserem novos elementos na conjuntura econômica da época. As incertezas quanto aos rumos futuros da política</w:t>
      </w:r>
      <w:r>
        <w:t xml:space="preserve"> econômica no país se elevaram. </w:t>
      </w:r>
      <w:r w:rsidRPr="001A69E4">
        <w:t>A taxa de inflação medida pelo IPCA acumulada no ano foi a maior desde 1995 e refletiu, em geral, o repasse da desvalorização cambial sobre os preços domésticos.</w:t>
      </w:r>
      <w:r>
        <w:t xml:space="preserve"> Em geral, podemos observar que </w:t>
      </w:r>
      <w:r w:rsidRPr="001A69E4">
        <w:t xml:space="preserve">o período como um todo caracterizou-se por </w:t>
      </w:r>
      <w:r>
        <w:t>estar sob um regime de política monetária mais ativo.</w:t>
      </w:r>
    </w:p>
    <w:p w:rsidR="00120783" w:rsidRDefault="00120783" w:rsidP="00E02BDD">
      <w:pPr>
        <w:ind w:firstLine="709"/>
        <w:jc w:val="both"/>
      </w:pPr>
    </w:p>
    <w:p w:rsidR="00120783" w:rsidRDefault="00120783" w:rsidP="00E02BDD">
      <w:pPr>
        <w:jc w:val="center"/>
      </w:pPr>
      <w:r>
        <w:rPr>
          <w:noProof/>
        </w:rPr>
        <w:lastRenderedPageBreak/>
        <w:drawing>
          <wp:inline distT="0" distB="0" distL="0" distR="0">
            <wp:extent cx="5542723" cy="3338449"/>
            <wp:effectExtent l="19050" t="19050" r="19877" b="14351"/>
            <wp:docPr id="327"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1"/>
                    <pic:cNvPicPr>
                      <a:picLocks noChangeAspect="1" noChangeArrowheads="1"/>
                    </pic:cNvPicPr>
                  </pic:nvPicPr>
                  <pic:blipFill>
                    <a:blip r:embed="rId22"/>
                    <a:srcRect/>
                    <a:stretch>
                      <a:fillRect/>
                    </a:stretch>
                  </pic:blipFill>
                  <pic:spPr bwMode="auto">
                    <a:xfrm>
                      <a:off x="0" y="0"/>
                      <a:ext cx="5561520" cy="3349770"/>
                    </a:xfrm>
                    <a:prstGeom prst="rect">
                      <a:avLst/>
                    </a:prstGeom>
                    <a:noFill/>
                    <a:ln w="9525" cmpd="sng">
                      <a:solidFill>
                        <a:srgbClr val="4F81BD"/>
                      </a:solidFill>
                      <a:miter lim="800000"/>
                      <a:headEnd/>
                      <a:tailEnd/>
                    </a:ln>
                    <a:effectLst/>
                  </pic:spPr>
                </pic:pic>
              </a:graphicData>
            </a:graphic>
          </wp:inline>
        </w:drawing>
      </w:r>
    </w:p>
    <w:p w:rsidR="00120783" w:rsidRDefault="00120783" w:rsidP="00E02BDD">
      <w:pPr>
        <w:ind w:left="426"/>
        <w:jc w:val="both"/>
      </w:pPr>
      <w:r w:rsidRPr="000509B9">
        <w:t xml:space="preserve">Gráfico </w:t>
      </w:r>
      <w:r w:rsidR="002B610C">
        <w:t>1</w:t>
      </w:r>
      <w:r w:rsidRPr="000509B9">
        <w:t xml:space="preserve"> – </w:t>
      </w:r>
      <w:r>
        <w:t>Probabilidades Suavizadas do Estado 1</w:t>
      </w:r>
    </w:p>
    <w:p w:rsidR="00120783" w:rsidRDefault="00120783" w:rsidP="00E02BDD">
      <w:pPr>
        <w:ind w:left="426"/>
        <w:jc w:val="both"/>
      </w:pPr>
      <w:r w:rsidRPr="003548BE">
        <w:rPr>
          <w:sz w:val="18"/>
          <w:szCs w:val="18"/>
        </w:rPr>
        <w:t xml:space="preserve">Fonte: </w:t>
      </w:r>
      <w:r w:rsidR="002B610C">
        <w:rPr>
          <w:sz w:val="18"/>
          <w:szCs w:val="18"/>
        </w:rPr>
        <w:t>elaboração própria</w:t>
      </w:r>
      <w:r w:rsidR="002B610C" w:rsidRPr="000C4641">
        <w:rPr>
          <w:sz w:val="18"/>
          <w:szCs w:val="18"/>
        </w:rPr>
        <w:t>, 2012.</w:t>
      </w:r>
    </w:p>
    <w:p w:rsidR="00120783" w:rsidRPr="001A69E4" w:rsidRDefault="00120783" w:rsidP="00E02BDD">
      <w:pPr>
        <w:ind w:firstLine="709"/>
        <w:jc w:val="both"/>
      </w:pPr>
    </w:p>
    <w:p w:rsidR="00CA546F" w:rsidRDefault="00CA546F" w:rsidP="00E02BDD">
      <w:pPr>
        <w:ind w:firstLine="709"/>
        <w:jc w:val="both"/>
      </w:pPr>
      <w:r>
        <w:t xml:space="preserve">Verifica-se que a partir de 2003 a política monetária continua se alternando entre um regime mais ativo e menos ativo, inclusive permanecendo em média sob a mesma quantidade de períodos no regime 1. </w:t>
      </w:r>
      <w:r w:rsidR="00EC5F42">
        <w:t xml:space="preserve">A </w:t>
      </w:r>
      <w:r>
        <w:t>maior presença de períodos em que a política monetária esteve sendo conduzida sob o regime 2</w:t>
      </w:r>
      <w:r w:rsidR="002B610C">
        <w:t xml:space="preserve"> </w:t>
      </w:r>
      <w:r w:rsidR="00EC5F42">
        <w:t xml:space="preserve">ocorre durante a </w:t>
      </w:r>
      <w:r>
        <w:t>crise financeira internacional de 200</w:t>
      </w:r>
      <w:r w:rsidR="00EC5F42">
        <w:t>9</w:t>
      </w:r>
      <w:r>
        <w:t xml:space="preserve"> e o começo do ano de 2010.</w:t>
      </w:r>
      <w:r w:rsidR="00EC5F42">
        <w:t xml:space="preserve"> N</w:t>
      </w:r>
      <w:r>
        <w:t xml:space="preserve">este período a política monetária foi conduzida mais sob o regime 2, </w:t>
      </w:r>
      <w:r w:rsidR="00EC5F42">
        <w:t xml:space="preserve">no qual </w:t>
      </w:r>
      <w:r>
        <w:t>a política monetária teria se preocupado menos com a taxa de inflação e mais com o hiato do produto.</w:t>
      </w:r>
    </w:p>
    <w:p w:rsidR="00CA546F" w:rsidRDefault="00CA546F" w:rsidP="00E02BDD"/>
    <w:p w:rsidR="00694342" w:rsidRPr="001A69E4" w:rsidRDefault="00694342" w:rsidP="00E02BDD">
      <w:pPr>
        <w:pStyle w:val="PargrafodaLista"/>
        <w:numPr>
          <w:ilvl w:val="1"/>
          <w:numId w:val="2"/>
        </w:numPr>
        <w:spacing w:after="0" w:line="240" w:lineRule="auto"/>
        <w:rPr>
          <w:rFonts w:ascii="Times New Roman" w:hAnsi="Times New Roman"/>
          <w:b/>
          <w:sz w:val="24"/>
          <w:szCs w:val="24"/>
        </w:rPr>
      </w:pPr>
      <w:r w:rsidRPr="001A69E4">
        <w:rPr>
          <w:rFonts w:ascii="Times New Roman" w:hAnsi="Times New Roman"/>
          <w:b/>
          <w:sz w:val="24"/>
          <w:szCs w:val="24"/>
        </w:rPr>
        <w:t>Regra de política fiscal</w:t>
      </w:r>
    </w:p>
    <w:p w:rsidR="00694342" w:rsidRDefault="00694342" w:rsidP="00E02BDD"/>
    <w:p w:rsidR="00694342" w:rsidRDefault="00EC5F42" w:rsidP="00E02BDD">
      <w:pPr>
        <w:ind w:firstLine="709"/>
        <w:jc w:val="both"/>
      </w:pPr>
      <w:r>
        <w:t xml:space="preserve">Não </w:t>
      </w:r>
      <w:r w:rsidR="00694342">
        <w:t>foi possível estimar os parâmetros da regra de política fiscal através do mesmo método empregado na estimação da regra de política monetária. Isto ocorreu porque não foi possível encontrar evidências de alternância de regime. Desta forma, optamos por um modelo Vetorial de Correção de Erros (VEC) amplamente utilizado para se obter os coeficientes da função de reação fiscal.</w:t>
      </w:r>
    </w:p>
    <w:p w:rsidR="00694342" w:rsidRPr="006A4766" w:rsidRDefault="00694342" w:rsidP="00E02BDD">
      <w:pPr>
        <w:ind w:firstLine="709"/>
        <w:jc w:val="both"/>
        <w:rPr>
          <w:sz w:val="18"/>
          <w:szCs w:val="18"/>
        </w:rPr>
      </w:pPr>
      <w:r>
        <w:t>Foram introduzidas no VEC</w:t>
      </w:r>
      <w:r w:rsidR="002B610C">
        <w:t xml:space="preserve"> </w:t>
      </w:r>
      <w:r w:rsidR="00B90A8E">
        <w:t xml:space="preserve">três </w:t>
      </w:r>
      <w:r>
        <w:t>variáveis</w:t>
      </w:r>
      <w:r w:rsidR="00B90A8E">
        <w:t xml:space="preserve"> fiscais,</w:t>
      </w:r>
      <w:r w:rsidR="0002316E">
        <w:t xml:space="preserve"> </w:t>
      </w:r>
      <w:r w:rsidR="00B90A8E">
        <w:t>todas medidas como proporções do PIB, e o log do hiato do produto (definido como produto observado dividido pelo produto potencial)</w:t>
      </w:r>
      <w:r>
        <w:t xml:space="preserve">. A receita primária líquida federal e a despesa primária federal foram disponibilizadas pelo Tesouro Nacional. </w:t>
      </w:r>
      <w:r w:rsidR="00DF1215">
        <w:t xml:space="preserve">A </w:t>
      </w:r>
      <w:r>
        <w:t>dívida líquida do governo federal</w:t>
      </w:r>
      <w:r w:rsidR="00DF1215">
        <w:t xml:space="preserve"> foi coletada do Banco Central do Brasil</w:t>
      </w:r>
      <w:r>
        <w:t>. A série do hiato do produto é a mesma utilizada na estimação da regra de política monetária</w:t>
      </w:r>
      <w:r w:rsidR="00DF1215">
        <w:t xml:space="preserve">. </w:t>
      </w:r>
      <w:r>
        <w:t xml:space="preserve">Além do teste ADF para verificar se as séries possuem ou não raiz unitária, </w:t>
      </w:r>
      <w:r w:rsidR="00133B2C" w:rsidRPr="009C724F">
        <w:t>foram também realizados os seguintes testes de resíduos</w:t>
      </w:r>
      <w:r w:rsidR="004D4372">
        <w:rPr>
          <w:rStyle w:val="Refdenotaderodap"/>
        </w:rPr>
        <w:footnoteReference w:id="13"/>
      </w:r>
      <w:r>
        <w:t xml:space="preserve">: </w:t>
      </w:r>
      <w:r w:rsidRPr="00C85616">
        <w:t>Teste Portmanteau para Autocorrelação;</w:t>
      </w:r>
      <w:r w:rsidR="0002316E">
        <w:t xml:space="preserve"> </w:t>
      </w:r>
      <w:r w:rsidRPr="00C85616">
        <w:t>Teste LM de Autocorrelação Serial;</w:t>
      </w:r>
      <w:r w:rsidR="0002316E">
        <w:t xml:space="preserve"> </w:t>
      </w:r>
      <w:r w:rsidRPr="00C85616">
        <w:t>Teste de Normalidade; e</w:t>
      </w:r>
      <w:r w:rsidR="0002316E">
        <w:t xml:space="preserve"> </w:t>
      </w:r>
      <w:r w:rsidRPr="00C85616">
        <w:t>Teste de Heterocedasticidade</w:t>
      </w:r>
      <w:r>
        <w:t>, Testes de Cointegração do Traço e de Máximo Autovalor</w:t>
      </w:r>
      <w:r w:rsidR="0002316E">
        <w:rPr>
          <w:rStyle w:val="Refdenotaderodap"/>
        </w:rPr>
        <w:footnoteReference w:id="14"/>
      </w:r>
      <w:r w:rsidRPr="00C85616">
        <w:t>.</w:t>
      </w:r>
    </w:p>
    <w:p w:rsidR="00694342" w:rsidRDefault="00694342" w:rsidP="00E02BDD">
      <w:pPr>
        <w:ind w:firstLine="709"/>
        <w:jc w:val="both"/>
      </w:pPr>
      <w:r w:rsidRPr="001A69E4">
        <w:t>Após realizarmos as devidas análises acerca dos resultados dos resíduos obtidos pela estimação da regra de política fiscal via um VEC com intervenções</w:t>
      </w:r>
      <w:r>
        <w:rPr>
          <w:rStyle w:val="Refdenotaderodap"/>
        </w:rPr>
        <w:footnoteReference w:id="15"/>
      </w:r>
      <w:r w:rsidRPr="001A69E4">
        <w:t>, cabe comentar sobre os valores e sinais das elasticidades de longo prazo obtid</w:t>
      </w:r>
      <w:r>
        <w:t>o</w:t>
      </w:r>
      <w:r w:rsidRPr="001A69E4">
        <w:t>s</w:t>
      </w:r>
      <w:r>
        <w:t xml:space="preserve"> e apresentados na Tabela </w:t>
      </w:r>
      <w:r w:rsidR="0002316E">
        <w:t>2</w:t>
      </w:r>
      <w:r w:rsidRPr="001A69E4">
        <w:t xml:space="preserve">. </w:t>
      </w:r>
      <w:r>
        <w:t>E</w:t>
      </w:r>
      <w:r w:rsidRPr="001A69E4">
        <w:t xml:space="preserve">sperava-se obter um sinal do coeficiente da dívida que fosse positivo. A hipótese é a de que a </w:t>
      </w:r>
      <w:r w:rsidR="00DF1215">
        <w:t xml:space="preserve">política fiscal tenha sido passiva </w:t>
      </w:r>
      <w:r w:rsidRPr="001A69E4">
        <w:t>em grande parte do período analisado. A autoridade fiscal</w:t>
      </w:r>
      <w:r w:rsidR="00DF1215">
        <w:t xml:space="preserve"> (governo federal)</w:t>
      </w:r>
      <w:r w:rsidRPr="001A69E4">
        <w:t xml:space="preserve"> teria se preocupa</w:t>
      </w:r>
      <w:r w:rsidR="00DF1215">
        <w:t>do</w:t>
      </w:r>
      <w:r w:rsidRPr="001A69E4">
        <w:t xml:space="preserve"> com a evolução</w:t>
      </w:r>
      <w:r>
        <w:t xml:space="preserve"> da</w:t>
      </w:r>
      <w:r w:rsidRPr="001A69E4">
        <w:t xml:space="preserve"> razão dívida/PIB ao longo do tempo. </w:t>
      </w:r>
      <w:r w:rsidR="00DF1215">
        <w:t xml:space="preserve">Ao </w:t>
      </w:r>
      <w:r>
        <w:t>observarmos</w:t>
      </w:r>
      <w:r w:rsidR="0002316E">
        <w:t xml:space="preserve"> </w:t>
      </w:r>
      <w:r>
        <w:t xml:space="preserve">o Gráfico </w:t>
      </w:r>
      <w:r w:rsidR="0002316E">
        <w:t>2</w:t>
      </w:r>
      <w:r>
        <w:t xml:space="preserve"> podemos ver que</w:t>
      </w:r>
      <w:r w:rsidRPr="001A69E4">
        <w:t xml:space="preserve"> a relação </w:t>
      </w:r>
      <w:r w:rsidRPr="001A69E4">
        <w:lastRenderedPageBreak/>
        <w:t xml:space="preserve">dívida/PIB ao longo </w:t>
      </w:r>
      <w:r>
        <w:t xml:space="preserve">do período </w:t>
      </w:r>
      <w:r w:rsidRPr="001A69E4">
        <w:t>sai de um patamar de 30% no início da amostra, chegando ao pico de 41% no terceiro trimestre de 2002 com a forte desvalorização cambial</w:t>
      </w:r>
      <w:r w:rsidR="00DF1215">
        <w:t xml:space="preserve"> (baixo nível de reservas cambiais)</w:t>
      </w:r>
      <w:r w:rsidRPr="001A69E4">
        <w:t>, passando pelo seu menor valor ao final de 2008 (25%) com a</w:t>
      </w:r>
      <w:r w:rsidR="00DF1215">
        <w:t xml:space="preserve"> desvalorização cambial (elevado nível de  reservas cambiais) provocada pela</w:t>
      </w:r>
      <w:r w:rsidRPr="001A69E4">
        <w:t xml:space="preserve"> crise financeira internacional para, então, atingir cerca de 27% nos últimos anos. </w:t>
      </w:r>
      <w:r w:rsidR="00DF1215">
        <w:t>Em boa parte deste período houve</w:t>
      </w:r>
      <w:r w:rsidR="0002316E">
        <w:t xml:space="preserve"> </w:t>
      </w:r>
      <w:r w:rsidR="00DF1215">
        <w:t>um</w:t>
      </w:r>
      <w:r w:rsidRPr="001A69E4">
        <w:t xml:space="preserve">a política </w:t>
      </w:r>
      <w:r w:rsidR="00DF1215">
        <w:t xml:space="preserve">declarada </w:t>
      </w:r>
      <w:r w:rsidRPr="001A69E4">
        <w:t>de</w:t>
      </w:r>
      <w:r>
        <w:t xml:space="preserve"> manutenção de um superávit primário positivo</w:t>
      </w:r>
      <w:r w:rsidR="00DF1215">
        <w:t>.</w:t>
      </w:r>
    </w:p>
    <w:p w:rsidR="00694342" w:rsidRDefault="00694342" w:rsidP="00E02BDD">
      <w:pPr>
        <w:ind w:firstLine="709"/>
        <w:jc w:val="both"/>
      </w:pPr>
    </w:p>
    <w:tbl>
      <w:tblPr>
        <w:tblW w:w="0" w:type="auto"/>
        <w:jc w:val="center"/>
        <w:tblInd w:w="60" w:type="dxa"/>
        <w:tblLayout w:type="fixed"/>
        <w:tblCellMar>
          <w:left w:w="30" w:type="dxa"/>
          <w:right w:w="30" w:type="dxa"/>
        </w:tblCellMar>
        <w:tblLook w:val="0000"/>
      </w:tblPr>
      <w:tblGrid>
        <w:gridCol w:w="1472"/>
        <w:gridCol w:w="1501"/>
        <w:gridCol w:w="1502"/>
        <w:gridCol w:w="1501"/>
        <w:gridCol w:w="1502"/>
      </w:tblGrid>
      <w:tr w:rsidR="00694342" w:rsidRPr="0085371D" w:rsidTr="00694342">
        <w:trPr>
          <w:trHeight w:val="272"/>
          <w:jc w:val="center"/>
        </w:trPr>
        <w:tc>
          <w:tcPr>
            <w:tcW w:w="7478" w:type="dxa"/>
            <w:gridSpan w:val="5"/>
            <w:tcBorders>
              <w:top w:val="nil"/>
              <w:left w:val="nil"/>
              <w:bottom w:val="single" w:sz="4" w:space="0" w:color="auto"/>
              <w:right w:val="nil"/>
            </w:tcBorders>
            <w:vAlign w:val="bottom"/>
          </w:tcPr>
          <w:p w:rsidR="00694342" w:rsidRPr="0085371D" w:rsidRDefault="00694342" w:rsidP="0002316E">
            <w:pPr>
              <w:autoSpaceDE w:val="0"/>
              <w:autoSpaceDN w:val="0"/>
              <w:adjustRightInd w:val="0"/>
              <w:jc w:val="center"/>
              <w:rPr>
                <w:color w:val="000000"/>
              </w:rPr>
            </w:pPr>
            <w:r w:rsidRPr="007D2096">
              <w:rPr>
                <w:color w:val="000000"/>
              </w:rPr>
              <w:t xml:space="preserve">Tabela </w:t>
            </w:r>
            <w:r w:rsidR="0002316E">
              <w:rPr>
                <w:color w:val="000000"/>
              </w:rPr>
              <w:t>2</w:t>
            </w:r>
            <w:r>
              <w:rPr>
                <w:color w:val="000000"/>
              </w:rPr>
              <w:t xml:space="preserve">: </w:t>
            </w:r>
            <w:r w:rsidRPr="007D2096">
              <w:rPr>
                <w:color w:val="000000"/>
              </w:rPr>
              <w:t>Equação de Cointegração</w:t>
            </w:r>
          </w:p>
        </w:tc>
      </w:tr>
      <w:tr w:rsidR="00694342" w:rsidRPr="0085371D" w:rsidTr="00694342">
        <w:trPr>
          <w:trHeight w:val="272"/>
          <w:jc w:val="center"/>
        </w:trPr>
        <w:tc>
          <w:tcPr>
            <w:tcW w:w="1472" w:type="dxa"/>
            <w:tcBorders>
              <w:top w:val="nil"/>
              <w:left w:val="nil"/>
              <w:bottom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RECEITAS</w:t>
            </w:r>
          </w:p>
        </w:tc>
        <w:tc>
          <w:tcPr>
            <w:tcW w:w="1501" w:type="dxa"/>
            <w:tcBorders>
              <w:top w:val="nil"/>
              <w:left w:val="nil"/>
              <w:bottom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DESPESAS</w:t>
            </w:r>
          </w:p>
        </w:tc>
        <w:tc>
          <w:tcPr>
            <w:tcW w:w="1502" w:type="dxa"/>
            <w:tcBorders>
              <w:top w:val="nil"/>
              <w:left w:val="nil"/>
              <w:bottom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DIVIDA</w:t>
            </w:r>
          </w:p>
        </w:tc>
        <w:tc>
          <w:tcPr>
            <w:tcW w:w="1501" w:type="dxa"/>
            <w:tcBorders>
              <w:top w:val="nil"/>
              <w:left w:val="nil"/>
              <w:bottom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HIATOPIB</w:t>
            </w:r>
          </w:p>
        </w:tc>
        <w:tc>
          <w:tcPr>
            <w:tcW w:w="1502" w:type="dxa"/>
            <w:tcBorders>
              <w:top w:val="nil"/>
              <w:left w:val="nil"/>
              <w:bottom w:val="nil"/>
              <w:right w:val="nil"/>
            </w:tcBorders>
            <w:vAlign w:val="bottom"/>
          </w:tcPr>
          <w:p w:rsidR="00694342" w:rsidRPr="0085371D" w:rsidRDefault="00694342" w:rsidP="00694342">
            <w:pPr>
              <w:autoSpaceDE w:val="0"/>
              <w:autoSpaceDN w:val="0"/>
              <w:adjustRightInd w:val="0"/>
              <w:jc w:val="center"/>
              <w:rPr>
                <w:color w:val="000000"/>
              </w:rPr>
            </w:pPr>
          </w:p>
        </w:tc>
      </w:tr>
      <w:tr w:rsidR="00694342" w:rsidRPr="0085371D" w:rsidTr="00694342">
        <w:trPr>
          <w:trHeight w:val="272"/>
          <w:jc w:val="center"/>
        </w:trPr>
        <w:tc>
          <w:tcPr>
            <w:tcW w:w="1472" w:type="dxa"/>
            <w:tcBorders>
              <w:top w:val="nil"/>
              <w:left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 1.000000</w:t>
            </w:r>
          </w:p>
        </w:tc>
        <w:tc>
          <w:tcPr>
            <w:tcW w:w="1501" w:type="dxa"/>
            <w:tcBorders>
              <w:top w:val="nil"/>
              <w:left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-1.327627</w:t>
            </w:r>
          </w:p>
        </w:tc>
        <w:tc>
          <w:tcPr>
            <w:tcW w:w="1502" w:type="dxa"/>
            <w:tcBorders>
              <w:top w:val="nil"/>
              <w:left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-0.326614</w:t>
            </w:r>
          </w:p>
        </w:tc>
        <w:tc>
          <w:tcPr>
            <w:tcW w:w="1501" w:type="dxa"/>
            <w:tcBorders>
              <w:top w:val="nil"/>
              <w:left w:val="nil"/>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-0.521758</w:t>
            </w:r>
          </w:p>
        </w:tc>
        <w:tc>
          <w:tcPr>
            <w:tcW w:w="1502" w:type="dxa"/>
            <w:tcBorders>
              <w:top w:val="nil"/>
              <w:left w:val="nil"/>
              <w:right w:val="nil"/>
            </w:tcBorders>
            <w:vAlign w:val="bottom"/>
          </w:tcPr>
          <w:p w:rsidR="00694342" w:rsidRPr="0085371D" w:rsidRDefault="00694342" w:rsidP="00694342">
            <w:pPr>
              <w:autoSpaceDE w:val="0"/>
              <w:autoSpaceDN w:val="0"/>
              <w:adjustRightInd w:val="0"/>
              <w:jc w:val="center"/>
              <w:rPr>
                <w:color w:val="000000"/>
              </w:rPr>
            </w:pPr>
          </w:p>
        </w:tc>
      </w:tr>
      <w:tr w:rsidR="00694342" w:rsidRPr="0085371D" w:rsidTr="00694342">
        <w:trPr>
          <w:trHeight w:val="272"/>
          <w:jc w:val="center"/>
        </w:trPr>
        <w:tc>
          <w:tcPr>
            <w:tcW w:w="1472" w:type="dxa"/>
            <w:tcBorders>
              <w:top w:val="nil"/>
              <w:left w:val="nil"/>
              <w:bottom w:val="double" w:sz="4" w:space="0" w:color="auto"/>
              <w:right w:val="nil"/>
            </w:tcBorders>
            <w:vAlign w:val="bottom"/>
          </w:tcPr>
          <w:p w:rsidR="00694342" w:rsidRPr="0085371D" w:rsidRDefault="00694342" w:rsidP="00694342">
            <w:pPr>
              <w:autoSpaceDE w:val="0"/>
              <w:autoSpaceDN w:val="0"/>
              <w:adjustRightInd w:val="0"/>
              <w:jc w:val="center"/>
              <w:rPr>
                <w:color w:val="000000"/>
              </w:rPr>
            </w:pPr>
          </w:p>
        </w:tc>
        <w:tc>
          <w:tcPr>
            <w:tcW w:w="1501" w:type="dxa"/>
            <w:tcBorders>
              <w:top w:val="nil"/>
              <w:left w:val="nil"/>
              <w:bottom w:val="double" w:sz="4" w:space="0" w:color="auto"/>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 (0.09958)</w:t>
            </w:r>
          </w:p>
        </w:tc>
        <w:tc>
          <w:tcPr>
            <w:tcW w:w="1502" w:type="dxa"/>
            <w:tcBorders>
              <w:top w:val="nil"/>
              <w:left w:val="nil"/>
              <w:bottom w:val="double" w:sz="4" w:space="0" w:color="auto"/>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 (0.05349)</w:t>
            </w:r>
          </w:p>
        </w:tc>
        <w:tc>
          <w:tcPr>
            <w:tcW w:w="1501" w:type="dxa"/>
            <w:tcBorders>
              <w:top w:val="nil"/>
              <w:left w:val="nil"/>
              <w:bottom w:val="double" w:sz="4" w:space="0" w:color="auto"/>
              <w:right w:val="nil"/>
            </w:tcBorders>
            <w:vAlign w:val="bottom"/>
          </w:tcPr>
          <w:p w:rsidR="00694342" w:rsidRPr="0085371D" w:rsidRDefault="00694342" w:rsidP="00694342">
            <w:pPr>
              <w:autoSpaceDE w:val="0"/>
              <w:autoSpaceDN w:val="0"/>
              <w:adjustRightInd w:val="0"/>
              <w:jc w:val="center"/>
              <w:rPr>
                <w:color w:val="000000"/>
              </w:rPr>
            </w:pPr>
            <w:r w:rsidRPr="0085371D">
              <w:rPr>
                <w:color w:val="000000"/>
              </w:rPr>
              <w:t> (0.08453)</w:t>
            </w:r>
          </w:p>
        </w:tc>
        <w:tc>
          <w:tcPr>
            <w:tcW w:w="1502" w:type="dxa"/>
            <w:tcBorders>
              <w:top w:val="nil"/>
              <w:left w:val="nil"/>
              <w:bottom w:val="double" w:sz="4" w:space="0" w:color="auto"/>
              <w:right w:val="nil"/>
            </w:tcBorders>
            <w:vAlign w:val="bottom"/>
          </w:tcPr>
          <w:p w:rsidR="00694342" w:rsidRPr="0085371D" w:rsidRDefault="00694342" w:rsidP="00694342">
            <w:pPr>
              <w:autoSpaceDE w:val="0"/>
              <w:autoSpaceDN w:val="0"/>
              <w:adjustRightInd w:val="0"/>
              <w:jc w:val="center"/>
              <w:rPr>
                <w:color w:val="000000"/>
              </w:rPr>
            </w:pPr>
          </w:p>
        </w:tc>
      </w:tr>
      <w:tr w:rsidR="00694342" w:rsidRPr="007D2096" w:rsidTr="00694342">
        <w:trPr>
          <w:trHeight w:val="272"/>
          <w:jc w:val="center"/>
        </w:trPr>
        <w:tc>
          <w:tcPr>
            <w:tcW w:w="2973" w:type="dxa"/>
            <w:gridSpan w:val="2"/>
            <w:tcBorders>
              <w:top w:val="double" w:sz="4" w:space="0" w:color="auto"/>
              <w:left w:val="nil"/>
              <w:right w:val="nil"/>
            </w:tcBorders>
            <w:vAlign w:val="bottom"/>
          </w:tcPr>
          <w:p w:rsidR="00694342" w:rsidRPr="0085371D" w:rsidRDefault="00694342" w:rsidP="00694342">
            <w:pPr>
              <w:autoSpaceDE w:val="0"/>
              <w:autoSpaceDN w:val="0"/>
              <w:adjustRightInd w:val="0"/>
              <w:rPr>
                <w:color w:val="000000"/>
                <w:sz w:val="18"/>
                <w:szCs w:val="18"/>
              </w:rPr>
            </w:pPr>
            <w:r w:rsidRPr="0085371D">
              <w:rPr>
                <w:color w:val="000000"/>
                <w:sz w:val="18"/>
                <w:szCs w:val="18"/>
              </w:rPr>
              <w:t xml:space="preserve">1 </w:t>
            </w:r>
            <w:r w:rsidRPr="007D2096">
              <w:rPr>
                <w:color w:val="000000"/>
                <w:sz w:val="18"/>
                <w:szCs w:val="18"/>
              </w:rPr>
              <w:t>Equação de Cointegração</w:t>
            </w:r>
            <w:r w:rsidRPr="0085371D">
              <w:rPr>
                <w:color w:val="000000"/>
                <w:sz w:val="18"/>
                <w:szCs w:val="18"/>
              </w:rPr>
              <w:t>: </w:t>
            </w:r>
          </w:p>
        </w:tc>
        <w:tc>
          <w:tcPr>
            <w:tcW w:w="1502" w:type="dxa"/>
            <w:tcBorders>
              <w:top w:val="double" w:sz="4" w:space="0" w:color="auto"/>
              <w:left w:val="nil"/>
              <w:right w:val="nil"/>
            </w:tcBorders>
            <w:vAlign w:val="bottom"/>
          </w:tcPr>
          <w:p w:rsidR="00694342" w:rsidRPr="0085371D" w:rsidRDefault="00694342" w:rsidP="00694342">
            <w:pPr>
              <w:autoSpaceDE w:val="0"/>
              <w:autoSpaceDN w:val="0"/>
              <w:adjustRightInd w:val="0"/>
              <w:jc w:val="center"/>
              <w:rPr>
                <w:color w:val="000000"/>
                <w:sz w:val="18"/>
                <w:szCs w:val="18"/>
              </w:rPr>
            </w:pPr>
            <w:r w:rsidRPr="0085371D">
              <w:rPr>
                <w:color w:val="000000"/>
                <w:sz w:val="18"/>
                <w:szCs w:val="18"/>
              </w:rPr>
              <w:t>Log likelihood</w:t>
            </w:r>
          </w:p>
        </w:tc>
        <w:tc>
          <w:tcPr>
            <w:tcW w:w="1501" w:type="dxa"/>
            <w:tcBorders>
              <w:top w:val="double" w:sz="4" w:space="0" w:color="auto"/>
              <w:left w:val="nil"/>
              <w:right w:val="nil"/>
            </w:tcBorders>
            <w:vAlign w:val="bottom"/>
          </w:tcPr>
          <w:p w:rsidR="00694342" w:rsidRPr="0085371D" w:rsidRDefault="00694342" w:rsidP="00694342">
            <w:pPr>
              <w:autoSpaceDE w:val="0"/>
              <w:autoSpaceDN w:val="0"/>
              <w:adjustRightInd w:val="0"/>
              <w:jc w:val="center"/>
              <w:rPr>
                <w:color w:val="000000"/>
                <w:sz w:val="18"/>
                <w:szCs w:val="18"/>
              </w:rPr>
            </w:pPr>
            <w:r w:rsidRPr="0085371D">
              <w:rPr>
                <w:color w:val="000000"/>
                <w:sz w:val="18"/>
                <w:szCs w:val="18"/>
              </w:rPr>
              <w:t> 814.4435</w:t>
            </w:r>
          </w:p>
        </w:tc>
        <w:tc>
          <w:tcPr>
            <w:tcW w:w="1502" w:type="dxa"/>
            <w:tcBorders>
              <w:top w:val="double" w:sz="4" w:space="0" w:color="auto"/>
              <w:left w:val="nil"/>
              <w:right w:val="nil"/>
            </w:tcBorders>
            <w:vAlign w:val="bottom"/>
          </w:tcPr>
          <w:p w:rsidR="00694342" w:rsidRPr="0085371D" w:rsidRDefault="00694342" w:rsidP="00694342">
            <w:pPr>
              <w:autoSpaceDE w:val="0"/>
              <w:autoSpaceDN w:val="0"/>
              <w:adjustRightInd w:val="0"/>
              <w:jc w:val="center"/>
              <w:rPr>
                <w:color w:val="000000"/>
                <w:sz w:val="18"/>
                <w:szCs w:val="18"/>
              </w:rPr>
            </w:pPr>
          </w:p>
        </w:tc>
      </w:tr>
      <w:tr w:rsidR="00694342" w:rsidRPr="007D2096" w:rsidTr="00694342">
        <w:trPr>
          <w:trHeight w:val="272"/>
          <w:jc w:val="center"/>
        </w:trPr>
        <w:tc>
          <w:tcPr>
            <w:tcW w:w="7478" w:type="dxa"/>
            <w:gridSpan w:val="5"/>
            <w:tcBorders>
              <w:left w:val="nil"/>
              <w:bottom w:val="single" w:sz="4" w:space="0" w:color="auto"/>
              <w:right w:val="nil"/>
            </w:tcBorders>
            <w:vAlign w:val="bottom"/>
          </w:tcPr>
          <w:p w:rsidR="00694342" w:rsidRPr="007D2096" w:rsidRDefault="00694342" w:rsidP="00694342">
            <w:pPr>
              <w:autoSpaceDE w:val="0"/>
              <w:autoSpaceDN w:val="0"/>
              <w:adjustRightInd w:val="0"/>
              <w:rPr>
                <w:color w:val="000000"/>
                <w:sz w:val="18"/>
                <w:szCs w:val="18"/>
              </w:rPr>
            </w:pPr>
            <w:r w:rsidRPr="007D2096">
              <w:rPr>
                <w:color w:val="000000"/>
                <w:sz w:val="18"/>
                <w:szCs w:val="18"/>
              </w:rPr>
              <w:t>Coeficientes de Cointegração Normalizados</w:t>
            </w:r>
            <w:r w:rsidRPr="0085371D">
              <w:rPr>
                <w:color w:val="000000"/>
                <w:sz w:val="18"/>
                <w:szCs w:val="18"/>
              </w:rPr>
              <w:t xml:space="preserve"> (</w:t>
            </w:r>
            <w:r w:rsidRPr="007D2096">
              <w:rPr>
                <w:color w:val="000000"/>
                <w:sz w:val="18"/>
                <w:szCs w:val="18"/>
              </w:rPr>
              <w:t>desvio padrão em parênteses</w:t>
            </w:r>
            <w:r w:rsidRPr="0085371D">
              <w:rPr>
                <w:color w:val="000000"/>
                <w:sz w:val="18"/>
                <w:szCs w:val="18"/>
              </w:rPr>
              <w:t>)</w:t>
            </w:r>
          </w:p>
        </w:tc>
      </w:tr>
    </w:tbl>
    <w:p w:rsidR="00694342" w:rsidRDefault="00694342" w:rsidP="00B719E8">
      <w:pPr>
        <w:spacing w:line="360" w:lineRule="auto"/>
        <w:ind w:left="1350"/>
      </w:pPr>
      <w:r w:rsidRPr="00E9460B">
        <w:rPr>
          <w:sz w:val="18"/>
          <w:szCs w:val="18"/>
        </w:rPr>
        <w:t xml:space="preserve">Fonte: </w:t>
      </w:r>
      <w:r w:rsidR="0002316E">
        <w:rPr>
          <w:sz w:val="18"/>
          <w:szCs w:val="18"/>
        </w:rPr>
        <w:t>elaboração própria</w:t>
      </w:r>
      <w:r w:rsidR="0002316E" w:rsidRPr="000C4641">
        <w:rPr>
          <w:sz w:val="18"/>
          <w:szCs w:val="18"/>
        </w:rPr>
        <w:t>, 2012.</w:t>
      </w:r>
    </w:p>
    <w:p w:rsidR="00694342" w:rsidRDefault="00694342" w:rsidP="00E02BDD">
      <w:pPr>
        <w:ind w:firstLine="709"/>
        <w:jc w:val="both"/>
      </w:pPr>
    </w:p>
    <w:p w:rsidR="00694342" w:rsidRDefault="00694342" w:rsidP="00E02BDD">
      <w:pPr>
        <w:ind w:firstLine="709"/>
        <w:jc w:val="both"/>
      </w:pPr>
    </w:p>
    <w:p w:rsidR="00694342" w:rsidRDefault="00694342" w:rsidP="00E02BDD">
      <w:pPr>
        <w:jc w:val="center"/>
      </w:pPr>
      <w:r>
        <w:rPr>
          <w:noProof/>
        </w:rPr>
        <w:drawing>
          <wp:inline distT="0" distB="0" distL="0" distR="0">
            <wp:extent cx="5305647" cy="2955851"/>
            <wp:effectExtent l="0" t="0" r="0" b="0"/>
            <wp:docPr id="7"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4342" w:rsidRDefault="00694342" w:rsidP="00B719E8">
      <w:pPr>
        <w:ind w:left="990"/>
        <w:jc w:val="both"/>
      </w:pPr>
      <w:r>
        <w:t xml:space="preserve">Gráfico </w:t>
      </w:r>
      <w:r w:rsidR="0002316E">
        <w:t>2</w:t>
      </w:r>
      <w:r>
        <w:t>: Evolução da Dívida Líquida do Governo Federal em % do PIB</w:t>
      </w:r>
    </w:p>
    <w:p w:rsidR="00694342" w:rsidRPr="004D0BB9" w:rsidRDefault="00694342" w:rsidP="00B719E8">
      <w:pPr>
        <w:ind w:left="990"/>
        <w:jc w:val="both"/>
        <w:rPr>
          <w:sz w:val="18"/>
          <w:szCs w:val="18"/>
        </w:rPr>
      </w:pPr>
      <w:r w:rsidRPr="004D0BB9">
        <w:rPr>
          <w:sz w:val="18"/>
          <w:szCs w:val="18"/>
        </w:rPr>
        <w:t xml:space="preserve">Fonte: </w:t>
      </w:r>
      <w:r w:rsidR="0002316E">
        <w:rPr>
          <w:sz w:val="18"/>
          <w:szCs w:val="18"/>
        </w:rPr>
        <w:t>elaboração própria</w:t>
      </w:r>
      <w:r w:rsidR="0002316E" w:rsidRPr="000C4641">
        <w:rPr>
          <w:sz w:val="18"/>
          <w:szCs w:val="18"/>
        </w:rPr>
        <w:t>, 2012.</w:t>
      </w:r>
    </w:p>
    <w:p w:rsidR="00694342" w:rsidRDefault="00694342" w:rsidP="00E02BDD">
      <w:pPr>
        <w:jc w:val="both"/>
      </w:pPr>
    </w:p>
    <w:p w:rsidR="00694342" w:rsidRDefault="00694342" w:rsidP="00E02BDD">
      <w:pPr>
        <w:ind w:firstLine="709"/>
        <w:jc w:val="both"/>
      </w:pPr>
      <w:r w:rsidRPr="001A69E4">
        <w:t>Já no que se refere à atuação da autoridade fiscal em relação ao nível de atividade, observa-se que o sinal positivo do hiato do produto na regra de política fiscal mostra q</w:t>
      </w:r>
      <w:r>
        <w:t xml:space="preserve">ue a política fiscal foi </w:t>
      </w:r>
      <w:r w:rsidR="003814AB">
        <w:t>anti</w:t>
      </w:r>
      <w:r w:rsidRPr="001A69E4">
        <w:t xml:space="preserve">cíclica neste período. </w:t>
      </w:r>
      <w:r>
        <w:t xml:space="preserve">Ou seja, em momentos de expansão da atividade econômica o governo deveria reduzir os seus gastos como proporção do PIB e aumentar suas receitas como proporção do PIB. Desta forma, o superávit/PIB deveria aumentar. O contrário deve ocorrer nos momentos de recessão. Em geral, foi de fato isto que aconteceu na economia brasileira em boa parte do período aqui analisado. Para se ter uma </w:t>
      </w:r>
      <w:r w:rsidR="004D4372">
        <w:t>idéia,</w:t>
      </w:r>
      <w:r>
        <w:t xml:space="preserve"> enquanto o hiato do PIB aumentava (expansão do PIB) entre o terceiro trimestre de 2007 e o terceiro trimestre do ano seguinte, configurando o período pré-crise financeira internacional, o superávit/PIB </w:t>
      </w:r>
      <w:r w:rsidR="00064689">
        <w:t xml:space="preserve">da União </w:t>
      </w:r>
      <w:r>
        <w:t>aumentava passando de 2% para 3%, entre este período. A partir do terceiro trimestre de 2008 o hiato do PIB começa a se reduzir até o mesmo trimestre do ano de 2009 e neste período de queda da atividade econômica por conta da crise financeira já deflagrada, o superávit/PIB cai</w:t>
      </w:r>
      <w:r w:rsidR="00064689">
        <w:t xml:space="preserve"> para 0,2%</w:t>
      </w:r>
      <w:r>
        <w:t>, mostrando o</w:t>
      </w:r>
      <w:r w:rsidR="00314AC8">
        <w:t xml:space="preserve"> </w:t>
      </w:r>
      <w:r>
        <w:t xml:space="preserve">esforço do governo em estimular a economia através de elevações de gastos e da </w:t>
      </w:r>
      <w:r w:rsidR="003814AB">
        <w:t xml:space="preserve">redução de </w:t>
      </w:r>
      <w:r>
        <w:t xml:space="preserve">receitas. Por fim, podemos ilustrar o período em que a economia volta a se recuperar e há elevação do hiato do PIB entre o terceiro trimestre de 2009 e o segundo trimestre de 2010. E novamente a política fiscal atua de forma </w:t>
      </w:r>
      <w:r w:rsidR="003814AB">
        <w:t>anti</w:t>
      </w:r>
      <w:r>
        <w:t>cíclica e o superávit/PIB eleva-se neste período.</w:t>
      </w:r>
    </w:p>
    <w:p w:rsidR="00694342" w:rsidRPr="001A69E4" w:rsidRDefault="00694342" w:rsidP="00E02BDD">
      <w:pPr>
        <w:ind w:firstLine="709"/>
        <w:jc w:val="both"/>
      </w:pPr>
      <w:r>
        <w:lastRenderedPageBreak/>
        <w:t xml:space="preserve">Entretanto, pelos motivos já expostos acredita-se que a análise isolada tanto da política fiscal quanto da política monetária não é suficiente para </w:t>
      </w:r>
      <w:r w:rsidR="003814AB">
        <w:t>medir os impactos destas políticas sobre a</w:t>
      </w:r>
      <w:r w:rsidR="00314AC8">
        <w:t xml:space="preserve"> </w:t>
      </w:r>
      <w:r>
        <w:t xml:space="preserve">economia. </w:t>
      </w:r>
      <w:r w:rsidR="003814AB">
        <w:t>É</w:t>
      </w:r>
      <w:r>
        <w:t xml:space="preserve"> importante novamente frisar que a interação conjunta da política monetária e fiscal é fundamental, por exemplo, para o entendimento do efeito de um estímulo fiscal na economia. E mais do que isso, ver-se-á que a existência de diferentes hipóteses acerca do tipo de regime prevalecente e da probabilidade de alternância destes regimes </w:t>
      </w:r>
      <w:r w:rsidR="003814AB">
        <w:t xml:space="preserve">das políticas monetária e fiscal </w:t>
      </w:r>
      <w:r>
        <w:t>ao longo do tempo, levam a diferentes impactos e conclusões acerca das consequências do efeito de um estímulo fiscal.</w:t>
      </w:r>
    </w:p>
    <w:p w:rsidR="00694342" w:rsidRDefault="00694342" w:rsidP="00E02BDD"/>
    <w:p w:rsidR="00694342" w:rsidRPr="00152BB8" w:rsidRDefault="00694342" w:rsidP="00E02BDD">
      <w:pPr>
        <w:pStyle w:val="PargrafodaLista"/>
        <w:numPr>
          <w:ilvl w:val="1"/>
          <w:numId w:val="3"/>
        </w:numPr>
        <w:spacing w:after="0" w:line="240" w:lineRule="auto"/>
        <w:rPr>
          <w:rFonts w:ascii="Times New Roman" w:hAnsi="Times New Roman"/>
          <w:b/>
          <w:sz w:val="24"/>
          <w:szCs w:val="24"/>
        </w:rPr>
      </w:pPr>
      <w:r>
        <w:rPr>
          <w:rFonts w:ascii="Times New Roman" w:hAnsi="Times New Roman"/>
          <w:b/>
          <w:sz w:val="24"/>
          <w:szCs w:val="24"/>
        </w:rPr>
        <w:t xml:space="preserve">Matriz de Probabilidades de Transição </w:t>
      </w:r>
      <w:r w:rsidRPr="00152BB8">
        <w:rPr>
          <w:rFonts w:ascii="Times New Roman" w:hAnsi="Times New Roman"/>
          <w:b/>
          <w:sz w:val="24"/>
          <w:szCs w:val="24"/>
        </w:rPr>
        <w:t xml:space="preserve">Conjunta </w:t>
      </w:r>
      <w:r>
        <w:rPr>
          <w:rFonts w:ascii="Times New Roman" w:hAnsi="Times New Roman"/>
          <w:b/>
          <w:sz w:val="24"/>
          <w:szCs w:val="24"/>
        </w:rPr>
        <w:t>da</w:t>
      </w:r>
      <w:r w:rsidRPr="00152BB8">
        <w:rPr>
          <w:rFonts w:ascii="Times New Roman" w:hAnsi="Times New Roman"/>
          <w:b/>
          <w:sz w:val="24"/>
          <w:szCs w:val="24"/>
        </w:rPr>
        <w:t xml:space="preserve"> Política Monetária e Fiscal</w:t>
      </w:r>
    </w:p>
    <w:p w:rsidR="00694342" w:rsidRDefault="00694342" w:rsidP="00E02BDD">
      <w:pPr>
        <w:jc w:val="both"/>
      </w:pPr>
    </w:p>
    <w:p w:rsidR="00694342" w:rsidRPr="00963E1E" w:rsidRDefault="00694342" w:rsidP="00E02BDD">
      <w:pPr>
        <w:ind w:firstLine="709"/>
        <w:jc w:val="both"/>
      </w:pPr>
      <w:r>
        <w:t xml:space="preserve">Abaixo </w:t>
      </w:r>
      <w:r w:rsidR="003814AB">
        <w:t xml:space="preserve">é apresentada </w:t>
      </w:r>
      <w:r>
        <w:t xml:space="preserve">a matriz de probabilidades de transição de cada regra de política. A matriz de </w:t>
      </w:r>
      <w:r w:rsidR="003814AB">
        <w:t xml:space="preserve">probabilidades de </w:t>
      </w:r>
      <w:r>
        <w:t>transição da política monetária foi estimada através de um modelo que permitia a alternância de regimes. No entanto, a política fiscal possui apenas um estado. Haverá então apenas duas possíveis combinações de estado das políticas monetária e fiscal</w:t>
      </w:r>
      <w:r w:rsidR="003814AB">
        <w:t xml:space="preserve"> e </w:t>
      </w:r>
      <w:r w:rsidR="008B0352">
        <w:t xml:space="preserve">a </w:t>
      </w:r>
      <w:r w:rsidR="003814AB">
        <w:t>matriz de transiç</w:t>
      </w:r>
      <w:r w:rsidR="008B0352">
        <w:t>ão é idêntica à obtida para a política monetária</w:t>
      </w:r>
      <w:r>
        <w:t>. Portanto,</w:t>
      </w:r>
    </w:p>
    <w:p w:rsidR="00694342" w:rsidRDefault="00694342" w:rsidP="00E02BDD">
      <w:pPr>
        <w:jc w:val="both"/>
      </w:pPr>
    </w:p>
    <w:p w:rsidR="00694342" w:rsidRDefault="003814AB" w:rsidP="00E02BDD">
      <w:pPr>
        <w:jc w:val="center"/>
        <w:rPr>
          <w:position w:val="-32"/>
        </w:rPr>
      </w:pPr>
      <w:r w:rsidRPr="003814AB">
        <w:rPr>
          <w:position w:val="-48"/>
        </w:rPr>
        <w:object w:dxaOrig="3240" w:dyaOrig="1100">
          <v:shape id="_x0000_i1032" type="#_x0000_t75" style="width:161.25pt;height:55.5pt" o:ole="">
            <v:imagedata r:id="rId24" o:title=""/>
          </v:shape>
          <o:OLEObject Type="Embed" ProgID="Equation.DSMT4" ShapeID="_x0000_i1032" DrawAspect="Content" ObjectID="_1436078110" r:id="rId25"/>
        </w:object>
      </w:r>
    </w:p>
    <w:p w:rsidR="00314AC8" w:rsidRDefault="008B0352" w:rsidP="00E02BDD">
      <w:pPr>
        <w:jc w:val="center"/>
      </w:pPr>
      <w:r w:rsidRPr="00D5285D">
        <w:t>P=[p</w:t>
      </w:r>
      <w:r w:rsidRPr="00D5285D">
        <w:rPr>
          <w:vertAlign w:val="subscript"/>
        </w:rPr>
        <w:t>ij</w:t>
      </w:r>
      <w:r w:rsidRPr="00D5285D">
        <w:t xml:space="preserve">],           </w:t>
      </w:r>
      <w:r w:rsidRPr="00D5285D">
        <w:rPr>
          <w:position w:val="-14"/>
        </w:rPr>
        <w:object w:dxaOrig="2240" w:dyaOrig="380">
          <v:shape id="_x0000_i1033" type="#_x0000_t75" style="width:111.75pt;height:18.75pt" o:ole="">
            <v:imagedata r:id="rId12" o:title=""/>
          </v:shape>
          <o:OLEObject Type="Embed" ProgID="Equation.3" ShapeID="_x0000_i1033" DrawAspect="Content" ObjectID="_1436078111" r:id="rId26"/>
        </w:object>
      </w:r>
      <w:r w:rsidRPr="00D5285D">
        <w:t xml:space="preserve">, </w:t>
      </w:r>
      <w:r w:rsidRPr="00D5285D">
        <w:rPr>
          <w:position w:val="-10"/>
        </w:rPr>
        <w:object w:dxaOrig="859" w:dyaOrig="320">
          <v:shape id="_x0000_i1034" type="#_x0000_t75" style="width:42pt;height:15.75pt" o:ole="">
            <v:imagedata r:id="rId14" o:title=""/>
          </v:shape>
          <o:OLEObject Type="Embed" ProgID="Equation.3" ShapeID="_x0000_i1034" DrawAspect="Content" ObjectID="_1436078112" r:id="rId27"/>
        </w:object>
      </w:r>
      <w:r w:rsidRPr="00D5285D">
        <w:t xml:space="preserve">.                    </w:t>
      </w:r>
    </w:p>
    <w:p w:rsidR="00694342" w:rsidRDefault="008B0352" w:rsidP="00E02BDD">
      <w:pPr>
        <w:jc w:val="center"/>
      </w:pPr>
      <w:r w:rsidRPr="00D5285D">
        <w:t xml:space="preserve">  </w:t>
      </w:r>
    </w:p>
    <w:p w:rsidR="00694342" w:rsidRDefault="00694342" w:rsidP="00E02BDD">
      <w:pPr>
        <w:ind w:firstLine="709"/>
        <w:jc w:val="both"/>
      </w:pPr>
      <w:r>
        <w:t>É importante lembrar que poderíamos analisar as respostas das variáveis do modelo aos choques nas políticas monetária e fiscal. No entanto</w:t>
      </w:r>
      <w:r w:rsidR="00314AC8">
        <w:t>,</w:t>
      </w:r>
      <w:r>
        <w:t xml:space="preserve"> este não é o foco deste artigo. Desta forma, o único choque considerado é o choque de gastos do governo. </w:t>
      </w:r>
    </w:p>
    <w:p w:rsidR="00694342" w:rsidRDefault="00694342" w:rsidP="00E02BDD"/>
    <w:p w:rsidR="00694342" w:rsidRPr="00A265F1" w:rsidRDefault="00694342" w:rsidP="00E02BDD">
      <w:pPr>
        <w:pStyle w:val="PargrafodaLista"/>
        <w:numPr>
          <w:ilvl w:val="0"/>
          <w:numId w:val="2"/>
        </w:numPr>
        <w:spacing w:after="0" w:line="240" w:lineRule="auto"/>
        <w:rPr>
          <w:rFonts w:ascii="Times New Roman" w:hAnsi="Times New Roman"/>
          <w:b/>
          <w:sz w:val="24"/>
          <w:szCs w:val="24"/>
        </w:rPr>
      </w:pPr>
      <w:r>
        <w:rPr>
          <w:rFonts w:ascii="Times New Roman" w:hAnsi="Times New Roman"/>
          <w:b/>
          <w:sz w:val="24"/>
          <w:szCs w:val="24"/>
        </w:rPr>
        <w:t>O Modelo</w:t>
      </w:r>
    </w:p>
    <w:p w:rsidR="00694342" w:rsidRDefault="00694342" w:rsidP="00E02BDD">
      <w:pPr>
        <w:jc w:val="both"/>
      </w:pPr>
    </w:p>
    <w:p w:rsidR="00694342" w:rsidRPr="00BA3943" w:rsidRDefault="00694342" w:rsidP="00E02BDD">
      <w:pPr>
        <w:ind w:firstLine="709"/>
        <w:jc w:val="both"/>
      </w:pPr>
      <w:r w:rsidRPr="00BA3943">
        <w:t>Nas últimas décadas tem crescido o interesse de grande parte das autoridades monetárias e de formuladores de política econômica ao redor do mundo pela utilização da estrutura básica dos modelos de Equilíbrio Geral Estocástico Dinâmico (</w:t>
      </w:r>
      <w:r>
        <w:t>DSGE) Novo Keynesiano. Isto ocorre</w:t>
      </w:r>
      <w:r w:rsidRPr="00BA3943">
        <w:t xml:space="preserve"> pela possibilidade de se analisar o impacto de alterações na</w:t>
      </w:r>
      <w:r w:rsidR="008B0352">
        <w:t>s</w:t>
      </w:r>
      <w:r w:rsidRPr="00BA3943">
        <w:t xml:space="preserve"> política</w:t>
      </w:r>
      <w:r w:rsidR="008B0352">
        <w:t>s</w:t>
      </w:r>
      <w:r w:rsidRPr="00BA3943">
        <w:t xml:space="preserve"> monetária</w:t>
      </w:r>
      <w:r w:rsidR="008B0352">
        <w:t xml:space="preserve"> e fiscal</w:t>
      </w:r>
      <w:r w:rsidRPr="00BA3943">
        <w:t xml:space="preserve"> sobre a atividade real</w:t>
      </w:r>
      <w:r>
        <w:t>.</w:t>
      </w:r>
      <w:r w:rsidR="00314AC8">
        <w:t xml:space="preserve"> </w:t>
      </w:r>
      <w:r>
        <w:t>A</w:t>
      </w:r>
      <w:r w:rsidRPr="00BA3943">
        <w:t xml:space="preserve"> escolha </w:t>
      </w:r>
      <w:r>
        <w:t>de um DSGE</w:t>
      </w:r>
      <w:r w:rsidRPr="00BA3943">
        <w:t xml:space="preserve"> Novo Keynesian</w:t>
      </w:r>
      <w:r>
        <w:t>o</w:t>
      </w:r>
      <w:r w:rsidRPr="00BA3943">
        <w:t xml:space="preserve"> neste trabalho se justifica p</w:t>
      </w:r>
      <w:r w:rsidR="008B0352">
        <w:t>ara</w:t>
      </w:r>
      <w:r w:rsidRPr="00BA3943">
        <w:t xml:space="preserve"> permitir a introdução de diversas imperfeições existentes na economia brasileira e p</w:t>
      </w:r>
      <w:r w:rsidR="008B0352">
        <w:t>ara</w:t>
      </w:r>
      <w:r w:rsidRPr="00BA3943">
        <w:t xml:space="preserve"> atender ao principal objetivo deste trabalho que é </w:t>
      </w:r>
      <w:r>
        <w:t xml:space="preserve">o de estimar </w:t>
      </w:r>
      <w:r w:rsidRPr="00BA3943">
        <w:t>as consequências de um choque fiscal sobre a trajetória de diversas variáveis econômicas num ambiente onde há interação entre os regimes d</w:t>
      </w:r>
      <w:r>
        <w:t>as</w:t>
      </w:r>
      <w:r w:rsidRPr="00BA3943">
        <w:t xml:space="preserve"> política</w:t>
      </w:r>
      <w:r>
        <w:t>s</w:t>
      </w:r>
      <w:r w:rsidRPr="00BA3943">
        <w:t xml:space="preserve"> monetária e fiscal.</w:t>
      </w:r>
    </w:p>
    <w:p w:rsidR="00694342" w:rsidRDefault="00694342" w:rsidP="00E02BDD"/>
    <w:p w:rsidR="00694342" w:rsidRPr="002807C8" w:rsidRDefault="00694342" w:rsidP="00E02BDD">
      <w:pPr>
        <w:pStyle w:val="PargrafodaLista"/>
        <w:numPr>
          <w:ilvl w:val="1"/>
          <w:numId w:val="5"/>
        </w:numPr>
        <w:spacing w:after="0" w:line="240" w:lineRule="auto"/>
        <w:jc w:val="both"/>
        <w:rPr>
          <w:rFonts w:ascii="Times New Roman" w:hAnsi="Times New Roman"/>
          <w:b/>
          <w:sz w:val="24"/>
          <w:szCs w:val="24"/>
        </w:rPr>
      </w:pPr>
      <w:r w:rsidRPr="002807C8">
        <w:rPr>
          <w:rFonts w:ascii="Times New Roman" w:hAnsi="Times New Roman"/>
          <w:b/>
          <w:sz w:val="24"/>
          <w:szCs w:val="24"/>
        </w:rPr>
        <w:t>Metodologia</w:t>
      </w:r>
      <w:r>
        <w:rPr>
          <w:rStyle w:val="Refdenotaderodap"/>
          <w:rFonts w:ascii="Times New Roman" w:hAnsi="Times New Roman"/>
          <w:b/>
          <w:sz w:val="24"/>
          <w:szCs w:val="24"/>
        </w:rPr>
        <w:footnoteReference w:id="16"/>
      </w:r>
    </w:p>
    <w:p w:rsidR="00694342" w:rsidRDefault="00694342" w:rsidP="00E02BDD">
      <w:pPr>
        <w:jc w:val="both"/>
      </w:pPr>
    </w:p>
    <w:p w:rsidR="00694342" w:rsidRPr="00A265F1" w:rsidRDefault="00694342" w:rsidP="00E02BDD">
      <w:pPr>
        <w:ind w:firstLine="709"/>
        <w:jc w:val="both"/>
      </w:pPr>
      <w:r w:rsidRPr="00A265F1">
        <w:t>Conforme já exposto anteriormente será utilizado um modelo Novo Keynesiano convencional com capital fixo e oferta de</w:t>
      </w:r>
      <w:r>
        <w:t xml:space="preserve"> trabalho elástica. Além disso, </w:t>
      </w:r>
      <w:r w:rsidRPr="00A265F1">
        <w:t>ser</w:t>
      </w:r>
      <w:r>
        <w:t>á introduzida</w:t>
      </w:r>
      <w:r w:rsidRPr="00A265F1">
        <w:t xml:space="preserve"> rigidez nominal de preços</w:t>
      </w:r>
      <w:r>
        <w:t xml:space="preserve"> de</w:t>
      </w:r>
      <w:r w:rsidRPr="007D41D7">
        <w:rPr>
          <w:i/>
        </w:rPr>
        <w:t xml:space="preserve"> Calvo</w:t>
      </w:r>
      <w:r w:rsidRPr="00A265F1">
        <w:t xml:space="preserve"> (1983). As firmas produtoras de bens finais de</w:t>
      </w:r>
      <w:r>
        <w:t xml:space="preserve">finirão seus preços em um mercado em concorrência monopolística. </w:t>
      </w:r>
      <w:r w:rsidRPr="00A265F1">
        <w:t xml:space="preserve">Os gastos não produtivos do governo serão financiados através de uma combinação de receitas de senhoriagem, impostos do tipo </w:t>
      </w:r>
      <w:r w:rsidRPr="007D41D7">
        <w:rPr>
          <w:i/>
        </w:rPr>
        <w:t>lump-sum</w:t>
      </w:r>
      <w:r w:rsidRPr="00A265F1">
        <w:t xml:space="preserve"> e emissão de títulos nominais do governo.</w:t>
      </w:r>
    </w:p>
    <w:p w:rsidR="00694342" w:rsidRPr="00A265F1" w:rsidRDefault="00694342" w:rsidP="00E02BDD">
      <w:pPr>
        <w:jc w:val="both"/>
      </w:pPr>
    </w:p>
    <w:p w:rsidR="00694342" w:rsidRPr="00A265F1" w:rsidRDefault="00694342" w:rsidP="00E02BDD">
      <w:pPr>
        <w:pStyle w:val="PargrafodaLista"/>
        <w:numPr>
          <w:ilvl w:val="0"/>
          <w:numId w:val="4"/>
        </w:numPr>
        <w:spacing w:after="0" w:line="240" w:lineRule="auto"/>
        <w:jc w:val="both"/>
        <w:rPr>
          <w:rFonts w:ascii="Times New Roman" w:hAnsi="Times New Roman"/>
          <w:sz w:val="24"/>
          <w:szCs w:val="24"/>
        </w:rPr>
      </w:pPr>
      <w:r w:rsidRPr="00A265F1">
        <w:rPr>
          <w:rFonts w:ascii="Times New Roman" w:hAnsi="Times New Roman"/>
          <w:sz w:val="24"/>
          <w:szCs w:val="24"/>
        </w:rPr>
        <w:t>Famílias</w:t>
      </w:r>
    </w:p>
    <w:p w:rsidR="00694342" w:rsidRPr="00A265F1" w:rsidRDefault="00694342" w:rsidP="00E02BDD">
      <w:pPr>
        <w:pStyle w:val="PargrafodaLista"/>
        <w:spacing w:after="0" w:line="240" w:lineRule="auto"/>
        <w:jc w:val="both"/>
        <w:rPr>
          <w:rFonts w:ascii="Times New Roman" w:hAnsi="Times New Roman"/>
          <w:sz w:val="24"/>
          <w:szCs w:val="24"/>
        </w:rPr>
      </w:pPr>
    </w:p>
    <w:p w:rsidR="00694342" w:rsidRDefault="00694342" w:rsidP="00E02BDD">
      <w:pPr>
        <w:ind w:firstLine="709"/>
        <w:jc w:val="both"/>
      </w:pPr>
      <w:r w:rsidRPr="00A265F1">
        <w:t xml:space="preserve">Na função utilidade,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A265F1">
        <w:t xml:space="preserve"> é </w:t>
      </w:r>
      <w:r>
        <w:t>o valor agregado</w:t>
      </w:r>
      <w:r w:rsidRPr="00A265F1">
        <w:t xml:space="preserve"> de bens de consumo diferenciados,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A265F1">
        <w:t xml:space="preserve"> é a quantidade total de horas trabalhadas,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oMath>
      <w:r w:rsidRPr="00A265F1">
        <w:t xml:space="preserve"> é o estoque de moeda real. Além disso, </w:t>
      </w:r>
      <m:oMath>
        <m:r>
          <w:rPr>
            <w:rFonts w:ascii="Cambria Math" w:hAnsi="Cambria Math"/>
          </w:rPr>
          <m:t>σ</m:t>
        </m:r>
        <m:r>
          <w:rPr>
            <w:rFonts w:ascii="Cambria Math"/>
          </w:rPr>
          <m:t xml:space="preserve">, </m:t>
        </m:r>
        <m:r>
          <w:rPr>
            <w:rFonts w:ascii="Cambria Math" w:hAnsi="Cambria Math"/>
          </w:rPr>
          <m:t>η</m:t>
        </m:r>
        <m:r>
          <w:rPr>
            <w:rFonts w:ascii="Cambria Math"/>
          </w:rPr>
          <m:t xml:space="preserve">, </m:t>
        </m:r>
        <m:r>
          <w:rPr>
            <w:rFonts w:ascii="Cambria Math" w:hAnsi="Cambria Math"/>
          </w:rPr>
          <m:t>κ</m:t>
        </m:r>
      </m:oMath>
      <w:r w:rsidRPr="00A265F1">
        <w:t xml:space="preserve"> são parâmetros estruturais positivos que representam, respectivamente, elasticidade de substituição do consumo, </w:t>
      </w:r>
      <w:r w:rsidRPr="00A265F1">
        <w:lastRenderedPageBreak/>
        <w:t xml:space="preserve">elasticidade da oferta de trabalho e elasticidade </w:t>
      </w:r>
      <w:r w:rsidRPr="007D41D7">
        <w:t>juros da demanda real por moeda. A velocidade da base monetária é representada por</w:t>
      </w:r>
      <m:oMath>
        <m:r>
          <w:rPr>
            <w:rFonts w:ascii="Cambria Math" w:hAnsi="Cambria Math"/>
          </w:rPr>
          <m:t xml:space="preserve"> δ</m:t>
        </m:r>
      </m:oMath>
      <w:r w:rsidRPr="007D41D7">
        <w:t xml:space="preserve"> e </w:t>
      </w:r>
      <m:oMath>
        <m:r>
          <w:rPr>
            <w:rFonts w:ascii="Cambria Math" w:hAnsi="Cambria Math"/>
          </w:rPr>
          <m:t>χ</m:t>
        </m:r>
      </m:oMath>
      <w:r w:rsidR="00314AC8">
        <w:t xml:space="preserve"> </w:t>
      </w:r>
      <w:r>
        <w:t>é</w:t>
      </w:r>
      <w:r w:rsidRPr="007D41D7">
        <w:t xml:space="preserve"> a parcela de tempo</w:t>
      </w:r>
      <w:r>
        <w:t xml:space="preserve"> gasto</w:t>
      </w:r>
      <w:r w:rsidRPr="007D41D7">
        <w:t xml:space="preserve"> trabalhando.</w:t>
      </w:r>
      <w:r w:rsidR="00314AC8">
        <w:t xml:space="preserve"> </w:t>
      </w:r>
      <w:r>
        <w:t>O parâmetro</w:t>
      </w:r>
      <w:r w:rsidR="00314AC8">
        <w:t xml:space="preserve"> </w:t>
      </w:r>
      <m:oMath>
        <m:r>
          <w:rPr>
            <w:rFonts w:ascii="Cambria Math" w:hAnsi="Cambria Math"/>
          </w:rPr>
          <m:t>β ϵ</m:t>
        </m:r>
        <m:r>
          <w:rPr>
            <w:rFonts w:ascii="Cambria Math"/>
          </w:rPr>
          <m:t xml:space="preserve"> (0,1)</m:t>
        </m:r>
      </m:oMath>
      <w:r w:rsidRPr="00A265F1">
        <w:t xml:space="preserve"> é um fator de desconto. A família representativa escolhe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Pr="00A265F1">
        <w:t xml:space="preserve"> para maximizar a seguinte função utilidade</w:t>
      </w:r>
    </w:p>
    <w:p w:rsidR="00694342" w:rsidRPr="00A265F1" w:rsidRDefault="00694342" w:rsidP="00E02BDD">
      <w:pPr>
        <w:ind w:firstLine="709"/>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nary>
            <m:naryPr>
              <m:chr m:val="∑"/>
              <m:limLoc m:val="undOvr"/>
              <m:ctrlPr>
                <w:rPr>
                  <w:rFonts w:ascii="Cambria Math" w:hAnsi="Cambria Math"/>
                  <w:i/>
                </w:rPr>
              </m:ctrlPr>
            </m:naryPr>
            <m:sub>
              <m:r>
                <w:rPr>
                  <w:rFonts w:ascii="Cambria Math" w:hAnsi="Cambria Math"/>
                </w:rPr>
                <m:t>i</m:t>
              </m:r>
              <m:r>
                <w:rPr>
                  <w:rFonts w:ascii="Cambria Math"/>
                </w:rPr>
                <m:t>=0</m:t>
              </m:r>
            </m:sub>
            <m:sup>
              <m:r>
                <w:rPr>
                  <w:rFonts w:ascii="Cambria Math"/>
                </w:rPr>
                <m:t>∞</m:t>
              </m:r>
            </m:sup>
            <m:e>
              <m:sSup>
                <m:sSupPr>
                  <m:ctrlPr>
                    <w:rPr>
                      <w:rFonts w:ascii="Cambria Math" w:hAnsi="Cambria Math"/>
                      <w:i/>
                    </w:rPr>
                  </m:ctrlPr>
                </m:sSupPr>
                <m:e>
                  <m:r>
                    <w:rPr>
                      <w:rFonts w:ascii="Cambria Math" w:hAnsi="Cambria Math"/>
                    </w:rPr>
                    <m:t>β</m:t>
                  </m:r>
                </m:e>
                <m:sup>
                  <m:r>
                    <w:rPr>
                      <w:rFonts w:ascii="Cambria Math" w:hAnsi="Cambria Math"/>
                    </w:rPr>
                    <m:t>i</m:t>
                  </m:r>
                </m:sup>
              </m:s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r>
                            <w:rPr>
                              <w:rFonts w:ascii="Cambria Math"/>
                            </w:rPr>
                            <m:t>+</m:t>
                          </m:r>
                          <m:r>
                            <w:rPr>
                              <w:rFonts w:ascii="Cambria Math" w:hAnsi="Cambria Math"/>
                            </w:rPr>
                            <m:t>i</m:t>
                          </m:r>
                        </m:sub>
                        <m:sup>
                          <m:r>
                            <w:rPr>
                              <w:rFonts w:ascii="Cambria Math"/>
                            </w:rPr>
                            <m:t>1</m:t>
                          </m:r>
                          <m:r>
                            <w:rPr>
                              <w:rFonts w:ascii="Cambria Math"/>
                            </w:rPr>
                            <m:t>-</m:t>
                          </m:r>
                          <m:r>
                            <w:rPr>
                              <w:rFonts w:ascii="Cambria Math" w:hAnsi="Cambria Math"/>
                            </w:rPr>
                            <m:t>σ</m:t>
                          </m:r>
                        </m:sup>
                      </m:sSubSup>
                    </m:num>
                    <m:den>
                      <m:r>
                        <w:rPr>
                          <w:rFonts w:ascii="Cambria Math"/>
                        </w:rPr>
                        <m:t>1</m:t>
                      </m:r>
                      <m:r>
                        <w:rPr>
                          <w:rFonts w:ascii="Cambria Math"/>
                        </w:rPr>
                        <m:t>-</m:t>
                      </m:r>
                      <m:r>
                        <w:rPr>
                          <w:rFonts w:ascii="Cambria Math" w:hAnsi="Cambria Math"/>
                        </w:rPr>
                        <m:t>σ</m:t>
                      </m:r>
                    </m:den>
                  </m:f>
                  <m:r>
                    <w:rPr>
                      <w:rFonts w:ascii="Cambria Math" w:hAnsi="Cambria Math"/>
                    </w:rPr>
                    <m:t>-χ</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t</m:t>
                          </m:r>
                          <m:r>
                            <w:rPr>
                              <w:rFonts w:ascii="Cambria Math"/>
                            </w:rPr>
                            <m:t>+</m:t>
                          </m:r>
                          <m:r>
                            <w:rPr>
                              <w:rFonts w:ascii="Cambria Math" w:hAnsi="Cambria Math"/>
                            </w:rPr>
                            <m:t>i</m:t>
                          </m:r>
                        </m:sub>
                        <m:sup>
                          <m:r>
                            <w:rPr>
                              <w:rFonts w:ascii="Cambria Math"/>
                            </w:rPr>
                            <m:t>1+</m:t>
                          </m:r>
                          <m:r>
                            <w:rPr>
                              <w:rFonts w:ascii="Cambria Math" w:hAnsi="Cambria Math"/>
                            </w:rPr>
                            <m:t>η</m:t>
                          </m:r>
                        </m:sup>
                      </m:sSubSup>
                    </m:num>
                    <m:den>
                      <m:r>
                        <w:rPr>
                          <w:rFonts w:ascii="Cambria Math"/>
                        </w:rPr>
                        <m:t>1+</m:t>
                      </m:r>
                      <m:r>
                        <w:rPr>
                          <w:rFonts w:ascii="Cambria Math" w:hAnsi="Cambria Math"/>
                        </w:rPr>
                        <m:t>η</m:t>
                      </m:r>
                    </m:den>
                  </m:f>
                  <m:r>
                    <w:rPr>
                      <w:rFonts w:ascii="Cambria Math"/>
                    </w:rPr>
                    <m:t xml:space="preserve">+ </m:t>
                  </m:r>
                  <m:r>
                    <w:rPr>
                      <w:rFonts w:ascii="Cambria Math" w:hAnsi="Cambria Math"/>
                    </w:rPr>
                    <m:t>δ</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rPr>
                                        <m:t>+</m:t>
                                      </m:r>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rPr>
                                        <m:t>+</m:t>
                                      </m:r>
                                      <m:r>
                                        <w:rPr>
                                          <w:rFonts w:ascii="Cambria Math" w:hAnsi="Cambria Math"/>
                                        </w:rPr>
                                        <m:t>i</m:t>
                                      </m:r>
                                    </m:sub>
                                  </m:sSub>
                                </m:den>
                              </m:f>
                            </m:e>
                          </m:d>
                        </m:e>
                        <m:sup>
                          <m:r>
                            <w:rPr>
                              <w:rFonts w:ascii="Cambria Math"/>
                            </w:rPr>
                            <m:t>1</m:t>
                          </m:r>
                          <m:r>
                            <w:rPr>
                              <w:rFonts w:ascii="Cambria Math"/>
                            </w:rPr>
                            <m:t>-</m:t>
                          </m:r>
                          <m:r>
                            <w:rPr>
                              <w:rFonts w:ascii="Cambria Math" w:hAnsi="Cambria Math"/>
                            </w:rPr>
                            <m:t>κ</m:t>
                          </m:r>
                        </m:sup>
                      </m:sSup>
                    </m:num>
                    <m:den>
                      <m:r>
                        <w:rPr>
                          <w:rFonts w:ascii="Cambria Math"/>
                        </w:rPr>
                        <m:t>1</m:t>
                      </m:r>
                      <m:r>
                        <w:rPr>
                          <w:rFonts w:ascii="Cambria Math"/>
                        </w:rPr>
                        <m:t>-</m:t>
                      </m:r>
                      <m:r>
                        <w:rPr>
                          <w:rFonts w:ascii="Cambria Math" w:hAnsi="Cambria Math"/>
                        </w:rPr>
                        <m:t>κ</m:t>
                      </m:r>
                    </m:den>
                  </m:f>
                </m:e>
              </m:d>
            </m:e>
          </m:nary>
          <m:r>
            <w:rPr>
              <w:rFonts w:ascii="Cambria Math"/>
            </w:rPr>
            <m:t xml:space="preserve">                                                                                        (3)</m:t>
          </m:r>
        </m:oMath>
      </m:oMathPara>
    </w:p>
    <w:p w:rsidR="00694342" w:rsidRPr="00A265F1" w:rsidRDefault="00694342" w:rsidP="00E02BDD"/>
    <w:p w:rsidR="00694342" w:rsidRDefault="00694342" w:rsidP="00E02BDD">
      <w:pPr>
        <w:ind w:firstLine="709"/>
        <w:jc w:val="both"/>
      </w:pPr>
      <w:r w:rsidRPr="00A265F1">
        <w:t>Sujeita a seguinte restrição orçamentária de recursos</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m:t>
          </m:r>
          <m:f>
            <m:fPr>
              <m:ctrlPr>
                <w:rPr>
                  <w:rFonts w:ascii="Cambria Math" w:hAnsi="Cambria Math"/>
                  <w:i/>
                </w:rPr>
              </m:ctrlPr>
            </m:fPr>
            <m:num>
              <m:d>
                <m:dPr>
                  <m:ctrlPr>
                    <w:rPr>
                      <w:rFonts w:ascii="Cambria Math" w:hAnsi="Cambria Math"/>
                      <w:i/>
                    </w:rPr>
                  </m:ctrlPr>
                </m:dPr>
                <m:e>
                  <m:r>
                    <w:rPr>
                      <w:rFonts w:ascii="Cambria Math"/>
                    </w:rPr>
                    <m:t>1+</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rPr>
                        <m:t>1</m:t>
                      </m:r>
                    </m:sub>
                  </m:sSub>
                </m:e>
              </m:d>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rPr>
            <m:t xml:space="preserve">                                                                 (4)</m:t>
          </m:r>
        </m:oMath>
      </m:oMathPara>
    </w:p>
    <w:p w:rsidR="00694342" w:rsidRPr="00A265F1" w:rsidRDefault="00694342" w:rsidP="00E02BDD"/>
    <w:p w:rsidR="00694342" w:rsidRDefault="00694342" w:rsidP="00E02BDD">
      <w:pPr>
        <w:ind w:firstLine="709"/>
        <w:jc w:val="both"/>
      </w:pPr>
      <w:r w:rsidRPr="00A265F1">
        <w:t>Cabe destacar que a agregação dos bens de consumo diferenciados é feita conforme apontado por Dixit e Stiglitz (1977)</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rPr>
            <m:t>=</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rPr>
                        <m:t>0</m:t>
                      </m:r>
                    </m:sub>
                    <m:sup>
                      <m:r>
                        <w:rPr>
                          <w:rFonts w:ascii="Cambria Math"/>
                        </w:rPr>
                        <m:t>1</m:t>
                      </m:r>
                    </m:sup>
                    <m:e>
                      <m:sSubSup>
                        <m:sSubSupPr>
                          <m:ctrlPr>
                            <w:rPr>
                              <w:rFonts w:ascii="Cambria Math" w:hAnsi="Cambria Math"/>
                              <w:i/>
                            </w:rPr>
                          </m:ctrlPr>
                        </m:sSubSupPr>
                        <m:e>
                          <m:r>
                            <w:rPr>
                              <w:rFonts w:ascii="Cambria Math" w:hAnsi="Cambria Math"/>
                            </w:rPr>
                            <m:t>c</m:t>
                          </m:r>
                        </m:e>
                        <m:sub>
                          <m:r>
                            <w:rPr>
                              <w:rFonts w:ascii="Cambria Math" w:hAnsi="Cambria Math"/>
                            </w:rPr>
                            <m:t>jt</m:t>
                          </m:r>
                        </m:sub>
                        <m:sup>
                          <m:f>
                            <m:fPr>
                              <m:type m:val="lin"/>
                              <m:ctrlPr>
                                <w:rPr>
                                  <w:rFonts w:ascii="Cambria Math" w:hAnsi="Cambria Math"/>
                                  <w:i/>
                                </w:rPr>
                              </m:ctrlPr>
                            </m:fPr>
                            <m:num>
                              <m:r>
                                <w:rPr>
                                  <w:rFonts w:ascii="Cambria Math"/>
                                </w:rPr>
                                <m:t>(</m:t>
                              </m:r>
                              <m:r>
                                <w:rPr>
                                  <w:rFonts w:ascii="Cambria Math" w:hAnsi="Cambria Math"/>
                                </w:rPr>
                                <m:t>θ-</m:t>
                              </m:r>
                              <m:r>
                                <w:rPr>
                                  <w:rFonts w:ascii="Cambria Math"/>
                                </w:rPr>
                                <m:t>1)</m:t>
                              </m:r>
                            </m:num>
                            <m:den>
                              <m:r>
                                <w:rPr>
                                  <w:rFonts w:ascii="Cambria Math" w:hAnsi="Cambria Math"/>
                                </w:rPr>
                                <m:t>θ</m:t>
                              </m:r>
                            </m:den>
                          </m:f>
                        </m:sup>
                      </m:sSubSup>
                      <m:r>
                        <w:rPr>
                          <w:rFonts w:ascii="Cambria Math" w:hAnsi="Cambria Math"/>
                        </w:rPr>
                        <m:t>dj</m:t>
                      </m:r>
                    </m:e>
                  </m:nary>
                </m:e>
              </m:d>
            </m:e>
            <m:sup>
              <m:f>
                <m:fPr>
                  <m:type m:val="lin"/>
                  <m:ctrlPr>
                    <w:rPr>
                      <w:rFonts w:ascii="Cambria Math" w:hAnsi="Cambria Math"/>
                      <w:i/>
                    </w:rPr>
                  </m:ctrlPr>
                </m:fPr>
                <m:num>
                  <m:r>
                    <w:rPr>
                      <w:rFonts w:ascii="Cambria Math" w:hAnsi="Cambria Math"/>
                    </w:rPr>
                    <m:t>θ</m:t>
                  </m:r>
                </m:num>
                <m:den>
                  <m:r>
                    <w:rPr>
                      <w:rFonts w:ascii="Cambria Math"/>
                    </w:rPr>
                    <m:t>(</m:t>
                  </m:r>
                  <m:r>
                    <w:rPr>
                      <w:rFonts w:ascii="Cambria Math" w:hAnsi="Cambria Math"/>
                    </w:rPr>
                    <m:t>θ-</m:t>
                  </m:r>
                  <m:r>
                    <w:rPr>
                      <w:rFonts w:ascii="Cambria Math"/>
                    </w:rPr>
                    <m:t>1)</m:t>
                  </m:r>
                </m:den>
              </m:f>
            </m:sup>
          </m:sSup>
          <m:r>
            <w:rPr>
              <w:rFonts w:ascii="Cambria Math"/>
            </w:rPr>
            <m:t xml:space="preserve"> ,  </m:t>
          </m:r>
          <m:r>
            <w:rPr>
              <w:rFonts w:ascii="Cambria Math" w:hAnsi="Cambria Math"/>
            </w:rPr>
            <m:t>θ</m:t>
          </m:r>
          <m:r>
            <w:rPr>
              <w:rFonts w:ascii="Cambria Math"/>
            </w:rPr>
            <m:t>&gt;1                                                                                                       (</m:t>
          </m:r>
          <m:r>
            <w:rPr>
              <w:rFonts w:ascii="Cambria Math" w:hAnsi="Cambria Math"/>
            </w:rPr>
            <m:t>5</m:t>
          </m:r>
          <m:r>
            <w:rPr>
              <w:rFonts w:ascii="Cambria Math"/>
            </w:rPr>
            <m:t>)</m:t>
          </m:r>
        </m:oMath>
      </m:oMathPara>
    </w:p>
    <w:p w:rsidR="00694342" w:rsidRPr="00A265F1" w:rsidRDefault="00694342" w:rsidP="00E02BDD"/>
    <w:p w:rsidR="00694342" w:rsidRDefault="00694342" w:rsidP="00E02BDD">
      <w:pPr>
        <w:ind w:firstLine="709"/>
        <w:jc w:val="both"/>
      </w:pPr>
      <w:r w:rsidRPr="00A265F1">
        <w:t>As famílias escolhem cada bem</w:t>
      </w:r>
      <w:r w:rsidR="00314AC8">
        <w:t xml:space="preserve"> </w:t>
      </w:r>
      <m:oMath>
        <m:sSub>
          <m:sSubPr>
            <m:ctrlPr>
              <w:rPr>
                <w:rFonts w:ascii="Cambria Math" w:hAnsi="Cambria Math"/>
                <w:i/>
              </w:rPr>
            </m:ctrlPr>
          </m:sSubPr>
          <m:e>
            <m:r>
              <w:rPr>
                <w:rFonts w:ascii="Cambria Math" w:hAnsi="Cambria Math"/>
              </w:rPr>
              <m:t>c</m:t>
            </m:r>
          </m:e>
          <m:sub>
            <m:r>
              <w:rPr>
                <w:rFonts w:ascii="Cambria Math" w:hAnsi="Cambria Math"/>
              </w:rPr>
              <m:t>jt</m:t>
            </m:r>
          </m:sub>
        </m:sSub>
      </m:oMath>
      <w:r w:rsidRPr="00A265F1">
        <w:t xml:space="preserve"> para minimizar o gasto total </w:t>
      </w:r>
      <w:r>
        <w:t>com</w:t>
      </w:r>
      <w:r w:rsidRPr="00A265F1">
        <w:t xml:space="preserve"> bens, resultando na função de demanda agregada da família para cada bem </w:t>
      </w:r>
      <w:r w:rsidRPr="00A265F1">
        <w:rPr>
          <w:i/>
        </w:rPr>
        <w:t>j</w:t>
      </w:r>
      <w:r w:rsidRPr="00A265F1">
        <w:t xml:space="preserve"> igual a</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jt</m:t>
              </m:r>
            </m:sub>
          </m:sSub>
          <m:r>
            <w:rPr>
              <w:rFonts w:asci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rPr>
            <m:t xml:space="preserve">                                                                                                                                                  (</m:t>
          </m:r>
          <m:r>
            <w:rPr>
              <w:rFonts w:ascii="Cambria Math" w:hAnsi="Cambria Math"/>
            </w:rPr>
            <m:t>6</m:t>
          </m:r>
          <m:r>
            <w:rPr>
              <w:rFonts w:ascii="Cambria Math"/>
            </w:rPr>
            <m:t>)</m:t>
          </m:r>
        </m:oMath>
      </m:oMathPara>
    </w:p>
    <w:p w:rsidR="00694342" w:rsidRPr="00A265F1" w:rsidRDefault="00694342" w:rsidP="00E02BDD"/>
    <w:p w:rsidR="00694342" w:rsidRDefault="00694342" w:rsidP="00E02BDD">
      <w:r w:rsidRPr="00A265F1">
        <w:t xml:space="preserve">Onde,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rPr>
          <m:t>≡</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rPr>
                      <m:t>0</m:t>
                    </m:r>
                  </m:sub>
                  <m:sup>
                    <m:r>
                      <w:rPr>
                        <w:rFonts w:ascii="Cambria Math"/>
                      </w:rPr>
                      <m:t>1</m:t>
                    </m:r>
                  </m:sup>
                  <m:e>
                    <m:sSubSup>
                      <m:sSubSupPr>
                        <m:ctrlPr>
                          <w:rPr>
                            <w:rFonts w:ascii="Cambria Math" w:hAnsi="Cambria Math"/>
                            <w:i/>
                          </w:rPr>
                        </m:ctrlPr>
                      </m:sSubSupPr>
                      <m:e>
                        <m:r>
                          <w:rPr>
                            <w:rFonts w:ascii="Cambria Math" w:hAnsi="Cambria Math"/>
                          </w:rPr>
                          <m:t>p</m:t>
                        </m:r>
                      </m:e>
                      <m:sub>
                        <m:r>
                          <w:rPr>
                            <w:rFonts w:ascii="Cambria Math" w:hAnsi="Cambria Math"/>
                          </w:rPr>
                          <m:t>jt</m:t>
                        </m:r>
                      </m:sub>
                      <m:sup>
                        <m:r>
                          <w:rPr>
                            <w:rFonts w:ascii="Cambria Math"/>
                          </w:rPr>
                          <m:t>1</m:t>
                        </m:r>
                        <m:r>
                          <w:rPr>
                            <w:rFonts w:ascii="Cambria Math"/>
                          </w:rPr>
                          <m:t>-</m:t>
                        </m:r>
                        <m:r>
                          <w:rPr>
                            <w:rFonts w:ascii="Cambria Math" w:hAnsi="Cambria Math"/>
                          </w:rPr>
                          <m:t>θ</m:t>
                        </m:r>
                      </m:sup>
                    </m:sSubSup>
                    <m:r>
                      <w:rPr>
                        <w:rFonts w:ascii="Cambria Math" w:hAnsi="Cambria Math"/>
                      </w:rPr>
                      <m:t>dj</m:t>
                    </m:r>
                  </m:e>
                </m:nary>
              </m:e>
            </m:d>
          </m:e>
          <m:sup>
            <m:f>
              <m:fPr>
                <m:type m:val="lin"/>
                <m:ctrlPr>
                  <w:rPr>
                    <w:rFonts w:ascii="Cambria Math" w:hAnsi="Cambria Math"/>
                    <w:i/>
                  </w:rPr>
                </m:ctrlPr>
              </m:fPr>
              <m:num>
                <m:r>
                  <w:rPr>
                    <w:rFonts w:ascii="Cambria Math"/>
                  </w:rPr>
                  <m:t>1</m:t>
                </m:r>
              </m:num>
              <m:den>
                <m:d>
                  <m:dPr>
                    <m:ctrlPr>
                      <w:rPr>
                        <w:rFonts w:ascii="Cambria Math" w:hAnsi="Cambria Math"/>
                        <w:i/>
                      </w:rPr>
                    </m:ctrlPr>
                  </m:dPr>
                  <m:e>
                    <m:r>
                      <w:rPr>
                        <w:rFonts w:ascii="Cambria Math"/>
                      </w:rPr>
                      <m:t>1</m:t>
                    </m:r>
                    <m:r>
                      <w:rPr>
                        <w:rFonts w:ascii="Cambria Math"/>
                      </w:rPr>
                      <m:t>-</m:t>
                    </m:r>
                    <m:r>
                      <w:rPr>
                        <w:rFonts w:ascii="Cambria Math" w:hAnsi="Cambria Math"/>
                      </w:rPr>
                      <m:t>θ</m:t>
                    </m:r>
                  </m:e>
                </m:d>
              </m:den>
            </m:f>
          </m:sup>
        </m:sSup>
      </m:oMath>
    </w:p>
    <w:p w:rsidR="00694342" w:rsidRPr="00A265F1" w:rsidRDefault="00694342" w:rsidP="00E02BDD"/>
    <w:p w:rsidR="00694342" w:rsidRPr="00A265F1" w:rsidRDefault="00694342" w:rsidP="00E02BDD">
      <w:pPr>
        <w:ind w:firstLine="709"/>
        <w:jc w:val="both"/>
      </w:pPr>
      <w:r w:rsidRPr="00A265F1">
        <w:t xml:space="preserve">Na restrição de recursos,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314AC8">
        <w:t xml:space="preserve"> </w:t>
      </w:r>
      <w:r>
        <w:t xml:space="preserve">é o pagamento dos </w:t>
      </w:r>
      <w:r w:rsidRPr="00A265F1">
        <w:t xml:space="preserve">impostos </w:t>
      </w:r>
      <w:r>
        <w:t xml:space="preserve">do tipo </w:t>
      </w:r>
      <w:r w:rsidRPr="009910A6">
        <w:rPr>
          <w:i/>
        </w:rPr>
        <w:t>lump-sum</w:t>
      </w:r>
      <w:r w:rsidRPr="00A265F1">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A265F1">
        <w:t xml:space="preserve"> é o estoque</w:t>
      </w:r>
      <w:r>
        <w:t xml:space="preserve"> nominal</w:t>
      </w:r>
      <w:r w:rsidRPr="00A265F1">
        <w:t xml:space="preserve"> de título</w:t>
      </w:r>
      <w:r>
        <w:t>s</w:t>
      </w:r>
      <w:r w:rsidR="00380F45">
        <w:t xml:space="preserve"> </w:t>
      </w:r>
      <w:r>
        <w:t>do governo</w:t>
      </w:r>
      <w:r w:rsidRPr="00A265F1">
        <w:t xml:space="preserve">, </w:t>
      </w:r>
      <m:oMath>
        <m:r>
          <w:rPr>
            <w:rFonts w:ascii="Cambria Math"/>
          </w:rPr>
          <m:t>1+</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rPr>
              <m:t>1</m:t>
            </m:r>
          </m:sub>
        </m:sSub>
      </m:oMath>
      <w:r w:rsidRPr="00A265F1">
        <w:t xml:space="preserve"> é a taxa nominal de juros livre de risco entre o período </w:t>
      </w:r>
      <w:r w:rsidRPr="00A265F1">
        <w:rPr>
          <w:i/>
        </w:rPr>
        <w:t xml:space="preserve">t-1 </w:t>
      </w:r>
      <w:r w:rsidRPr="00A265F1">
        <w:t xml:space="preserve">e </w:t>
      </w:r>
      <w:r w:rsidRPr="00A265F1">
        <w:rPr>
          <w:i/>
        </w:rPr>
        <w:t>t</w:t>
      </w:r>
      <w:r w:rsidRPr="00A265F1">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A265F1">
        <w:t xml:space="preserve"> é o salário nominal 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80F45">
        <w:t xml:space="preserve"> </w:t>
      </w:r>
      <w:r>
        <w:t>são</w:t>
      </w:r>
      <w:r w:rsidRPr="00A265F1">
        <w:t xml:space="preserve"> os lucros das firmas. Desta forma</w:t>
      </w:r>
      <w:r w:rsidR="00380F45">
        <w:t>,</w:t>
      </w:r>
      <w:r w:rsidRPr="00A265F1">
        <w:t xml:space="preserve"> maximizando (</w:t>
      </w:r>
      <w:r>
        <w:t>3</w:t>
      </w:r>
      <w:r w:rsidRPr="00A265F1">
        <w:t>) sujeito à (</w:t>
      </w:r>
      <w:r>
        <w:t>4</w:t>
      </w:r>
      <w:r w:rsidRPr="00A265F1">
        <w:t xml:space="preserve">) </w:t>
      </w:r>
      <w:r>
        <w:t>ob</w:t>
      </w:r>
      <w:r w:rsidRPr="00A265F1">
        <w:t xml:space="preserve">temos as seguintes </w:t>
      </w:r>
      <w:r>
        <w:t>relações</w:t>
      </w:r>
      <w:r w:rsidRPr="00A265F1">
        <w:t>:</w:t>
      </w:r>
    </w:p>
    <w:p w:rsidR="00694342" w:rsidRPr="00A265F1" w:rsidRDefault="00694342" w:rsidP="00E02BDD">
      <w:pPr>
        <w:jc w:val="both"/>
      </w:pPr>
    </w:p>
    <w:p w:rsidR="00694342" w:rsidRPr="00A265F1" w:rsidRDefault="00694342" w:rsidP="00E02BDD">
      <m:oMathPara>
        <m:oMathParaPr>
          <m:jc m:val="left"/>
        </m:oMathParaPr>
        <m:oMath>
          <m:r>
            <w:rPr>
              <w:rFonts w:ascii="Cambria Math" w:hAnsi="Cambria Math"/>
            </w:rPr>
            <m:t>χ</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η</m:t>
                  </m:r>
                </m:sup>
              </m:sSubSup>
            </m:num>
            <m:den>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-σ</m:t>
                  </m:r>
                </m:sup>
              </m:sSub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 xml:space="preserve">                                                                                                                                                         (7)</m:t>
          </m:r>
        </m:oMath>
      </m:oMathPara>
    </w:p>
    <w:p w:rsidR="00694342" w:rsidRDefault="00694342" w:rsidP="00E02BDD">
      <m:oMathPara>
        <m:oMathParaPr>
          <m:jc m:val="left"/>
        </m:oMathParaPr>
        <m:oMath>
          <m:r>
            <w:rPr>
              <w:rFonts w:ascii="Cambria Math"/>
            </w:rPr>
            <m:t>1=</m:t>
          </m:r>
          <m:r>
            <w:rPr>
              <w:rFonts w:ascii="Cambria Math" w:hAnsi="Cambria Math"/>
            </w:rPr>
            <m:t>β</m:t>
          </m:r>
          <m:d>
            <m:dPr>
              <m:ctrlPr>
                <w:rPr>
                  <w:rFonts w:ascii="Cambria Math" w:hAnsi="Cambria Math"/>
                  <w:i/>
                </w:rPr>
              </m:ctrlPr>
            </m:dPr>
            <m:e>
              <m:r>
                <w:rPr>
                  <w:rFonts w:asci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r>
                            <w:rPr>
                              <w:rFonts w:ascii="Cambria Math"/>
                            </w:rPr>
                            <m:t>+1</m:t>
                          </m:r>
                        </m:sub>
                      </m:sSub>
                    </m:den>
                  </m:f>
                </m:e>
              </m:d>
            </m:e>
            <m:sup>
              <m:r>
                <w:rPr>
                  <w:rFonts w:ascii="Cambria Math" w:hAnsi="Cambria Math"/>
                </w:rPr>
                <m:t>σ</m:t>
              </m:r>
            </m:sup>
          </m:sSup>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rPr>
                    <m:t>+1</m:t>
                  </m:r>
                </m:sub>
              </m:sSub>
            </m:den>
          </m:f>
          <m:r>
            <w:rPr>
              <w:rFonts w:ascii="Cambria Math"/>
            </w:rPr>
            <m:t xml:space="preserve">                                                                                                                            (8)</m:t>
          </m:r>
        </m:oMath>
      </m:oMathPara>
    </w:p>
    <w:p w:rsidR="00694342" w:rsidRPr="00A265F1" w:rsidRDefault="00694342" w:rsidP="00E02BDD"/>
    <w:p w:rsidR="00694342" w:rsidRDefault="00694342" w:rsidP="00E02BDD">
      <w:pPr>
        <w:ind w:firstLine="709"/>
        <w:jc w:val="both"/>
      </w:pPr>
      <w:r>
        <w:t xml:space="preserve">Há, portanto, </w:t>
      </w:r>
      <w:r w:rsidRPr="00A265F1">
        <w:t>a seguinte relação entre demanda por saldos reais, taxa nominal de juros e consumo agregado,</w:t>
      </w:r>
    </w:p>
    <w:p w:rsidR="00694342" w:rsidRPr="00A265F1" w:rsidRDefault="00694342" w:rsidP="00E02BDD">
      <w:pPr>
        <w:jc w:val="both"/>
      </w:pPr>
    </w:p>
    <w:p w:rsidR="00694342" w:rsidRDefault="00E16B7D" w:rsidP="00E02BDD">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rPr>
            <m:t>=</m:t>
          </m:r>
          <m:sSup>
            <m:sSupPr>
              <m:ctrlPr>
                <w:rPr>
                  <w:rFonts w:ascii="Cambria Math" w:hAnsi="Cambria Math"/>
                  <w:i/>
                </w:rPr>
              </m:ctrlPr>
            </m:sSupPr>
            <m:e>
              <m:r>
                <w:rPr>
                  <w:rFonts w:ascii="Cambria Math" w:hAnsi="Cambria Math"/>
                </w:rPr>
                <m:t>δ</m:t>
              </m:r>
            </m:e>
            <m:sup>
              <m:r>
                <w:rPr>
                  <w:rFonts w:ascii="Cambria Math" w:hAnsi="Cambria Math"/>
                </w:rPr>
                <m:t>κ</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r>
                        <w:rPr>
                          <w:rFonts w:ascii="Cambria Math"/>
                        </w:rPr>
                        <m:t>1+</m:t>
                      </m:r>
                      <m:sSub>
                        <m:sSubPr>
                          <m:ctrlPr>
                            <w:rPr>
                              <w:rFonts w:ascii="Cambria Math" w:hAnsi="Cambria Math"/>
                              <w:i/>
                            </w:rPr>
                          </m:ctrlPr>
                        </m:sSubPr>
                        <m:e>
                          <m:r>
                            <w:rPr>
                              <w:rFonts w:ascii="Cambria Math" w:hAnsi="Cambria Math"/>
                            </w:rPr>
                            <m:t>r</m:t>
                          </m:r>
                        </m:e>
                        <m:sub>
                          <m:r>
                            <w:rPr>
                              <w:rFonts w:ascii="Cambria Math" w:hAnsi="Cambria Math"/>
                            </w:rPr>
                            <m:t>t</m:t>
                          </m:r>
                        </m:sub>
                      </m:sSub>
                    </m:den>
                  </m:f>
                </m:e>
              </m:d>
            </m:e>
            <m:sup>
              <m:f>
                <m:fPr>
                  <m:type m:val="lin"/>
                  <m:ctrlPr>
                    <w:rPr>
                      <w:rFonts w:ascii="Cambria Math" w:hAnsi="Cambria Math"/>
                      <w:i/>
                    </w:rPr>
                  </m:ctrlPr>
                </m:fPr>
                <m:num>
                  <m:r>
                    <w:rPr>
                      <w:rFonts w:ascii="Cambria Math" w:hAnsi="Cambria Math"/>
                    </w:rPr>
                    <m:t>-</m:t>
                  </m:r>
                  <m:r>
                    <w:rPr>
                      <w:rFonts w:ascii="Cambria Math"/>
                    </w:rPr>
                    <m:t>1</m:t>
                  </m:r>
                </m:num>
                <m:den>
                  <m:r>
                    <w:rPr>
                      <w:rFonts w:ascii="Cambria Math" w:hAnsi="Cambria Math"/>
                    </w:rPr>
                    <m:t>κ</m:t>
                  </m:r>
                </m:den>
              </m:f>
            </m:sup>
          </m:sSup>
          <m:sSubSup>
            <m:sSubSupPr>
              <m:ctrlPr>
                <w:rPr>
                  <w:rFonts w:ascii="Cambria Math" w:hAnsi="Cambria Math"/>
                  <w:i/>
                </w:rPr>
              </m:ctrlPr>
            </m:sSubSupPr>
            <m:e>
              <m:r>
                <w:rPr>
                  <w:rFonts w:ascii="Cambria Math" w:hAnsi="Cambria Math"/>
                </w:rPr>
                <m:t>C</m:t>
              </m:r>
            </m:e>
            <m:sub>
              <m:r>
                <w:rPr>
                  <w:rFonts w:ascii="Cambria Math" w:hAnsi="Cambria Math"/>
                </w:rPr>
                <m:t>t</m:t>
              </m:r>
            </m:sub>
            <m:sup>
              <m:f>
                <m:fPr>
                  <m:type m:val="lin"/>
                  <m:ctrlPr>
                    <w:rPr>
                      <w:rFonts w:ascii="Cambria Math" w:hAnsi="Cambria Math"/>
                      <w:i/>
                    </w:rPr>
                  </m:ctrlPr>
                </m:fPr>
                <m:num>
                  <m:r>
                    <w:rPr>
                      <w:rFonts w:ascii="Cambria Math" w:hAnsi="Cambria Math"/>
                    </w:rPr>
                    <m:t>σ</m:t>
                  </m:r>
                </m:num>
                <m:den>
                  <m:r>
                    <w:rPr>
                      <w:rFonts w:ascii="Cambria Math" w:hAnsi="Cambria Math"/>
                    </w:rPr>
                    <m:t>κ</m:t>
                  </m:r>
                </m:den>
              </m:f>
            </m:sup>
          </m:sSubSup>
          <m:r>
            <w:rPr>
              <w:rFonts w:ascii="Cambria Math"/>
            </w:rPr>
            <m:t xml:space="preserve">                                                                                                                             (</m:t>
          </m:r>
          <m:r>
            <w:rPr>
              <w:rFonts w:ascii="Cambria Math" w:hAnsi="Cambria Math"/>
            </w:rPr>
            <m:t>9</m:t>
          </m:r>
          <m:r>
            <w:rPr>
              <w:rFonts w:ascii="Cambria Math"/>
            </w:rPr>
            <m:t>)</m:t>
          </m:r>
        </m:oMath>
      </m:oMathPara>
    </w:p>
    <w:p w:rsidR="00694342" w:rsidRPr="00A265F1" w:rsidRDefault="00694342" w:rsidP="00E02BDD"/>
    <w:p w:rsidR="00694342" w:rsidRDefault="00694342" w:rsidP="00E02BDD">
      <w:pPr>
        <w:ind w:firstLine="709"/>
        <w:jc w:val="both"/>
      </w:pPr>
      <w:r>
        <w:t>A</w:t>
      </w:r>
      <w:r w:rsidRPr="00A265F1">
        <w:t xml:space="preserve"> demanda do governo por </w:t>
      </w:r>
      <w:r>
        <w:t>cada tipo de bem segue a</w:t>
      </w:r>
      <w:r w:rsidRPr="00A265F1">
        <w:t xml:space="preserve"> mesma proporção das famílias. Portanto, a demanda do governo</w:t>
      </w:r>
      <w:r>
        <w:t xml:space="preserve"> por cada tipo de bem</w:t>
      </w:r>
      <w:r w:rsidRPr="00A265F1">
        <w:t xml:space="preserve"> pode ser definida como </w:t>
      </w:r>
      <m:oMath>
        <m:sSub>
          <m:sSubPr>
            <m:ctrlPr>
              <w:rPr>
                <w:rFonts w:ascii="Cambria Math" w:hAnsi="Cambria Math"/>
                <w:i/>
              </w:rPr>
            </m:ctrlPr>
          </m:sSubPr>
          <m:e>
            <m:r>
              <w:rPr>
                <w:rFonts w:ascii="Cambria Math" w:hAnsi="Cambria Math"/>
              </w:rPr>
              <m:t>g</m:t>
            </m:r>
          </m:e>
          <m:sub>
            <m:r>
              <w:rPr>
                <w:rFonts w:ascii="Cambria Math" w:hAnsi="Cambria Math"/>
              </w:rPr>
              <m:t>jt</m:t>
            </m:r>
          </m:sub>
        </m:sSub>
        <m:r>
          <w:rPr>
            <w:rFonts w:asci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sSub>
          <m:sSubPr>
            <m:ctrlPr>
              <w:rPr>
                <w:rFonts w:ascii="Cambria Math" w:hAnsi="Cambria Math"/>
                <w:i/>
              </w:rPr>
            </m:ctrlPr>
          </m:sSubPr>
          <m:e>
            <m:r>
              <w:rPr>
                <w:rFonts w:ascii="Cambria Math" w:hAnsi="Cambria Math"/>
              </w:rPr>
              <m:t>G</m:t>
            </m:r>
          </m:e>
          <m:sub>
            <m:r>
              <w:rPr>
                <w:rFonts w:ascii="Cambria Math" w:hAnsi="Cambria Math"/>
              </w:rPr>
              <m:t>t</m:t>
            </m:r>
          </m:sub>
        </m:sSub>
      </m:oMath>
      <w:r w:rsidRPr="00A265F1">
        <w:t>.</w:t>
      </w:r>
    </w:p>
    <w:p w:rsidR="00694342" w:rsidRDefault="00694342" w:rsidP="00E02BDD">
      <w:pPr>
        <w:jc w:val="both"/>
      </w:pPr>
    </w:p>
    <w:p w:rsidR="00694342" w:rsidRDefault="00694342" w:rsidP="00E02BDD">
      <w:pPr>
        <w:jc w:val="both"/>
      </w:pPr>
      <w:r w:rsidRPr="00A265F1">
        <w:t xml:space="preserve">Onde,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rPr>
          <m:t>=</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rPr>
                      <m:t>0</m:t>
                    </m:r>
                  </m:sub>
                  <m:sup>
                    <m:r>
                      <w:rPr>
                        <w:rFonts w:ascii="Cambria Math"/>
                      </w:rPr>
                      <m:t>1</m:t>
                    </m:r>
                  </m:sup>
                  <m:e>
                    <m:sSubSup>
                      <m:sSubSupPr>
                        <m:ctrlPr>
                          <w:rPr>
                            <w:rFonts w:ascii="Cambria Math" w:hAnsi="Cambria Math"/>
                            <w:i/>
                          </w:rPr>
                        </m:ctrlPr>
                      </m:sSubSupPr>
                      <m:e>
                        <m:r>
                          <w:rPr>
                            <w:rFonts w:ascii="Cambria Math" w:hAnsi="Cambria Math"/>
                          </w:rPr>
                          <m:t>g</m:t>
                        </m:r>
                      </m:e>
                      <m:sub>
                        <m:r>
                          <w:rPr>
                            <w:rFonts w:ascii="Cambria Math" w:hAnsi="Cambria Math"/>
                          </w:rPr>
                          <m:t>jt</m:t>
                        </m:r>
                      </m:sub>
                      <m:sup>
                        <m:f>
                          <m:fPr>
                            <m:type m:val="lin"/>
                            <m:ctrlPr>
                              <w:rPr>
                                <w:rFonts w:ascii="Cambria Math" w:hAnsi="Cambria Math"/>
                                <w:i/>
                              </w:rPr>
                            </m:ctrlPr>
                          </m:fPr>
                          <m:num>
                            <m:d>
                              <m:dPr>
                                <m:ctrlPr>
                                  <w:rPr>
                                    <w:rFonts w:ascii="Cambria Math" w:hAnsi="Cambria Math"/>
                                    <w:i/>
                                  </w:rPr>
                                </m:ctrlPr>
                              </m:dPr>
                              <m:e>
                                <m:r>
                                  <w:rPr>
                                    <w:rFonts w:ascii="Cambria Math" w:hAnsi="Cambria Math"/>
                                  </w:rPr>
                                  <m:t>θ-</m:t>
                                </m:r>
                                <m:r>
                                  <w:rPr>
                                    <w:rFonts w:ascii="Cambria Math"/>
                                  </w:rPr>
                                  <m:t>1</m:t>
                                </m:r>
                              </m:e>
                            </m:d>
                          </m:num>
                          <m:den>
                            <m:r>
                              <w:rPr>
                                <w:rFonts w:ascii="Cambria Math" w:hAnsi="Cambria Math"/>
                              </w:rPr>
                              <m:t>θ</m:t>
                            </m:r>
                          </m:den>
                        </m:f>
                      </m:sup>
                    </m:sSubSup>
                    <m:r>
                      <w:rPr>
                        <w:rFonts w:ascii="Cambria Math" w:hAnsi="Cambria Math"/>
                      </w:rPr>
                      <m:t>dj</m:t>
                    </m:r>
                  </m:e>
                </m:nary>
              </m:e>
            </m:d>
          </m:e>
          <m:sup>
            <m:f>
              <m:fPr>
                <m:type m:val="lin"/>
                <m:ctrlPr>
                  <w:rPr>
                    <w:rFonts w:ascii="Cambria Math" w:hAnsi="Cambria Math"/>
                    <w:i/>
                  </w:rPr>
                </m:ctrlPr>
              </m:fPr>
              <m:num>
                <m:r>
                  <w:rPr>
                    <w:rFonts w:ascii="Cambria Math" w:hAnsi="Cambria Math"/>
                  </w:rPr>
                  <m:t>θ</m:t>
                </m:r>
              </m:num>
              <m:den>
                <m:d>
                  <m:dPr>
                    <m:ctrlPr>
                      <w:rPr>
                        <w:rFonts w:ascii="Cambria Math" w:hAnsi="Cambria Math"/>
                        <w:i/>
                      </w:rPr>
                    </m:ctrlPr>
                  </m:dPr>
                  <m:e>
                    <m:r>
                      <w:rPr>
                        <w:rFonts w:ascii="Cambria Math" w:hAnsi="Cambria Math"/>
                      </w:rPr>
                      <m:t>θ-</m:t>
                    </m:r>
                    <m:r>
                      <w:rPr>
                        <w:rFonts w:ascii="Cambria Math"/>
                      </w:rPr>
                      <m:t>1</m:t>
                    </m:r>
                  </m:e>
                </m:d>
              </m:den>
            </m:f>
          </m:sup>
        </m:sSup>
      </m:oMath>
      <w:r w:rsidRPr="00A265F1">
        <w:t>.</w:t>
      </w:r>
    </w:p>
    <w:p w:rsidR="00694342" w:rsidRDefault="00694342" w:rsidP="00E02BDD">
      <w:pPr>
        <w:jc w:val="both"/>
      </w:pPr>
    </w:p>
    <w:p w:rsidR="00694342" w:rsidRDefault="00694342" w:rsidP="00E02BDD">
      <w:pPr>
        <w:jc w:val="both"/>
      </w:pPr>
      <w:r>
        <w:t>Condição de transversalidade:</w:t>
      </w:r>
    </w:p>
    <w:p w:rsidR="00694342" w:rsidRDefault="00694342" w:rsidP="00E02BDD">
      <w:pPr>
        <w:jc w:val="both"/>
      </w:pPr>
    </w:p>
    <w:p w:rsidR="00694342" w:rsidRDefault="00E16B7D" w:rsidP="00E02BDD">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T</m:t>
                  </m:r>
                  <m:r>
                    <w:rPr>
                      <w:rFonts w:ascii="Cambria Math"/>
                    </w:rPr>
                    <m:t>→∞</m:t>
                  </m:r>
                </m:lim>
              </m:limLow>
            </m:fName>
            <m:e>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r>
                        <w:rPr>
                          <w:rFonts w:ascii="Cambria Math"/>
                        </w:rPr>
                        <m:t>,</m:t>
                      </m:r>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func>
          <m:r>
            <w:rPr>
              <w:rFonts w:ascii="Cambria Math"/>
            </w:rPr>
            <m:t>=0                                                                                                                           (10)</m:t>
          </m:r>
        </m:oMath>
      </m:oMathPara>
    </w:p>
    <w:p w:rsidR="00694342" w:rsidRDefault="00694342" w:rsidP="00E02BDD"/>
    <w:p w:rsidR="00694342" w:rsidRPr="00A265F1" w:rsidRDefault="00694342" w:rsidP="00E02BDD">
      <w:r w:rsidRPr="00A265F1">
        <w:t xml:space="preserve">Onde,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oMath>
      <w:r w:rsidRPr="00A265F1">
        <w:t xml:space="preserve">  e  </w:t>
      </w:r>
      <m:oMath>
        <m:sSub>
          <m:sSubPr>
            <m:ctrlPr>
              <w:rPr>
                <w:rFonts w:ascii="Cambria Math" w:hAnsi="Cambria Math"/>
                <w:i/>
              </w:rPr>
            </m:ctrlPr>
          </m:sSubPr>
          <m:e>
            <m:r>
              <w:rPr>
                <w:rFonts w:ascii="Cambria Math" w:hAnsi="Cambria Math"/>
              </w:rPr>
              <m:t>q</m:t>
            </m:r>
          </m:e>
          <m:sub>
            <m:r>
              <w:rPr>
                <w:rFonts w:ascii="Cambria Math" w:hAnsi="Cambria Math"/>
              </w:rPr>
              <m:t>t</m:t>
            </m:r>
            <m:r>
              <w:rPr>
                <w:rFonts w:ascii="Cambria Math"/>
              </w:rPr>
              <m:t>,</m:t>
            </m:r>
            <m:r>
              <w:rPr>
                <w:rFonts w:ascii="Cambria Math" w:hAnsi="Cambria Math"/>
              </w:rPr>
              <m:t>T</m:t>
            </m:r>
          </m:sub>
        </m:sSub>
        <m:r>
          <w:rPr>
            <w:rFonts w:ascii="Cambria Math"/>
          </w:rPr>
          <m:t>=</m:t>
        </m:r>
        <m:f>
          <m:fPr>
            <m:type m:val="lin"/>
            <m:ctrlPr>
              <w:rPr>
                <w:rFonts w:ascii="Cambria Math" w:hAnsi="Cambria Math"/>
                <w:i/>
              </w:rPr>
            </m:ctrlPr>
          </m:fPr>
          <m:num>
            <m:d>
              <m:dPr>
                <m:ctrlPr>
                  <w:rPr>
                    <w:rFonts w:ascii="Cambria Math" w:hAnsi="Cambria Math"/>
                    <w:i/>
                  </w:rPr>
                </m:ctrlPr>
              </m:dPr>
              <m:e>
                <m:r>
                  <w:rPr>
                    <w:rFonts w:ascii="Cambria Math"/>
                  </w:rPr>
                  <m:t>1+</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rPr>
                      <m:t>1</m:t>
                    </m:r>
                  </m:sub>
                </m:sSub>
              </m:e>
            </m:d>
          </m:num>
          <m:den>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den>
        </m:f>
      </m:oMath>
      <w:r w:rsidRPr="00A265F1">
        <w:t xml:space="preserve"> .</w:t>
      </w:r>
    </w:p>
    <w:p w:rsidR="00694342" w:rsidRPr="00A265F1" w:rsidRDefault="00694342" w:rsidP="00E02BDD">
      <w:pPr>
        <w:jc w:val="both"/>
      </w:pPr>
    </w:p>
    <w:p w:rsidR="00694342" w:rsidRDefault="00694342" w:rsidP="00E02BDD">
      <w:pPr>
        <w:ind w:firstLine="709"/>
        <w:jc w:val="both"/>
      </w:pPr>
      <w:r w:rsidRPr="00A265F1">
        <w:t xml:space="preserve">É </w:t>
      </w:r>
      <w:r>
        <w:t>importante destacar que (7) e (9</w:t>
      </w:r>
      <w:r w:rsidRPr="00A265F1">
        <w:t>) s</w:t>
      </w:r>
      <w:r>
        <w:t>ão</w:t>
      </w:r>
      <w:r w:rsidRPr="00A265F1">
        <w:t xml:space="preserve"> satisfeitas </w:t>
      </w:r>
      <w:r>
        <w:t>em</w:t>
      </w:r>
      <w:r w:rsidRPr="00A265F1">
        <w:t xml:space="preserve"> cada período de tempo e que a restrição orçamentária</w:t>
      </w:r>
      <w:r>
        <w:t xml:space="preserve"> será sempre satisfeita com igualdade</w:t>
      </w:r>
      <w:r w:rsidRPr="00793E03">
        <w:t>. Além disso, o valor presente dos gastos esperados das famílias é limitado (finito) e a condição de transversalidade expressa pela equação (</w:t>
      </w:r>
      <w:r w:rsidR="00380F45">
        <w:t>10</w:t>
      </w:r>
      <w:r w:rsidRPr="00793E03">
        <w:t>) também deve ser satisfeita. Estas</w:t>
      </w:r>
      <w:r w:rsidRPr="00A265F1">
        <w:t xml:space="preserve"> são condições necessárias e suficientes para que o problema de otimização das famílias seja </w:t>
      </w:r>
      <w:r>
        <w:t>bem definido e tenha uma solução</w:t>
      </w:r>
      <w:r w:rsidRPr="00A265F1">
        <w:t xml:space="preserve">. </w:t>
      </w:r>
    </w:p>
    <w:p w:rsidR="00694342" w:rsidRPr="00A265F1" w:rsidRDefault="00694342" w:rsidP="00E02BDD">
      <w:pPr>
        <w:jc w:val="both"/>
      </w:pPr>
    </w:p>
    <w:p w:rsidR="00694342" w:rsidRPr="00A265F1" w:rsidRDefault="00694342" w:rsidP="00E02BDD">
      <w:pPr>
        <w:pStyle w:val="PargrafodaLista"/>
        <w:numPr>
          <w:ilvl w:val="0"/>
          <w:numId w:val="4"/>
        </w:numPr>
        <w:spacing w:after="0" w:line="240" w:lineRule="auto"/>
        <w:jc w:val="both"/>
        <w:rPr>
          <w:rFonts w:ascii="Times New Roman" w:hAnsi="Times New Roman"/>
          <w:sz w:val="24"/>
          <w:szCs w:val="24"/>
        </w:rPr>
      </w:pPr>
      <w:r w:rsidRPr="00A265F1">
        <w:rPr>
          <w:rFonts w:ascii="Times New Roman" w:hAnsi="Times New Roman"/>
          <w:sz w:val="24"/>
          <w:szCs w:val="24"/>
        </w:rPr>
        <w:t>Firmas</w:t>
      </w:r>
    </w:p>
    <w:p w:rsidR="00694342" w:rsidRPr="00A265F1" w:rsidRDefault="00694342" w:rsidP="00E02BDD">
      <w:pPr>
        <w:jc w:val="both"/>
      </w:pPr>
    </w:p>
    <w:p w:rsidR="00694342" w:rsidRDefault="00694342" w:rsidP="00E02BDD">
      <w:pPr>
        <w:ind w:firstLine="709"/>
        <w:jc w:val="both"/>
      </w:pPr>
      <w:r w:rsidRPr="00A265F1">
        <w:t xml:space="preserve">As firmas representativas produzem seus bens utilizando o fator trabalho </w:t>
      </w:r>
      <w:r>
        <w:t xml:space="preserve">em um </w:t>
      </w:r>
      <w:r w:rsidRPr="00A265F1">
        <w:t xml:space="preserve">mercado </w:t>
      </w:r>
      <w:r>
        <w:t>em</w:t>
      </w:r>
      <w:r w:rsidRPr="00A265F1">
        <w:t xml:space="preserve"> competição monopolística</w:t>
      </w:r>
      <w:r>
        <w:t>. A</w:t>
      </w:r>
      <w:r w:rsidRPr="00A265F1">
        <w:t xml:space="preserve"> produção do bem</w:t>
      </w:r>
      <w:r w:rsidRPr="00A265F1">
        <w:rPr>
          <w:i/>
        </w:rPr>
        <w:t xml:space="preserve"> j</w:t>
      </w:r>
      <w:r w:rsidRPr="00A265F1">
        <w:t xml:space="preserve"> é </w:t>
      </w:r>
      <m:oMath>
        <m:sSub>
          <m:sSubPr>
            <m:ctrlPr>
              <w:rPr>
                <w:rFonts w:ascii="Cambria Math" w:hAnsi="Cambria Math"/>
                <w:i/>
              </w:rPr>
            </m:ctrlPr>
          </m:sSubPr>
          <m:e>
            <m:r>
              <w:rPr>
                <w:rFonts w:ascii="Cambria Math" w:hAnsi="Cambria Math"/>
              </w:rPr>
              <m:t>y</m:t>
            </m:r>
          </m:e>
          <m:sub>
            <m:r>
              <w:rPr>
                <w:rFonts w:ascii="Cambria Math" w:hAnsi="Cambria Math"/>
              </w:rPr>
              <m:t>jt</m:t>
            </m:r>
          </m:sub>
        </m:sSub>
        <m:r>
          <w:rPr>
            <w:rFonts w:ascii="Cambria Math"/>
          </w:rPr>
          <m:t>=</m:t>
        </m:r>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jt</m:t>
            </m:r>
          </m:sub>
        </m:sSub>
      </m:oMath>
      <w:r w:rsidR="00380F45">
        <w:t xml:space="preserve"> </w:t>
      </w:r>
      <w:r>
        <w:t>e</w:t>
      </w:r>
      <w:r w:rsidR="00380F45">
        <w:t xml:space="preserve"> </w:t>
      </w:r>
      <m:oMath>
        <m:r>
          <w:rPr>
            <w:rFonts w:ascii="Cambria Math" w:hAnsi="Cambria Math"/>
          </w:rPr>
          <m:t>Z</m:t>
        </m:r>
      </m:oMath>
      <w:r w:rsidRPr="00A265F1">
        <w:t xml:space="preserve"> é </w:t>
      </w:r>
      <w:r>
        <w:t>um parâmetro constante d</w:t>
      </w:r>
      <w:r w:rsidRPr="00A265F1">
        <w:t xml:space="preserve">a tecnologia agregada </w:t>
      </w:r>
      <w:r>
        <w:t>à qual</w:t>
      </w:r>
      <w:r w:rsidRPr="00A265F1">
        <w:t xml:space="preserve"> todas as firmas têm acesso.</w:t>
      </w:r>
      <w:r w:rsidR="00380F45">
        <w:t xml:space="preserve"> </w:t>
      </w:r>
      <w:r w:rsidRPr="00A265F1">
        <w:t xml:space="preserve">Ao agregar a demanda do consumidor com a demanda do governo, a firma </w:t>
      </w:r>
      <w:r w:rsidRPr="00A265F1">
        <w:rPr>
          <w:i/>
        </w:rPr>
        <w:t>j</w:t>
      </w:r>
      <w:r w:rsidRPr="00A265F1">
        <w:t xml:space="preserve"> se depara com a </w:t>
      </w:r>
      <w:r>
        <w:t xml:space="preserve">seguinte </w:t>
      </w:r>
      <w:r w:rsidRPr="00A265F1">
        <w:t>curva de demanda</w:t>
      </w:r>
      <w:r>
        <w:t>:</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jt</m:t>
              </m:r>
            </m:sub>
          </m:sSub>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rPr>
            <m:t xml:space="preserve">                                                                                                                                          (11)</m:t>
          </m:r>
        </m:oMath>
      </m:oMathPara>
    </w:p>
    <w:p w:rsidR="00694342" w:rsidRPr="00A265F1" w:rsidRDefault="00694342" w:rsidP="00E02BDD"/>
    <w:p w:rsidR="00694342" w:rsidRDefault="00694342" w:rsidP="00E02BDD">
      <w:r w:rsidRPr="00A265F1">
        <w:t xml:space="preserve">Onde,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A265F1">
        <w:t xml:space="preserve"> .</w:t>
      </w:r>
    </w:p>
    <w:p w:rsidR="00694342" w:rsidRPr="00A265F1" w:rsidRDefault="00694342" w:rsidP="00E02BDD"/>
    <w:p w:rsidR="00694342" w:rsidRDefault="00694342" w:rsidP="00E02BDD">
      <w:pPr>
        <w:ind w:firstLine="709"/>
      </w:pPr>
      <w:r w:rsidRPr="00A265F1">
        <w:t>Sendo assim, igualando a oferta e</w:t>
      </w:r>
      <w:r w:rsidR="00380F45">
        <w:t xml:space="preserve"> </w:t>
      </w:r>
      <w:r w:rsidRPr="00A265F1">
        <w:t>demanda para bens individuais, temos que</w:t>
      </w:r>
      <w:r>
        <w:t>:</w:t>
      </w:r>
    </w:p>
    <w:p w:rsidR="00694342" w:rsidRPr="00A265F1" w:rsidRDefault="00694342" w:rsidP="00E02BDD"/>
    <w:p w:rsidR="00694342" w:rsidRPr="00A265F1" w:rsidRDefault="00694342" w:rsidP="00E02BDD">
      <w:pPr>
        <w:ind w:left="142"/>
      </w:pPr>
      <m:oMathPara>
        <m:oMathParaPr>
          <m:jc m:val="left"/>
        </m:oMathParaPr>
        <m:oMath>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jt</m:t>
              </m:r>
            </m:sub>
          </m:sSub>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rPr>
            <m:t xml:space="preserve">                                                                                                                                   (12)</m:t>
          </m:r>
        </m:oMath>
      </m:oMathPara>
    </w:p>
    <w:p w:rsidR="00694342" w:rsidRPr="00A265F1" w:rsidRDefault="00694342" w:rsidP="00E02BDD">
      <w:pPr>
        <w:ind w:left="142"/>
      </w:pPr>
    </w:p>
    <w:p w:rsidR="00694342" w:rsidRDefault="00694342" w:rsidP="00E02BDD">
      <w:pPr>
        <w:ind w:firstLine="709"/>
        <w:jc w:val="both"/>
      </w:pPr>
      <w:r>
        <w:t xml:space="preserve">Como em </w:t>
      </w:r>
      <w:r w:rsidRPr="00A265F1">
        <w:t xml:space="preserve">Calvo (1983), o ajustamento parcial de preços ocorre de acordo com uma probabilidade constante para cada período de tempo, gerando assim uma frequência média de ajustamento. Com isso, a fração </w:t>
      </w:r>
      <m:oMath>
        <m:r>
          <w:rPr>
            <w:rFonts w:ascii="Cambria Math"/>
          </w:rPr>
          <m:t>1</m:t>
        </m:r>
        <m:r>
          <w:rPr>
            <w:rFonts w:ascii="Cambria Math"/>
          </w:rPr>
          <m:t>-</m:t>
        </m:r>
        <m:r>
          <w:rPr>
            <w:rFonts w:ascii="Cambria Math" w:hAnsi="Cambria Math"/>
          </w:rPr>
          <m:t>φ</m:t>
        </m:r>
      </m:oMath>
      <w:r w:rsidRPr="00A265F1">
        <w:t xml:space="preserve"> de firmas podem ajustar seus preços a cada período, enquanto que a fração </w:t>
      </w:r>
      <m:oMath>
        <m:r>
          <w:rPr>
            <w:rFonts w:ascii="Cambria Math" w:hAnsi="Cambria Math"/>
          </w:rPr>
          <m:t>φ</m:t>
        </m:r>
      </m:oMath>
      <w:r w:rsidRPr="00A265F1">
        <w:t xml:space="preserve"> não pode realizar tal ajuste. Se as firmas que podem </w:t>
      </w:r>
      <w:r w:rsidR="00380F45">
        <w:t>alterar</w:t>
      </w:r>
      <w:r w:rsidR="002F6749">
        <w:t xml:space="preserve"> </w:t>
      </w:r>
      <w:r w:rsidRPr="00A265F1">
        <w:t>seus preços</w:t>
      </w:r>
      <w:r w:rsidR="00380F45">
        <w:t xml:space="preserve">, </w:t>
      </w:r>
      <w:r w:rsidR="002F6749">
        <w:t>o ajustam</w:t>
      </w:r>
      <w:r w:rsidRPr="00A265F1">
        <w:t xml:space="preserve"> no tempo </w:t>
      </w:r>
      <w:r w:rsidRPr="00A265F1">
        <w:rPr>
          <w:i/>
        </w:rPr>
        <w:t>t</w:t>
      </w:r>
      <w:r w:rsidRPr="00A265F1">
        <w:t>,</w:t>
      </w:r>
      <w:r w:rsidR="002F6749">
        <w:t xml:space="preserve"> elas</w:t>
      </w:r>
      <w:r w:rsidRPr="00A265F1">
        <w:t xml:space="preserve"> escolher</w:t>
      </w:r>
      <w:r w:rsidR="002F6749">
        <w:t>ão</w:t>
      </w:r>
      <w:r w:rsidRPr="00A265F1">
        <w:t xml:space="preserve"> um novo preço ótimo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oMath>
      <w:r w:rsidRPr="00A265F1">
        <w:t xml:space="preserve">, </w:t>
      </w:r>
      <w:r>
        <w:t>para</w:t>
      </w:r>
      <w:r w:rsidRPr="00A265F1">
        <w:t xml:space="preserve"> maximiza</w:t>
      </w:r>
      <w:r>
        <w:t>r</w:t>
      </w:r>
      <w:r w:rsidRPr="00A265F1">
        <w:t xml:space="preserve"> a soma do lucr</w:t>
      </w:r>
      <w:r>
        <w:t>o futuro esperado</w:t>
      </w:r>
      <w:r w:rsidR="002F6749">
        <w:t>,</w:t>
      </w:r>
      <w:r>
        <w:t xml:space="preserve"> dada por</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φ</m:t>
                  </m:r>
                </m:e>
                <m:sup>
                  <m:r>
                    <w:rPr>
                      <w:rFonts w:ascii="Cambria Math" w:hAnsi="Cambria Math"/>
                    </w:rPr>
                    <m:t>i</m:t>
                  </m:r>
                </m:sup>
              </m:sSup>
              <m:sSub>
                <m:sSubPr>
                  <m:ctrlPr>
                    <w:rPr>
                      <w:rFonts w:ascii="Cambria Math" w:hAnsi="Cambria Math"/>
                      <w:i/>
                    </w:rPr>
                  </m:ctrlPr>
                </m:sSubPr>
                <m:e>
                  <m:r>
                    <w:rPr>
                      <w:rFonts w:ascii="Cambria Math" w:hAnsi="Cambria Math"/>
                    </w:rPr>
                    <m:t>q</m:t>
                  </m:r>
                </m:e>
                <m:sub>
                  <m:r>
                    <w:rPr>
                      <w:rFonts w:ascii="Cambria Math" w:hAnsi="Cambria Math"/>
                    </w:rPr>
                    <m:t>t,t+1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b>
                                <m:sSubPr>
                                  <m:ctrlPr>
                                    <w:rPr>
                                      <w:rFonts w:ascii="Cambria Math" w:hAnsi="Cambria Math"/>
                                      <w:i/>
                                    </w:rPr>
                                  </m:ctrlPr>
                                </m:sSubPr>
                                <m:e>
                                  <m:r>
                                    <w:rPr>
                                      <w:rFonts w:ascii="Cambria Math" w:hAnsi="Cambria Math"/>
                                    </w:rPr>
                                    <m:t>P</m:t>
                                  </m:r>
                                </m:e>
                                <m:sub>
                                  <m:r>
                                    <w:rPr>
                                      <w:rFonts w:ascii="Cambria Math" w:hAnsi="Cambria Math"/>
                                    </w:rPr>
                                    <m:t>t+i</m:t>
                                  </m:r>
                                </m:sub>
                              </m:sSub>
                            </m:den>
                          </m:f>
                        </m:e>
                      </m:d>
                    </m:e>
                    <m:sup>
                      <m:r>
                        <w:rPr>
                          <w:rFonts w:ascii="Cambria Math" w:hAnsi="Cambria Math"/>
                        </w:rPr>
                        <m:t>1-θ</m:t>
                      </m:r>
                    </m:sup>
                  </m:sSup>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t+i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b>
                                <m:sSubPr>
                                  <m:ctrlPr>
                                    <w:rPr>
                                      <w:rFonts w:ascii="Cambria Math" w:hAnsi="Cambria Math"/>
                                      <w:i/>
                                    </w:rPr>
                                  </m:ctrlPr>
                                </m:sSubPr>
                                <m:e>
                                  <m:r>
                                    <w:rPr>
                                      <w:rFonts w:ascii="Cambria Math" w:hAnsi="Cambria Math"/>
                                    </w:rPr>
                                    <m:t>P</m:t>
                                  </m:r>
                                </m:e>
                                <m:sub>
                                  <m:r>
                                    <w:rPr>
                                      <w:rFonts w:ascii="Cambria Math" w:hAnsi="Cambria Math"/>
                                    </w:rPr>
                                    <m:t>t+i</m:t>
                                  </m:r>
                                </m:sub>
                              </m:sSub>
                            </m:den>
                          </m:f>
                        </m:e>
                      </m:d>
                    </m:e>
                    <m:sup>
                      <m:r>
                        <w:rPr>
                          <w:rFonts w:ascii="Cambria Math" w:hAnsi="Cambria Math"/>
                        </w:rPr>
                        <m:t>-θ</m:t>
                      </m:r>
                    </m:sup>
                  </m:sSup>
                </m:e>
              </m:d>
            </m:e>
          </m:nary>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 xml:space="preserve">                                                                               (13)</m:t>
          </m:r>
        </m:oMath>
      </m:oMathPara>
    </w:p>
    <w:p w:rsidR="00694342" w:rsidRPr="00A265F1" w:rsidRDefault="00694342" w:rsidP="00E02BDD"/>
    <w:p w:rsidR="00694342" w:rsidRDefault="00694342" w:rsidP="00E02BDD">
      <w:pPr>
        <w:ind w:firstLine="709"/>
        <w:jc w:val="both"/>
      </w:pPr>
      <w:r w:rsidRPr="00A265F1">
        <w:t>A partir da equação (</w:t>
      </w:r>
      <w:r w:rsidR="002F6749">
        <w:t>12</w:t>
      </w:r>
      <w:r w:rsidRPr="00A265F1">
        <w:t>) podemos representar o fluxo</w:t>
      </w:r>
      <w:r>
        <w:t xml:space="preserve"> real</w:t>
      </w:r>
      <w:r w:rsidRPr="00A265F1">
        <w:t xml:space="preserve"> de lucros da firma</w:t>
      </w:r>
      <w:r w:rsidRPr="00A265F1">
        <w:rPr>
          <w:i/>
        </w:rPr>
        <w:t xml:space="preserve"> j</w:t>
      </w:r>
      <w:r w:rsidRPr="00A265F1">
        <w:t xml:space="preserve"> no período </w:t>
      </w:r>
      <w:r w:rsidRPr="00A265F1">
        <w:rPr>
          <w:i/>
        </w:rPr>
        <w:t xml:space="preserve">t </w:t>
      </w:r>
      <w:r w:rsidRPr="00A265F1">
        <w:t>como</w:t>
      </w:r>
    </w:p>
    <w:p w:rsidR="00694342" w:rsidRPr="00A265F1" w:rsidRDefault="00694342" w:rsidP="00E02BDD">
      <w:pPr>
        <w:jc w:val="both"/>
      </w:pPr>
    </w:p>
    <w:p w:rsidR="00694342" w:rsidRDefault="00E16B7D" w:rsidP="00E02BDD">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jt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1-θ</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sSub>
            <m:sSubPr>
              <m:ctrlPr>
                <w:rPr>
                  <w:rFonts w:ascii="Cambria Math" w:hAnsi="Cambria Math"/>
                  <w:i/>
                </w:rPr>
              </m:ctrlPr>
            </m:sSubPr>
            <m:e>
              <m:r>
                <w:rPr>
                  <w:rFonts w:ascii="Cambria Math" w:hAnsi="Cambria Math"/>
                </w:rPr>
                <m:t>N</m:t>
              </m:r>
            </m:e>
            <m:sub>
              <m:r>
                <w:rPr>
                  <w:rFonts w:ascii="Cambria Math" w:hAnsi="Cambria Math"/>
                </w:rPr>
                <m:t>jt</m:t>
              </m:r>
            </m:sub>
          </m:sSub>
          <m:r>
            <w:rPr>
              <w:rFonts w:ascii="Cambria Math" w:hAnsi="Cambria Math"/>
            </w:rPr>
            <m:t xml:space="preserve">                                                                                                      (14)</m:t>
          </m:r>
        </m:oMath>
      </m:oMathPara>
    </w:p>
    <w:p w:rsidR="00694342" w:rsidRPr="00A265F1" w:rsidRDefault="00694342" w:rsidP="00E02BDD"/>
    <w:p w:rsidR="00694342" w:rsidRDefault="00694342" w:rsidP="00E02BDD">
      <w:pPr>
        <w:ind w:firstLine="709"/>
        <w:jc w:val="both"/>
      </w:pPr>
      <w:r w:rsidRPr="00A265F1">
        <w:t xml:space="preserve">Em que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sidRPr="00A265F1">
        <w:t xml:space="preserve"> é o custo marginal definido como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t</m:t>
                </m:r>
              </m:sub>
            </m:sSub>
          </m:den>
        </m:f>
      </m:oMath>
      <w:r w:rsidRPr="00A265F1">
        <w:t>.</w:t>
      </w:r>
      <w:r w:rsidR="002F6749">
        <w:t xml:space="preserve"> </w:t>
      </w:r>
      <w:r w:rsidRPr="00A265F1">
        <w:t>Ao maximizar</w:t>
      </w:r>
      <w:r>
        <w:t>mos</w:t>
      </w:r>
      <w:r w:rsidRPr="00A265F1">
        <w:t xml:space="preserve"> a função objetivo da firma </w:t>
      </w:r>
      <w:r>
        <w:t xml:space="preserve">dada </w:t>
      </w:r>
      <w:r w:rsidRPr="00A265F1">
        <w:t>pela equação (</w:t>
      </w:r>
      <w:r w:rsidR="002F6749">
        <w:t>1</w:t>
      </w:r>
      <w:r>
        <w:t>3</w:t>
      </w:r>
      <w:r w:rsidRPr="00A265F1">
        <w:t xml:space="preserve">) para determinar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oMath>
      <w:r w:rsidRPr="00A265F1">
        <w:t>, obtemos a segu</w:t>
      </w:r>
      <w:r>
        <w:t>inte condição de primeira ordem:</w:t>
      </w:r>
    </w:p>
    <w:p w:rsidR="00694342" w:rsidRPr="00A265F1" w:rsidRDefault="00694342" w:rsidP="00E02BDD">
      <w:pPr>
        <w:jc w:val="both"/>
      </w:pPr>
    </w:p>
    <w:p w:rsidR="00694342" w:rsidRPr="002E111B" w:rsidRDefault="00E16B7D" w:rsidP="00E02BDD">
      <w:pPr>
        <w:rPr>
          <w:rFonts w:eastAsia="SimSun"/>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θ-1</m:t>
                  </m:r>
                </m:den>
              </m:f>
            </m:e>
          </m:d>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nary>
                <m:naryPr>
                  <m:chr m:val="∑"/>
                  <m:limLoc m:val="subSup"/>
                  <m:ctrlPr>
                    <w:rPr>
                      <w:rFonts w:ascii="Cambria Math" w:hAnsi="Cambria Math"/>
                      <w:i/>
                    </w:rPr>
                  </m:ctrlPr>
                </m:naryPr>
                <m:sub>
                  <m:r>
                    <w:rPr>
                      <w:rFonts w:ascii="Cambria Math" w:hAnsi="Cambria Math"/>
                    </w:rPr>
                    <m:t>1=0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φβ</m:t>
                          </m:r>
                        </m:e>
                      </m:d>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t+i</m:t>
                              </m:r>
                            </m:sub>
                          </m:sSub>
                        </m:e>
                      </m:d>
                    </m:e>
                    <m:sup>
                      <m:r>
                        <w:rPr>
                          <w:rFonts w:ascii="Cambria Math" w:hAnsi="Cambria Math"/>
                        </w:rPr>
                        <m:t>-σ</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t+i</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sSub>
                    <m:sSubPr>
                      <m:ctrlPr>
                        <w:rPr>
                          <w:rFonts w:ascii="Cambria Math" w:hAnsi="Cambria Math"/>
                          <w:i/>
                        </w:rPr>
                      </m:ctrlPr>
                    </m:sSubPr>
                    <m:e>
                      <m:r>
                        <m:rPr>
                          <m:sty m:val="p"/>
                        </m:rPr>
                        <w:rPr>
                          <w:rFonts w:ascii="Cambria Math" w:hAnsi="Cambria Math"/>
                        </w:rPr>
                        <m:t>Ψ</m:t>
                      </m:r>
                    </m:e>
                    <m:sub>
                      <m:r>
                        <w:rPr>
                          <w:rFonts w:ascii="Cambria Math" w:hAnsi="Cambria Math"/>
                        </w:rPr>
                        <m:t>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num>
            <m:den>
              <m:sSub>
                <m:sSubPr>
                  <m:ctrlPr>
                    <w:rPr>
                      <w:rFonts w:ascii="Cambria Math" w:hAnsi="Cambria Math"/>
                      <w:i/>
                    </w:rPr>
                  </m:ctrlPr>
                </m:sSubPr>
                <m:e>
                  <m:r>
                    <w:rPr>
                      <w:rFonts w:ascii="Cambria Math" w:hAnsi="Cambria Math"/>
                    </w:rPr>
                    <m:t>E</m:t>
                  </m:r>
                </m:e>
                <m:sub>
                  <m:r>
                    <w:rPr>
                      <w:rFonts w:ascii="Cambria Math" w:hAnsi="Cambria Math"/>
                    </w:rPr>
                    <m:t>t</m:t>
                  </m:r>
                </m:sub>
              </m:sSub>
              <m:nary>
                <m:naryPr>
                  <m:chr m:val="∑"/>
                  <m:limLoc m:val="subSup"/>
                  <m:ctrlPr>
                    <w:rPr>
                      <w:rFonts w:ascii="Cambria Math" w:hAnsi="Cambria Math"/>
                      <w:i/>
                    </w:rPr>
                  </m:ctrlPr>
                </m:naryPr>
                <m:sub>
                  <m:r>
                    <w:rPr>
                      <w:rFonts w:ascii="Cambria Math" w:hAnsi="Cambria Math"/>
                    </w:rPr>
                    <m:t>1=0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φβ</m:t>
                          </m:r>
                        </m:e>
                      </m:d>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t+i</m:t>
                              </m:r>
                            </m:sub>
                          </m:sSub>
                        </m:e>
                      </m:d>
                    </m:e>
                    <m:sup>
                      <m:r>
                        <w:rPr>
                          <w:rFonts w:ascii="Cambria Math" w:hAnsi="Cambria Math"/>
                        </w:rPr>
                        <m:t>-σ</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t+i</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θ-1</m:t>
                      </m:r>
                    </m:sup>
                  </m:sSup>
                  <m:sSub>
                    <m:sSubPr>
                      <m:ctrlPr>
                        <w:rPr>
                          <w:rFonts w:ascii="Cambria Math" w:hAnsi="Cambria Math"/>
                          <w:i/>
                        </w:rPr>
                      </m:ctrlPr>
                    </m:sSubPr>
                    <m:e>
                      <m:r>
                        <w:rPr>
                          <w:rFonts w:ascii="Cambria Math" w:hAnsi="Cambria Math"/>
                        </w:rPr>
                        <m:t>Y</m:t>
                      </m:r>
                    </m:e>
                    <m:sub>
                      <m:r>
                        <w:rPr>
                          <w:rFonts w:ascii="Cambria Math" w:hAnsi="Cambria Math"/>
                        </w:rPr>
                        <m:t>t+i</m:t>
                      </m:r>
                    </m:sub>
                  </m:sSub>
                </m:e>
              </m:nary>
            </m:den>
          </m:f>
          <m:r>
            <w:rPr>
              <w:rFonts w:ascii="Cambria Math" w:hAnsi="Cambria Math"/>
            </w:rPr>
            <m:t xml:space="preserve">                                                       (15)</m:t>
          </m:r>
        </m:oMath>
      </m:oMathPara>
    </w:p>
    <w:p w:rsidR="00694342" w:rsidRPr="00A265F1" w:rsidRDefault="00694342" w:rsidP="00E02BDD"/>
    <w:p w:rsidR="00694342" w:rsidRDefault="00694342" w:rsidP="00E02BDD">
      <w:r>
        <w:t>Como</w:t>
      </w:r>
      <w:r w:rsidRPr="00A265F1">
        <w:t>,</w:t>
      </w:r>
    </w:p>
    <w:p w:rsidR="00694342" w:rsidRPr="00A265F1" w:rsidRDefault="00694342" w:rsidP="00E02BDD"/>
    <w:p w:rsidR="00694342" w:rsidRPr="00A265F1" w:rsidRDefault="00E16B7D" w:rsidP="00E02BDD">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-σ</m:t>
              </m:r>
            </m:sup>
          </m:sSup>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+φβ</m:t>
          </m:r>
          <m:sSub>
            <m:sSubPr>
              <m:ctrlPr>
                <w:rPr>
                  <w:rFonts w:ascii="Cambria Math" w:hAnsi="Cambria Math"/>
                  <w:i/>
                </w:rPr>
              </m:ctrlPr>
            </m:sSubPr>
            <m:e>
              <m:r>
                <w:rPr>
                  <w:rFonts w:ascii="Cambria Math" w:hAnsi="Cambria Math"/>
                </w:rPr>
                <m:t>E</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1t+1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r>
            <w:rPr>
              <w:rFonts w:ascii="Cambria Math" w:hAnsi="Cambria Math"/>
            </w:rPr>
            <m:t xml:space="preserve">                                                                                  (16)</m:t>
          </m:r>
        </m:oMath>
      </m:oMathPara>
    </w:p>
    <w:p w:rsidR="00694342" w:rsidRPr="00A265F1" w:rsidRDefault="00694342" w:rsidP="00E02BDD">
      <w:r w:rsidRPr="00A265F1">
        <w:t>e</w:t>
      </w:r>
    </w:p>
    <w:p w:rsidR="00694342" w:rsidRDefault="00E16B7D" w:rsidP="00E02BDD">
      <w:pPr>
        <w:rPr>
          <w:rFonts w:eastAsia="SimSun"/>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-σ</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+φβ</m:t>
          </m:r>
          <m:sSub>
            <m:sSubPr>
              <m:ctrlPr>
                <w:rPr>
                  <w:rFonts w:ascii="Cambria Math" w:hAnsi="Cambria Math"/>
                  <w:i/>
                </w:rPr>
              </m:ctrlPr>
            </m:sSubPr>
            <m:e>
              <m:r>
                <w:rPr>
                  <w:rFonts w:ascii="Cambria Math" w:hAnsi="Cambria Math"/>
                </w:rPr>
                <m:t>E</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2t+1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θ-1</m:t>
              </m:r>
            </m:sup>
          </m:sSup>
          <m:r>
            <w:rPr>
              <w:rFonts w:ascii="Cambria Math" w:hAnsi="Cambria Math"/>
            </w:rPr>
            <m:t xml:space="preserve">                                                                                  (17)</m:t>
          </m:r>
        </m:oMath>
      </m:oMathPara>
    </w:p>
    <w:p w:rsidR="00694342" w:rsidRDefault="00694342" w:rsidP="00E02BDD"/>
    <w:p w:rsidR="00694342" w:rsidRDefault="00694342" w:rsidP="00E02BDD">
      <w:r>
        <w:t>p</w:t>
      </w:r>
      <w:r w:rsidRPr="00A265F1">
        <w:t>odemos reescrever (</w:t>
      </w:r>
      <w:r w:rsidR="00247CB5">
        <w:t>1</w:t>
      </w:r>
      <w:r>
        <w:t>5</w:t>
      </w:r>
      <w:r w:rsidRPr="00A265F1">
        <w:t xml:space="preserve">) </w:t>
      </w:r>
      <w:r>
        <w:t>da seguinte forma:</w:t>
      </w:r>
    </w:p>
    <w:p w:rsidR="00694342" w:rsidRPr="00A265F1" w:rsidRDefault="00694342" w:rsidP="00E02BDD"/>
    <w:p w:rsidR="00694342" w:rsidRDefault="00E16B7D" w:rsidP="00E02BDD">
      <w:pPr>
        <w:rPr>
          <w:rFonts w:eastAsia="SimSun"/>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θ-1</m:t>
                  </m:r>
                </m:den>
              </m:f>
            </m:e>
          </m:d>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1t</m:t>
                  </m:r>
                </m:sub>
              </m:sSub>
            </m:num>
            <m:den>
              <m:sSub>
                <m:sSubPr>
                  <m:ctrlPr>
                    <w:rPr>
                      <w:rFonts w:ascii="Cambria Math" w:hAnsi="Cambria Math"/>
                      <w:i/>
                    </w:rPr>
                  </m:ctrlPr>
                </m:sSubPr>
                <m:e>
                  <m:r>
                    <w:rPr>
                      <w:rFonts w:ascii="Cambria Math" w:hAnsi="Cambria Math"/>
                    </w:rPr>
                    <m:t>K</m:t>
                  </m:r>
                </m:e>
                <m:sub>
                  <m:r>
                    <w:rPr>
                      <w:rFonts w:ascii="Cambria Math" w:hAnsi="Cambria Math"/>
                    </w:rPr>
                    <m:t>2t</m:t>
                  </m:r>
                </m:sub>
              </m:sSub>
            </m:den>
          </m:f>
          <m:r>
            <w:rPr>
              <w:rFonts w:ascii="Cambria Math" w:hAnsi="Cambria Math"/>
            </w:rPr>
            <m:t xml:space="preserve">     .                                                                                                                                </m:t>
          </m:r>
          <m:d>
            <m:dPr>
              <m:ctrlPr>
                <w:rPr>
                  <w:rFonts w:ascii="Cambria Math" w:hAnsi="Cambria Math"/>
                  <w:i/>
                </w:rPr>
              </m:ctrlPr>
            </m:dPr>
            <m:e>
              <m:r>
                <w:rPr>
                  <w:rFonts w:ascii="Cambria Math" w:hAnsi="Cambria Math"/>
                </w:rPr>
                <m:t>18</m:t>
              </m:r>
            </m:e>
          </m:d>
        </m:oMath>
      </m:oMathPara>
    </w:p>
    <w:p w:rsidR="00694342" w:rsidRPr="00A265F1" w:rsidRDefault="00694342" w:rsidP="00E02BDD"/>
    <w:p w:rsidR="00694342" w:rsidRPr="00A265F1" w:rsidRDefault="00694342" w:rsidP="00E02BDD">
      <w:pPr>
        <w:ind w:firstLine="709"/>
        <w:jc w:val="both"/>
      </w:pPr>
      <w:r>
        <w:t>Onde</w:t>
      </w:r>
      <w:r w:rsidR="00B37DA0">
        <w:t xml:space="preserve"> </w:t>
      </w:r>
      <m:oMath>
        <m:sSub>
          <m:sSubPr>
            <m:ctrlPr>
              <w:rPr>
                <w:rFonts w:ascii="Cambria Math" w:hAnsi="Cambria Math"/>
                <w:i/>
              </w:rPr>
            </m:ctrlPr>
          </m:sSubPr>
          <m:e>
            <m:r>
              <w:rPr>
                <w:rFonts w:ascii="Cambria Math" w:hAnsi="Cambria Math"/>
              </w:rPr>
              <m:t>K</m:t>
            </m:r>
          </m:e>
          <m:sub>
            <m:r>
              <w:rPr>
                <w:rFonts w:ascii="Cambria Math" w:hAnsi="Cambria Math"/>
              </w:rPr>
              <m:t>1t</m:t>
            </m:r>
          </m:sub>
        </m:sSub>
      </m:oMath>
      <w:r w:rsidRPr="00A265F1">
        <w:t xml:space="preserve"> e </w:t>
      </w:r>
      <m:oMath>
        <m:sSub>
          <m:sSubPr>
            <m:ctrlPr>
              <w:rPr>
                <w:rFonts w:ascii="Cambria Math" w:hAnsi="Cambria Math"/>
                <w:i/>
              </w:rPr>
            </m:ctrlPr>
          </m:sSubPr>
          <m:e>
            <m:r>
              <w:rPr>
                <w:rFonts w:ascii="Cambria Math" w:hAnsi="Cambria Math"/>
              </w:rPr>
              <m:t>K</m:t>
            </m:r>
          </m:e>
          <m:sub>
            <m:r>
              <w:rPr>
                <w:rFonts w:ascii="Cambria Math" w:hAnsi="Cambria Math"/>
              </w:rPr>
              <m:t>2t</m:t>
            </m:r>
          </m:sub>
        </m:sSub>
      </m:oMath>
      <w:r w:rsidR="00B37DA0">
        <w:t xml:space="preserve"> </w:t>
      </w:r>
      <w:r>
        <w:t>possuem re</w:t>
      </w:r>
      <w:r w:rsidRPr="00A265F1">
        <w:t xml:space="preserve">presentações recursivas </w:t>
      </w:r>
      <w:r>
        <w:t>dadas por</w:t>
      </w:r>
      <w:r w:rsidRPr="00A265F1">
        <w:t xml:space="preserve"> (</w:t>
      </w:r>
      <w:r w:rsidR="00B37DA0">
        <w:t>16</w:t>
      </w:r>
      <w:r>
        <w:t>) e (</w:t>
      </w:r>
      <w:r w:rsidR="00B37DA0">
        <w:t>17</w:t>
      </w:r>
      <w:r w:rsidRPr="00A265F1">
        <w:t>).</w:t>
      </w:r>
      <w:r w:rsidR="00CF282C">
        <w:t xml:space="preserve"> </w:t>
      </w:r>
      <w:r w:rsidRPr="00A265F1">
        <w:t>Resolvendo (</w:t>
      </w:r>
      <w:r w:rsidR="00B37DA0">
        <w:t>18</w:t>
      </w:r>
      <w:r w:rsidRPr="00A265F1">
        <w:t xml:space="preserve">) para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oMath>
      <w:r w:rsidRPr="00A265F1">
        <w:t xml:space="preserve"> e substit</w:t>
      </w:r>
      <w:r>
        <w:t>u</w:t>
      </w:r>
      <w:r w:rsidRPr="00A265F1">
        <w:t xml:space="preserve">indo o resultado no índice de preços agregados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1-θ</m:t>
            </m:r>
          </m:sup>
        </m:sSubSup>
      </m:oMath>
      <w:r w:rsidRPr="00A265F1">
        <w:t xml:space="preserve">, </w:t>
      </w:r>
      <w:r>
        <w:t xml:space="preserve">dado por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1-θ</m:t>
            </m:r>
          </m:sup>
        </m:sSubSup>
        <m:r>
          <w:rPr>
            <w:rFonts w:ascii="Cambria Math" w:hAnsi="Cambria Math"/>
          </w:rPr>
          <m:t>=</m:t>
        </m:r>
        <m:d>
          <m:dPr>
            <m:ctrlPr>
              <w:rPr>
                <w:rFonts w:ascii="Cambria Math" w:hAnsi="Cambria Math"/>
                <w:i/>
              </w:rPr>
            </m:ctrlPr>
          </m:dPr>
          <m:e>
            <m:r>
              <w:rPr>
                <w:rFonts w:ascii="Cambria Math" w:hAnsi="Cambria Math"/>
              </w:rPr>
              <m:t>1-φ</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e>
            </m:d>
          </m:e>
          <m:sup>
            <m:r>
              <w:rPr>
                <w:rFonts w:ascii="Cambria Math" w:hAnsi="Cambria Math"/>
              </w:rPr>
              <m:t>1-θ</m:t>
            </m:r>
          </m:sup>
        </m:sSup>
        <m:r>
          <w:rPr>
            <w:rFonts w:ascii="Cambria Math" w:hAnsi="Cambria Math"/>
          </w:rPr>
          <m:t>+φ</m:t>
        </m:r>
        <m:sSubSup>
          <m:sSubSupPr>
            <m:ctrlPr>
              <w:rPr>
                <w:rFonts w:ascii="Cambria Math" w:hAnsi="Cambria Math"/>
                <w:i/>
              </w:rPr>
            </m:ctrlPr>
          </m:sSubSupPr>
          <m:e>
            <m:r>
              <w:rPr>
                <w:rFonts w:ascii="Cambria Math" w:hAnsi="Cambria Math"/>
              </w:rPr>
              <m:t>P</m:t>
            </m:r>
          </m:e>
          <m:sub>
            <m:r>
              <w:rPr>
                <w:rFonts w:ascii="Cambria Math" w:hAnsi="Cambria Math"/>
              </w:rPr>
              <m:t>t-1</m:t>
            </m:r>
          </m:sub>
          <m:sup>
            <m:r>
              <w:rPr>
                <w:rFonts w:ascii="Cambria Math" w:hAnsi="Cambria Math"/>
              </w:rPr>
              <m:t>1-θ</m:t>
            </m:r>
          </m:sup>
        </m:sSubSup>
      </m:oMath>
      <w:r>
        <w:t xml:space="preserve">, obtemos  </w:t>
      </w:r>
      <m:oMath>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θ-1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1-φ</m:t>
            </m:r>
          </m:num>
          <m:den>
            <m:r>
              <w:rPr>
                <w:rFonts w:ascii="Cambria Math" w:hAnsi="Cambria Math"/>
              </w:rPr>
              <m:t>φ</m:t>
            </m:r>
          </m:den>
        </m:f>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1t</m:t>
                        </m:r>
                      </m:sub>
                    </m:sSub>
                  </m:num>
                  <m:den>
                    <m:sSub>
                      <m:sSubPr>
                        <m:ctrlPr>
                          <w:rPr>
                            <w:rFonts w:ascii="Cambria Math" w:hAnsi="Cambria Math"/>
                            <w:i/>
                          </w:rPr>
                        </m:ctrlPr>
                      </m:sSubPr>
                      <m:e>
                        <m:r>
                          <w:rPr>
                            <w:rFonts w:ascii="Cambria Math" w:hAnsi="Cambria Math"/>
                          </w:rPr>
                          <m:t>K</m:t>
                        </m:r>
                      </m:e>
                      <m:sub>
                        <m:r>
                          <w:rPr>
                            <w:rFonts w:ascii="Cambria Math" w:hAnsi="Cambria Math"/>
                          </w:rPr>
                          <m:t>2t</m:t>
                        </m:r>
                      </m:sub>
                    </m:sSub>
                  </m:den>
                </m:f>
              </m:e>
            </m:d>
          </m:e>
          <m:sup>
            <m:r>
              <w:rPr>
                <w:rFonts w:ascii="Cambria Math" w:hAnsi="Cambria Math"/>
              </w:rPr>
              <m:t>1-θ</m:t>
            </m:r>
          </m:sup>
        </m:sSup>
      </m:oMath>
      <w:r w:rsidRPr="00A265F1">
        <w:t>.</w:t>
      </w:r>
      <w:r>
        <w:t xml:space="preserve">  Note que   </w:t>
      </w:r>
      <m:oMath>
        <m:r>
          <w:rPr>
            <w:rFonts w:ascii="Cambria Math" w:hAnsi="Cambria Math"/>
          </w:rPr>
          <m:t>μ≡</m:t>
        </m:r>
        <m:f>
          <m:fPr>
            <m:type m:val="lin"/>
            <m:ctrlPr>
              <w:rPr>
                <w:rFonts w:ascii="Cambria Math" w:hAnsi="Cambria Math"/>
                <w:i/>
              </w:rPr>
            </m:ctrlPr>
          </m:fPr>
          <m:num>
            <m:r>
              <w:rPr>
                <w:rFonts w:ascii="Cambria Math" w:hAnsi="Cambria Math"/>
              </w:rPr>
              <m:t>θ</m:t>
            </m:r>
          </m:num>
          <m:den>
            <m:d>
              <m:dPr>
                <m:ctrlPr>
                  <w:rPr>
                    <w:rFonts w:ascii="Cambria Math" w:hAnsi="Cambria Math"/>
                    <w:i/>
                  </w:rPr>
                </m:ctrlPr>
              </m:dPr>
              <m:e>
                <m:r>
                  <w:rPr>
                    <w:rFonts w:ascii="Cambria Math" w:hAnsi="Cambria Math"/>
                  </w:rPr>
                  <m:t>θ-1</m:t>
                </m:r>
              </m:e>
            </m:d>
          </m:den>
        </m:f>
      </m:oMath>
      <w:r>
        <w:t xml:space="preserve"> é o </w:t>
      </w:r>
      <w:r w:rsidRPr="00324250">
        <w:rPr>
          <w:i/>
        </w:rPr>
        <w:t>markup</w:t>
      </w:r>
      <w:r w:rsidRPr="00A265F1">
        <w:t xml:space="preserve"> das firmas.</w:t>
      </w:r>
    </w:p>
    <w:p w:rsidR="00694342" w:rsidRDefault="00694342" w:rsidP="00E02BDD">
      <w:pPr>
        <w:ind w:firstLine="709"/>
        <w:jc w:val="both"/>
      </w:pPr>
      <w:r w:rsidRPr="00A265F1">
        <w:t>Pode-se realizar a agregação linear dos serviços d</w:t>
      </w:r>
      <w:r>
        <w:t>o</w:t>
      </w:r>
      <w:r w:rsidRPr="00A265F1">
        <w:t xml:space="preserve"> trabalho individual para obtermos a </w:t>
      </w:r>
      <w:r>
        <w:t>oferta</w:t>
      </w:r>
      <w:r w:rsidRPr="00A265F1">
        <w:t xml:space="preserve"> agregada de trabalho. Portanto,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N</m:t>
                </m:r>
              </m:e>
              <m:sub>
                <m:r>
                  <w:rPr>
                    <w:rFonts w:ascii="Cambria Math" w:hAnsi="Cambria Math"/>
                  </w:rPr>
                  <m:t>jt</m:t>
                </m:r>
              </m:sub>
            </m:sSub>
            <m:r>
              <w:rPr>
                <w:rFonts w:ascii="Cambria Math" w:hAnsi="Cambria Math"/>
              </w:rPr>
              <m:t>dj</m:t>
            </m:r>
          </m:e>
        </m:nary>
      </m:oMath>
      <w:r w:rsidRPr="00A265F1">
        <w:t xml:space="preserve">. </w:t>
      </w:r>
      <w:r>
        <w:t xml:space="preserve"> Obtemos então a seguinte equação de equilíbrio </w:t>
      </w:r>
      <m:oMath>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oMath>
      <w:r w:rsidRPr="00821222">
        <w:t xml:space="preserve">. Em que </w:t>
      </w:r>
      <m:oMath>
        <m:sSub>
          <m:sSubPr>
            <m:ctrlPr>
              <w:rPr>
                <w:rFonts w:ascii="Cambria Math" w:hAnsi="Cambria Math"/>
                <w:i/>
              </w:rPr>
            </m:ctrlPr>
          </m:sSubPr>
          <m:e>
            <m:r>
              <w:rPr>
                <w:rFonts w:ascii="Cambria Math" w:hAnsi="Cambria Math"/>
              </w:rPr>
              <m:t>⊿</m:t>
            </m:r>
          </m:e>
          <m:sub>
            <m:r>
              <w:rPr>
                <w:rFonts w:ascii="Cambria Math" w:hAnsi="Cambria Math"/>
              </w:rPr>
              <m:t>t</m:t>
            </m:r>
          </m:sub>
        </m:sSub>
      </m:oMath>
      <w:r w:rsidRPr="00821222">
        <w:t xml:space="preserve"> é uma medida de dispersão dos preços relativos definida por</w:t>
      </w:r>
    </w:p>
    <w:p w:rsidR="00694342" w:rsidRPr="00A265F1" w:rsidRDefault="00694342" w:rsidP="00E02BDD">
      <w:pPr>
        <w:jc w:val="both"/>
      </w:pPr>
    </w:p>
    <w:p w:rsidR="00694342" w:rsidRPr="00A265F1" w:rsidRDefault="00E16B7D" w:rsidP="00E02BDD">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r>
                <w:rPr>
                  <w:rFonts w:ascii="Cambria Math" w:hAnsi="Cambria Math"/>
                </w:rPr>
                <m:t>dj</m:t>
              </m:r>
            </m:e>
          </m:nary>
          <m:r>
            <w:rPr>
              <w:rFonts w:ascii="Cambria Math" w:hAnsi="Cambria Math"/>
            </w:rPr>
            <m:t xml:space="preserve">                                                                                                                                (19)</m:t>
          </m:r>
        </m:oMath>
      </m:oMathPara>
    </w:p>
    <w:p w:rsidR="00694342" w:rsidRDefault="00694342" w:rsidP="00E02BDD"/>
    <w:p w:rsidR="00694342" w:rsidRDefault="00694342" w:rsidP="00E02BDD">
      <w:pPr>
        <w:ind w:firstLine="709"/>
      </w:pPr>
      <w:r w:rsidRPr="00A265F1">
        <w:t>Ao agregar</w:t>
      </w:r>
      <w:r>
        <w:t>mos</w:t>
      </w:r>
      <w:r w:rsidRPr="00A265F1">
        <w:t xml:space="preserve"> a fu</w:t>
      </w:r>
      <w:r>
        <w:t>nção de produção temos que:</w:t>
      </w:r>
    </w:p>
    <w:p w:rsidR="00694342" w:rsidRPr="00A265F1" w:rsidRDefault="00694342" w:rsidP="00E02BDD"/>
    <w:p w:rsidR="00694342" w:rsidRPr="00A265F1" w:rsidRDefault="00E16B7D" w:rsidP="00E02BDD">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m:t>
                  </m:r>
                </m:e>
                <m:sub>
                  <m:r>
                    <w:rPr>
                      <w:rFonts w:ascii="Cambria Math" w:hAnsi="Cambria Math"/>
                    </w:rPr>
                    <m:t>t</m:t>
                  </m:r>
                </m:sub>
              </m:sSub>
            </m:den>
          </m:f>
          <m:sSub>
            <m:sSubPr>
              <m:ctrlPr>
                <w:rPr>
                  <w:rFonts w:ascii="Cambria Math" w:hAnsi="Cambria Math"/>
                  <w:i/>
                </w:rPr>
              </m:ctrlPr>
            </m:sSubPr>
            <m:e>
              <m:r>
                <w:rPr>
                  <w:rFonts w:ascii="Cambria Math" w:hAnsi="Cambria Math"/>
                </w:rPr>
                <m:t>N</m:t>
              </m:r>
            </m:e>
            <m:sub>
              <m:r>
                <w:rPr>
                  <w:rFonts w:ascii="Cambria Math" w:hAnsi="Cambria Math"/>
                </w:rPr>
                <m:t xml:space="preserve">t </m:t>
              </m:r>
            </m:sub>
          </m:sSub>
          <m:r>
            <w:rPr>
              <w:rFonts w:ascii="Cambria Math" w:hAnsi="Cambria Math"/>
            </w:rPr>
            <m:t xml:space="preserve">                                                                                                                                                  (20)</m:t>
          </m:r>
        </m:oMath>
      </m:oMathPara>
    </w:p>
    <w:p w:rsidR="00694342" w:rsidRPr="00A265F1" w:rsidRDefault="00694342" w:rsidP="00E02BDD"/>
    <w:p w:rsidR="00694342" w:rsidRDefault="00694342" w:rsidP="00E02BDD">
      <w:pPr>
        <w:ind w:firstLine="709"/>
        <w:jc w:val="both"/>
      </w:pPr>
      <w:r w:rsidRPr="00A265F1">
        <w:t xml:space="preserve">O lucro agregado das firmas é obtido através da agregação dos lucros individuais das firmas. Portanto, </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jt</m:t>
                </m:r>
              </m:sub>
            </m:sSub>
          </m:e>
        </m:nary>
        <m:r>
          <w:rPr>
            <w:rFonts w:ascii="Cambria Math" w:hAnsi="Cambria Math"/>
          </w:rPr>
          <m:t>dj</m:t>
        </m:r>
      </m:oMath>
      <w:r w:rsidRPr="00A265F1">
        <w:t xml:space="preserve">. Integrando os lucros das firmas e combinando-os com as restrições de recursos das famílias e do governo, resulta </w:t>
      </w:r>
      <w:r>
        <w:t>na</w:t>
      </w:r>
      <w:r w:rsidRPr="00A265F1">
        <w:t xml:space="preserve"> restrição agregada de recursos dada por</w:t>
      </w:r>
    </w:p>
    <w:p w:rsidR="00694342" w:rsidRPr="00A265F1" w:rsidRDefault="00694342" w:rsidP="00E02BDD">
      <w:pPr>
        <w:jc w:val="both"/>
      </w:pPr>
    </w:p>
    <w:p w:rsidR="00694342" w:rsidRPr="00A265F1" w:rsidRDefault="00E16B7D" w:rsidP="00E02BDD">
      <m:oMathPara>
        <m:oMathParaPr>
          <m:jc m:val="left"/>
        </m:oMathParaPr>
        <m:oMath>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m:t>
                  </m:r>
                </m:e>
                <m:sub>
                  <m:r>
                    <w:rPr>
                      <w:rFonts w:ascii="Cambria Math" w:hAnsi="Cambria Math"/>
                    </w:rPr>
                    <m:t>t</m:t>
                  </m:r>
                </m:sub>
              </m:sSub>
            </m:den>
          </m:f>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(21)</m:t>
          </m:r>
        </m:oMath>
      </m:oMathPara>
    </w:p>
    <w:p w:rsidR="00694342" w:rsidRDefault="00694342" w:rsidP="00E02BDD">
      <w:pPr>
        <w:jc w:val="both"/>
      </w:pPr>
    </w:p>
    <w:p w:rsidR="00694342" w:rsidRDefault="00694342" w:rsidP="00E02BDD">
      <w:pPr>
        <w:ind w:firstLine="709"/>
        <w:jc w:val="both"/>
      </w:pPr>
      <w:r w:rsidRPr="00A265F1">
        <w:t>Por fim é importante destacar que a dispersão de preços r</w:t>
      </w:r>
      <w:r>
        <w:t>elativos evolui de acordo com (</w:t>
      </w:r>
      <w:r w:rsidR="00B37DA0">
        <w:t>22</w:t>
      </w:r>
      <w:r w:rsidRPr="00A265F1">
        <w:t>) e que os gastos do governo de acordo com (</w:t>
      </w:r>
      <w:r w:rsidR="00B37DA0">
        <w:t>23</w:t>
      </w:r>
      <w:r>
        <w:t>)</w:t>
      </w:r>
      <w:r w:rsidR="00B37DA0">
        <w:t>,</w:t>
      </w:r>
      <w:r>
        <w:t xml:space="preserve"> equações que são apresentadas a seguir.</w:t>
      </w:r>
    </w:p>
    <w:p w:rsidR="00694342" w:rsidRPr="00A265F1" w:rsidRDefault="00694342" w:rsidP="00E02BDD">
      <w:pPr>
        <w:jc w:val="both"/>
      </w:pPr>
    </w:p>
    <w:p w:rsidR="00694342" w:rsidRPr="00A265F1" w:rsidRDefault="00E16B7D" w:rsidP="00E02BDD">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1-φ</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-θ</m:t>
              </m:r>
            </m:sup>
          </m:sSup>
          <m:r>
            <w:rPr>
              <w:rFonts w:ascii="Cambria Math" w:hAnsi="Cambria Math"/>
            </w:rPr>
            <m:t>+φ</m:t>
          </m:r>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θ</m:t>
              </m:r>
            </m:sup>
          </m:sSubSup>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 xml:space="preserve">                                                                                                        (22)</m:t>
          </m:r>
        </m:oMath>
      </m:oMathPara>
    </w:p>
    <w:p w:rsidR="00694342" w:rsidRDefault="00694342" w:rsidP="00E02BDD">
      <w:r>
        <w:t>e</w:t>
      </w:r>
    </w:p>
    <w:p w:rsidR="00694342" w:rsidRPr="00A265F1" w:rsidRDefault="00694342" w:rsidP="00E02BDD"/>
    <w:p w:rsidR="00694342" w:rsidRDefault="00694342" w:rsidP="00E02BDD">
      <w:pPr>
        <w:rPr>
          <w:rFonts w:eastAsia="SimSun"/>
        </w:rPr>
      </w:pPr>
      <m:oMathPara>
        <m:oMathParaPr>
          <m:jc m:val="lef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r>
            <w:rPr>
              <w:rFonts w:ascii="Cambria Math" w:hAnsi="Cambria Math"/>
            </w:rPr>
            <m:t>=log</m:t>
          </m:r>
          <m:d>
            <m:dPr>
              <m:ctrlPr>
                <w:rPr>
                  <w:rFonts w:ascii="Cambria Math" w:hAnsi="Cambria Math"/>
                  <w:i/>
                </w:rPr>
              </m:ctrlPr>
            </m:dPr>
            <m:e>
              <m:acc>
                <m:accPr>
                  <m:chr m:val="̅"/>
                  <m:ctrlPr>
                    <w:rPr>
                      <w:rFonts w:ascii="Cambria Math" w:hAnsi="Cambria Math"/>
                      <w:i/>
                    </w:rPr>
                  </m:ctrlPr>
                </m:accPr>
                <m:e>
                  <m:r>
                    <w:rPr>
                      <w:rFonts w:ascii="Cambria Math" w:hAnsi="Cambria Math"/>
                    </w:rPr>
                    <m:t>G</m:t>
                  </m:r>
                </m:e>
              </m:acc>
            </m:e>
          </m:d>
          <m:d>
            <m:dPr>
              <m:ctrlPr>
                <w:rPr>
                  <w:rFonts w:ascii="Cambria Math" w:hAnsi="Cambria Math"/>
                  <w:i/>
                </w:rPr>
              </m:ctrlPr>
            </m:dPr>
            <m:e>
              <m:r>
                <w:rPr>
                  <w:rFonts w:ascii="Cambria Math" w:hAnsi="Cambria Math"/>
                </w:rPr>
                <m:t>1-ρ</m:t>
              </m:r>
            </m:e>
          </m:d>
          <m:r>
            <w:rPr>
              <w:rFonts w:ascii="Cambria Math" w:hAnsi="Cambria Math"/>
            </w:rPr>
            <m:t>+ρlog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(23)</m:t>
          </m:r>
        </m:oMath>
      </m:oMathPara>
    </w:p>
    <w:p w:rsidR="00694342" w:rsidRPr="00A265F1" w:rsidRDefault="00694342" w:rsidP="00E02BDD"/>
    <w:p w:rsidR="00694342" w:rsidRPr="00A265F1" w:rsidRDefault="00694342" w:rsidP="00E02BDD">
      <w:r w:rsidRPr="00A265F1">
        <w:lastRenderedPageBreak/>
        <w:t xml:space="preserve">Onde, </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oMath>
      <w:r w:rsidRPr="00A265F1">
        <w:t xml:space="preserve">  e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A265F1">
        <w:t xml:space="preserve"> .</w:t>
      </w:r>
    </w:p>
    <w:p w:rsidR="00694342" w:rsidRDefault="00694342" w:rsidP="00E02BDD"/>
    <w:p w:rsidR="002E111B" w:rsidRDefault="002E111B" w:rsidP="00E02BDD"/>
    <w:p w:rsidR="00694342" w:rsidRDefault="00694342" w:rsidP="00E02BDD">
      <w:pPr>
        <w:pStyle w:val="PargrafodaLista"/>
        <w:numPr>
          <w:ilvl w:val="0"/>
          <w:numId w:val="4"/>
        </w:numPr>
        <w:spacing w:after="0" w:line="240" w:lineRule="auto"/>
        <w:rPr>
          <w:rFonts w:ascii="Times New Roman" w:hAnsi="Times New Roman"/>
          <w:sz w:val="24"/>
          <w:szCs w:val="24"/>
        </w:rPr>
      </w:pPr>
      <w:r>
        <w:rPr>
          <w:rFonts w:ascii="Times New Roman" w:hAnsi="Times New Roman"/>
          <w:sz w:val="24"/>
          <w:szCs w:val="24"/>
        </w:rPr>
        <w:t>Restrição Orçamentária do Governo</w:t>
      </w:r>
    </w:p>
    <w:p w:rsidR="00694342" w:rsidRPr="00A265F1" w:rsidRDefault="00694342" w:rsidP="00E02BDD">
      <w:pPr>
        <w:pStyle w:val="PargrafodaLista"/>
        <w:spacing w:after="0" w:line="240" w:lineRule="auto"/>
        <w:rPr>
          <w:rFonts w:ascii="Times New Roman" w:hAnsi="Times New Roman"/>
          <w:sz w:val="24"/>
          <w:szCs w:val="24"/>
        </w:rPr>
      </w:pPr>
    </w:p>
    <w:p w:rsidR="00694342" w:rsidRPr="00A265F1" w:rsidRDefault="00694342" w:rsidP="00E02BDD">
      <w:pPr>
        <w:ind w:firstLine="709"/>
      </w:pPr>
      <w:r w:rsidRPr="00A265F1">
        <w:t xml:space="preserve">O processo para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e>
        </m:d>
      </m:oMath>
      <w:r w:rsidRPr="00A265F1">
        <w:t xml:space="preserve"> deve satisfazer </w:t>
      </w:r>
      <w:r>
        <w:t xml:space="preserve">a restrição </w:t>
      </w:r>
      <w:r w:rsidRPr="00A265F1">
        <w:t>orçamentári</w:t>
      </w:r>
      <w:r>
        <w:t>a</w:t>
      </w:r>
      <w:r w:rsidRPr="00A265F1">
        <w:t xml:space="preserve"> do governo:</w:t>
      </w:r>
    </w:p>
    <w:p w:rsidR="00694342" w:rsidRPr="00A265F1" w:rsidRDefault="00694342" w:rsidP="00E02BDD">
      <w:pPr>
        <w:ind w:left="708"/>
      </w:pPr>
    </w:p>
    <w:p w:rsidR="00694342" w:rsidRDefault="00E16B7D" w:rsidP="00E02BDD">
      <w:pPr>
        <w:rPr>
          <w:rFonts w:eastAsia="SimSun"/>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e>
              </m:d>
              <m:sSub>
                <m:sSubPr>
                  <m:ctrlPr>
                    <w:rPr>
                      <w:rFonts w:ascii="Cambria Math" w:hAnsi="Cambria Math"/>
                      <w:i/>
                    </w:rPr>
                  </m:ctrlPr>
                </m:sSubPr>
                <m:e>
                  <m:r>
                    <w:rPr>
                      <w:rFonts w:ascii="Cambria Math" w:hAnsi="Cambria Math"/>
                    </w:rPr>
                    <m:t>B</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 xml:space="preserve">    ,                                                                              (24)</m:t>
          </m:r>
        </m:oMath>
      </m:oMathPara>
    </w:p>
    <w:p w:rsidR="00694342" w:rsidRPr="00A265F1" w:rsidRDefault="00694342" w:rsidP="00E02BDD"/>
    <w:p w:rsidR="00694342" w:rsidRPr="00A265F1" w:rsidRDefault="00694342" w:rsidP="00E02BDD">
      <w:r>
        <w:t>d</w:t>
      </w:r>
      <w:r w:rsidRPr="00A265F1">
        <w:t xml:space="preserve">ado que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&gt;0</m:t>
        </m:r>
      </m:oMath>
      <w:r w:rsidRPr="00A265F1">
        <w:t xml:space="preserve">   e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r-1</m:t>
                </m:r>
              </m:sub>
            </m:sSub>
          </m:e>
        </m:d>
        <m:sSub>
          <m:sSubPr>
            <m:ctrlPr>
              <w:rPr>
                <w:rFonts w:ascii="Cambria Math" w:hAnsi="Cambria Math"/>
                <w:i/>
              </w:rPr>
            </m:ctrlPr>
          </m:sSubPr>
          <m:e>
            <m:r>
              <w:rPr>
                <w:rFonts w:ascii="Cambria Math" w:hAnsi="Cambria Math"/>
              </w:rPr>
              <m:t>B</m:t>
            </m:r>
          </m:e>
          <m:sub>
            <m:r>
              <w:rPr>
                <w:rFonts w:ascii="Cambria Math" w:hAnsi="Cambria Math"/>
              </w:rPr>
              <m:t>-1</m:t>
            </m:r>
          </m:sub>
        </m:sSub>
      </m:oMath>
    </w:p>
    <w:p w:rsidR="00694342" w:rsidRDefault="00694342" w:rsidP="00E02BDD"/>
    <w:p w:rsidR="002E111B" w:rsidRDefault="002E111B" w:rsidP="00E02BDD"/>
    <w:p w:rsidR="00694342" w:rsidRPr="001D5CAF" w:rsidRDefault="00694342" w:rsidP="00E02BDD">
      <w:pPr>
        <w:pStyle w:val="PargrafodaLista"/>
        <w:numPr>
          <w:ilvl w:val="0"/>
          <w:numId w:val="4"/>
        </w:numPr>
        <w:spacing w:after="0" w:line="240" w:lineRule="auto"/>
        <w:rPr>
          <w:rFonts w:ascii="Times New Roman" w:hAnsi="Times New Roman"/>
          <w:sz w:val="24"/>
          <w:szCs w:val="24"/>
        </w:rPr>
      </w:pPr>
      <w:r>
        <w:rPr>
          <w:rFonts w:ascii="Times New Roman" w:hAnsi="Times New Roman"/>
          <w:sz w:val="24"/>
          <w:szCs w:val="24"/>
        </w:rPr>
        <w:t>Os v</w:t>
      </w:r>
      <w:r w:rsidRPr="009B1443">
        <w:rPr>
          <w:rFonts w:ascii="Times New Roman" w:hAnsi="Times New Roman"/>
          <w:sz w:val="24"/>
          <w:szCs w:val="24"/>
        </w:rPr>
        <w:t>alores no Estado Estacionário</w:t>
      </w:r>
    </w:p>
    <w:p w:rsidR="00694342" w:rsidRPr="001405F5" w:rsidRDefault="00694342" w:rsidP="00E02BDD">
      <w:pPr>
        <w:pStyle w:val="PargrafodaLista"/>
        <w:spacing w:after="0" w:line="240" w:lineRule="auto"/>
        <w:rPr>
          <w:rFonts w:ascii="Times New Roman" w:hAnsi="Times New Roman"/>
          <w:sz w:val="24"/>
          <w:szCs w:val="24"/>
        </w:rPr>
      </w:pPr>
    </w:p>
    <w:p w:rsidR="00694342" w:rsidRDefault="00694342" w:rsidP="00E02BDD">
      <w:pPr>
        <w:pStyle w:val="PargrafodaLista"/>
        <w:spacing w:after="0" w:line="240" w:lineRule="auto"/>
        <w:ind w:left="0" w:firstLine="720"/>
        <w:jc w:val="both"/>
        <w:rPr>
          <w:rFonts w:ascii="Times New Roman" w:hAnsi="Times New Roman"/>
          <w:sz w:val="24"/>
          <w:szCs w:val="24"/>
        </w:rPr>
      </w:pPr>
      <w:r>
        <w:rPr>
          <w:rFonts w:ascii="Times New Roman" w:hAnsi="Times New Roman"/>
          <w:sz w:val="24"/>
          <w:szCs w:val="24"/>
        </w:rPr>
        <w:t>O valor do nível da dívida, no estado estacionário e condicionado aos regimes, é fixado para ser igual ao longo dos regimes. Como apontam Davig e Leeper (2011), isto é feito através da substituição da regra de política fiscal na equação da restrição orçamentária do governo tomando-se como uma unidade (um) o valor determinístico do produto (hiato do produto) no estado estacionário. Resolvendo para o intercepto da regra de política fiscal temos:</w:t>
      </w:r>
    </w:p>
    <w:p w:rsidR="00694342" w:rsidRPr="00A265F1" w:rsidRDefault="00694342" w:rsidP="00E02BDD">
      <w:pPr>
        <w:pStyle w:val="PargrafodaLista"/>
        <w:spacing w:after="0" w:line="240" w:lineRule="auto"/>
        <w:ind w:left="0" w:firstLine="720"/>
        <w:rPr>
          <w:rFonts w:ascii="Times New Roman" w:hAnsi="Times New Roman"/>
          <w:sz w:val="24"/>
          <w:szCs w:val="24"/>
        </w:rPr>
      </w:pPr>
    </w:p>
    <w:p w:rsidR="00694342" w:rsidRPr="00A265F1" w:rsidRDefault="00E16B7D" w:rsidP="00E02BDD">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F</m:t>
                  </m:r>
                </m:sup>
              </m:sSubSup>
            </m:e>
          </m:d>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1+π</m:t>
                  </m:r>
                </m:den>
              </m:f>
            </m:e>
          </m:d>
          <m:r>
            <w:rPr>
              <w:rFonts w:ascii="Cambria Math" w:hAnsi="Cambria Math"/>
            </w:rPr>
            <m:t>-b</m:t>
          </m:r>
          <m:d>
            <m:dPr>
              <m:ctrlPr>
                <w:rPr>
                  <w:rFonts w:ascii="Cambria Math" w:hAnsi="Cambria Math"/>
                  <w:i/>
                </w:rPr>
              </m:ctrlPr>
            </m:dPr>
            <m:e>
              <m:r>
                <w:rPr>
                  <w:rFonts w:ascii="Cambria Math" w:hAnsi="Cambria Math"/>
                </w:rPr>
                <m:t>1+γ</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F</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-1</m:t>
                      </m:r>
                    </m:sup>
                  </m:sSup>
                </m:num>
                <m:den>
                  <m:d>
                    <m:dPr>
                      <m:ctrlPr>
                        <w:rPr>
                          <w:rFonts w:ascii="Cambria Math" w:hAnsi="Cambria Math"/>
                          <w:i/>
                        </w:rPr>
                      </m:ctrlPr>
                    </m:dPr>
                    <m:e>
                      <m:r>
                        <w:rPr>
                          <w:rFonts w:ascii="Cambria Math" w:hAnsi="Cambria Math"/>
                        </w:rPr>
                        <m:t>1+π</m:t>
                      </m:r>
                    </m:e>
                  </m:d>
                </m:den>
              </m:f>
            </m:e>
          </m:d>
          <m:r>
            <w:rPr>
              <w:rFonts w:ascii="Cambria Math" w:hAnsi="Cambria Math"/>
            </w:rPr>
            <m:t xml:space="preserve">                                                                  (25)</m:t>
          </m:r>
        </m:oMath>
      </m:oMathPara>
    </w:p>
    <w:p w:rsidR="00694342" w:rsidRPr="00A265F1" w:rsidRDefault="00694342" w:rsidP="00E02BDD"/>
    <w:p w:rsidR="00694342" w:rsidRDefault="00694342" w:rsidP="00E02BDD">
      <w:pPr>
        <w:ind w:firstLine="709"/>
        <w:jc w:val="both"/>
      </w:pPr>
      <w:r>
        <w:t xml:space="preserve">Onde, cada variável com exceção de </w:t>
      </w:r>
      <m:oMath>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F</m:t>
                </m:r>
              </m:sup>
            </m:sSubSup>
          </m:e>
        </m:d>
      </m:oMath>
      <w:r>
        <w:t xml:space="preserve"> e </w:t>
      </w:r>
      <m:oMath>
        <m: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F</m:t>
                </m:r>
              </m:sup>
            </m:sSubSup>
          </m:e>
        </m:d>
      </m:oMath>
      <w:r>
        <w:t xml:space="preserve"> estão no seu valor no estado estacionário. O mesmo procedimento é adotado para a regra da política monetária e para a demanda por moeda. Assim como a dívida, o valor da taxa de inflação é fixado para ser igual ao longo dos regimes. </w:t>
      </w:r>
    </w:p>
    <w:p w:rsidR="00694342" w:rsidRDefault="00694342" w:rsidP="00E02BDD"/>
    <w:p w:rsidR="002F278D" w:rsidRPr="00013C4D" w:rsidRDefault="002F278D" w:rsidP="00E02BDD">
      <w:pPr>
        <w:pStyle w:val="PargrafodaLista"/>
        <w:numPr>
          <w:ilvl w:val="1"/>
          <w:numId w:val="6"/>
        </w:numPr>
        <w:spacing w:after="0" w:line="240" w:lineRule="auto"/>
        <w:rPr>
          <w:rFonts w:ascii="Times New Roman" w:hAnsi="Times New Roman"/>
          <w:b/>
          <w:sz w:val="24"/>
          <w:szCs w:val="24"/>
        </w:rPr>
      </w:pPr>
      <w:r>
        <w:rPr>
          <w:rFonts w:ascii="Times New Roman" w:hAnsi="Times New Roman"/>
          <w:b/>
          <w:sz w:val="24"/>
          <w:szCs w:val="24"/>
        </w:rPr>
        <w:t>A Calibragem do Modelo</w:t>
      </w:r>
    </w:p>
    <w:p w:rsidR="002F278D" w:rsidRPr="00A265F1" w:rsidRDefault="002F278D" w:rsidP="00E02BDD">
      <w:pPr>
        <w:jc w:val="both"/>
      </w:pPr>
    </w:p>
    <w:p w:rsidR="00DE1791" w:rsidRDefault="002F278D" w:rsidP="00E02BDD">
      <w:pPr>
        <w:ind w:firstLine="709"/>
        <w:jc w:val="both"/>
      </w:pPr>
      <w:r w:rsidRPr="00A265F1">
        <w:t xml:space="preserve">O modelo foi calibrado </w:t>
      </w:r>
      <w:r>
        <w:t xml:space="preserve">utilizando os </w:t>
      </w:r>
      <w:r w:rsidRPr="00A265F1">
        <w:t xml:space="preserve">valores apresentados pela Tabela </w:t>
      </w:r>
      <w:r w:rsidR="00B37DA0">
        <w:t>3</w:t>
      </w:r>
      <w:r>
        <w:t xml:space="preserve">. </w:t>
      </w:r>
      <w:r w:rsidR="00DE1791">
        <w:t xml:space="preserve">Após a calibragem do </w:t>
      </w:r>
      <w:r w:rsidR="00DB09B8">
        <w:t>DSGE</w:t>
      </w:r>
      <w:r w:rsidR="00DE1791">
        <w:t xml:space="preserve"> utilizamos uma rotina numérica (desenvolvida por</w:t>
      </w:r>
      <w:r w:rsidR="00854C3B">
        <w:t xml:space="preserve"> </w:t>
      </w:r>
      <w:r w:rsidR="00DE1791" w:rsidRPr="00A265F1">
        <w:t>Davig e Leeper (20</w:t>
      </w:r>
      <w:r w:rsidR="00DE1791">
        <w:t>06</w:t>
      </w:r>
      <w:r w:rsidR="00DE1791" w:rsidRPr="00A265F1">
        <w:t>)</w:t>
      </w:r>
      <w:r w:rsidR="00DE1791">
        <w:t>) para obter o equilíbrio dinâmico do modelo resolvendo um sistema de equações de diferenças de primeira ordem expectacionais dinâmicas não lineares. A rotina utiliza um</w:t>
      </w:r>
      <w:r w:rsidR="00DE1791" w:rsidRPr="00A265F1">
        <w:t xml:space="preserve"> método de mapeamento monotônico </w:t>
      </w:r>
      <w:r w:rsidR="00DE1791">
        <w:t>baseado em Coleman</w:t>
      </w:r>
      <w:r w:rsidR="00DE1791" w:rsidRPr="00A265F1">
        <w:t xml:space="preserve"> (</w:t>
      </w:r>
      <w:r w:rsidR="00DE1791">
        <w:t>1991</w:t>
      </w:r>
      <w:r w:rsidR="00DE1791" w:rsidRPr="00A265F1">
        <w:t>).</w:t>
      </w:r>
      <w:r w:rsidR="00DE1791">
        <w:rPr>
          <w:rStyle w:val="Refdenotaderodap"/>
        </w:rPr>
        <w:footnoteReference w:id="17"/>
      </w:r>
    </w:p>
    <w:p w:rsidR="00D20105" w:rsidRDefault="00D20105" w:rsidP="00E02BDD">
      <w:pPr>
        <w:ind w:firstLine="709"/>
        <w:jc w:val="both"/>
      </w:pPr>
    </w:p>
    <w:tbl>
      <w:tblPr>
        <w:tblW w:w="8698" w:type="dxa"/>
        <w:jc w:val="center"/>
        <w:tblInd w:w="698" w:type="dxa"/>
        <w:tblCellMar>
          <w:left w:w="70" w:type="dxa"/>
          <w:right w:w="70" w:type="dxa"/>
        </w:tblCellMar>
        <w:tblLook w:val="04A0"/>
      </w:tblPr>
      <w:tblGrid>
        <w:gridCol w:w="969"/>
        <w:gridCol w:w="241"/>
        <w:gridCol w:w="921"/>
        <w:gridCol w:w="6567"/>
      </w:tblGrid>
      <w:tr w:rsidR="002F278D" w:rsidRPr="002E111B" w:rsidTr="00CA7067">
        <w:trPr>
          <w:trHeight w:val="315"/>
          <w:jc w:val="center"/>
        </w:trPr>
        <w:tc>
          <w:tcPr>
            <w:tcW w:w="1210" w:type="dxa"/>
            <w:gridSpan w:val="2"/>
            <w:tcBorders>
              <w:top w:val="nil"/>
              <w:left w:val="nil"/>
              <w:bottom w:val="single" w:sz="8" w:space="0" w:color="auto"/>
              <w:right w:val="nil"/>
            </w:tcBorders>
            <w:shd w:val="clear" w:color="000000" w:fill="FFFFFF"/>
          </w:tcPr>
          <w:p w:rsidR="002F278D" w:rsidRPr="002E111B" w:rsidRDefault="002F278D" w:rsidP="0001602F">
            <w:pPr>
              <w:jc w:val="center"/>
              <w:rPr>
                <w:color w:val="000000"/>
              </w:rPr>
            </w:pPr>
          </w:p>
        </w:tc>
        <w:tc>
          <w:tcPr>
            <w:tcW w:w="7488" w:type="dxa"/>
            <w:gridSpan w:val="2"/>
            <w:tcBorders>
              <w:top w:val="nil"/>
              <w:left w:val="nil"/>
              <w:bottom w:val="single" w:sz="8" w:space="0" w:color="auto"/>
              <w:right w:val="nil"/>
            </w:tcBorders>
            <w:shd w:val="clear" w:color="000000" w:fill="FFFFFF"/>
            <w:noWrap/>
            <w:vAlign w:val="bottom"/>
            <w:hideMark/>
          </w:tcPr>
          <w:p w:rsidR="002F278D" w:rsidRPr="002E111B" w:rsidRDefault="002F278D" w:rsidP="00B37DA0">
            <w:pPr>
              <w:jc w:val="center"/>
              <w:rPr>
                <w:color w:val="000000"/>
              </w:rPr>
            </w:pPr>
            <w:r w:rsidRPr="002E111B">
              <w:rPr>
                <w:color w:val="000000"/>
                <w:sz w:val="22"/>
                <w:szCs w:val="22"/>
              </w:rPr>
              <w:t xml:space="preserve">Tabela </w:t>
            </w:r>
            <w:r w:rsidR="00B37DA0">
              <w:rPr>
                <w:color w:val="000000"/>
                <w:sz w:val="22"/>
                <w:szCs w:val="22"/>
              </w:rPr>
              <w:t>3</w:t>
            </w:r>
            <w:r w:rsidR="00B37DA0" w:rsidRPr="002E111B">
              <w:rPr>
                <w:color w:val="000000"/>
                <w:sz w:val="22"/>
                <w:szCs w:val="22"/>
              </w:rPr>
              <w:t xml:space="preserve"> </w:t>
            </w:r>
            <w:r w:rsidRPr="002E111B">
              <w:rPr>
                <w:color w:val="000000"/>
                <w:sz w:val="22"/>
                <w:szCs w:val="22"/>
              </w:rPr>
              <w:t>- Descrição dos parâmetros do modelo</w:t>
            </w:r>
          </w:p>
        </w:tc>
      </w:tr>
      <w:tr w:rsidR="002F278D" w:rsidRPr="002E111B" w:rsidTr="00CA7067">
        <w:trPr>
          <w:trHeight w:val="300"/>
          <w:jc w:val="center"/>
        </w:trPr>
        <w:tc>
          <w:tcPr>
            <w:tcW w:w="8698" w:type="dxa"/>
            <w:gridSpan w:val="4"/>
            <w:tcBorders>
              <w:top w:val="nil"/>
              <w:left w:val="nil"/>
              <w:bottom w:val="single" w:sz="4" w:space="0" w:color="auto"/>
              <w:right w:val="nil"/>
            </w:tcBorders>
            <w:shd w:val="clear" w:color="000000" w:fill="FFFFFF"/>
          </w:tcPr>
          <w:p w:rsidR="002F278D" w:rsidRPr="002E111B" w:rsidRDefault="002F278D" w:rsidP="0001602F">
            <w:pPr>
              <w:rPr>
                <w:b/>
                <w:bCs/>
                <w:color w:val="000000"/>
              </w:rPr>
            </w:pPr>
            <w:r w:rsidRPr="002E111B">
              <w:rPr>
                <w:b/>
                <w:bCs/>
                <w:color w:val="000000"/>
                <w:sz w:val="22"/>
                <w:szCs w:val="22"/>
              </w:rPr>
              <w:t>Parâmetros Calibrados</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β</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0,985</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taxa de desconto intertemporal</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σ</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elasticidade de substituição intertemporal do consumo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η</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elasticidade da oferta de trabalho em relação ao salário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κ</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2,3</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elasticidade juros da demanda real por moeda</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δ</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6,06</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velocidade da base monetária</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μ</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1,15</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i/>
                <w:color w:val="000000"/>
                <w:sz w:val="22"/>
                <w:szCs w:val="22"/>
              </w:rPr>
              <w:t>markup</w:t>
            </w:r>
            <w:r w:rsidRPr="002E111B">
              <w:rPr>
                <w:color w:val="000000"/>
                <w:sz w:val="22"/>
                <w:szCs w:val="22"/>
              </w:rPr>
              <w:t xml:space="preserve"> da firmas em relação aos preços</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φ</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0,66</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parcela de firmas que não podem alterar preços</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Ζ</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parâmetro tecnológico em estado estacionário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
              <m:acc>
                <m:accPr>
                  <m:chr m:val="̅"/>
                  <m:ctrlPr>
                    <w:rPr>
                      <w:rFonts w:ascii="Cambria" w:hAnsi="Cambria Math"/>
                      <w:b/>
                      <w:color w:val="000000"/>
                      <w:sz w:val="22"/>
                      <w:szCs w:val="22"/>
                    </w:rPr>
                  </m:ctrlPr>
                </m:accPr>
                <m:e>
                  <m:r>
                    <m:rPr>
                      <m:sty m:val="b"/>
                    </m:rPr>
                    <w:rPr>
                      <w:rFonts w:ascii="Cambria Math" w:hAnsi="Cambria Math"/>
                      <w:color w:val="000000"/>
                      <w:sz w:val="22"/>
                      <w:szCs w:val="22"/>
                    </w:rPr>
                    <m:t>N</m:t>
                  </m:r>
                </m:e>
              </m:acc>
            </m:oMath>
            <w:r w:rsidR="002F278D" w:rsidRPr="002E111B">
              <w:rPr>
                <w:b/>
                <w:color w:val="000000"/>
                <w:sz w:val="22"/>
                <w:szCs w:val="22"/>
              </w:rPr>
              <w:t> </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0,2</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parcela de tempo trabalhando em estado estacionário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2F278D" w:rsidP="0001602F">
            <w:pPr>
              <w:jc w:val="center"/>
              <w:rPr>
                <w:b/>
                <w:color w:val="000000"/>
              </w:rPr>
            </w:pPr>
            <w:r w:rsidRPr="002E111B">
              <w:rPr>
                <w:b/>
                <w:color w:val="000000"/>
                <w:sz w:val="22"/>
                <w:szCs w:val="22"/>
              </w:rPr>
              <w:t> </w:t>
            </w:r>
            <m:oMath>
              <m:acc>
                <m:accPr>
                  <m:chr m:val="̅"/>
                  <m:ctrlPr>
                    <w:rPr>
                      <w:rFonts w:ascii="Cambria" w:hAnsi="Cambria Math"/>
                      <w:b/>
                      <w:color w:val="000000"/>
                      <w:sz w:val="22"/>
                      <w:szCs w:val="22"/>
                    </w:rPr>
                  </m:ctrlPr>
                </m:accPr>
                <m:e>
                  <m:r>
                    <m:rPr>
                      <m:sty m:val="b"/>
                    </m:rPr>
                    <w:rPr>
                      <w:rFonts w:ascii="Cambria Math" w:hAnsi="Cambria Math"/>
                      <w:color w:val="000000"/>
                      <w:sz w:val="22"/>
                      <w:szCs w:val="22"/>
                    </w:rPr>
                    <m:t>π</m:t>
                  </m:r>
                </m:e>
              </m:acc>
            </m:oMath>
            <w:r w:rsidRPr="002E111B">
              <w:rPr>
                <w:b/>
                <w:color w:val="000000"/>
                <w:sz w:val="22"/>
                <w:szCs w:val="22"/>
              </w:rPr>
              <w:t> </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0,045</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taxa de inflação em estado estacionário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CA7067">
            <w:pPr>
              <w:jc w:val="center"/>
              <w:rPr>
                <w:b/>
                <w:color w:val="000000"/>
              </w:rPr>
            </w:pPr>
            <m:oMathPara>
              <m:oMath>
                <m:acc>
                  <m:accPr>
                    <m:chr m:val="̅"/>
                    <m:ctrlPr>
                      <w:rPr>
                        <w:rFonts w:ascii="Cambria" w:hAnsi="Cambria Math"/>
                        <w:b/>
                        <w:color w:val="000000"/>
                        <w:sz w:val="22"/>
                        <w:szCs w:val="22"/>
                      </w:rPr>
                    </m:ctrlPr>
                  </m:accPr>
                  <m:e>
                    <m:r>
                      <m:rPr>
                        <m:sty m:val="b"/>
                      </m:rPr>
                      <w:rPr>
                        <w:rFonts w:ascii="Cambria Math" w:hAnsi="Cambria Math"/>
                        <w:color w:val="000000"/>
                        <w:sz w:val="22"/>
                        <w:szCs w:val="22"/>
                      </w:rPr>
                      <m:t>B</m:t>
                    </m:r>
                  </m:e>
                </m:acc>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0,305</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razão entre a dívida do governo e o PIB em estado estacionário</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CA7067">
            <w:pPr>
              <w:jc w:val="center"/>
              <w:rPr>
                <w:b/>
                <w:color w:val="000000"/>
              </w:rPr>
            </w:pPr>
            <m:oMathPara>
              <m:oMath>
                <m:acc>
                  <m:accPr>
                    <m:chr m:val="̅"/>
                    <m:ctrlPr>
                      <w:rPr>
                        <w:rFonts w:ascii="Cambria" w:hAnsi="Cambria Math"/>
                        <w:b/>
                        <w:color w:val="000000"/>
                        <w:sz w:val="22"/>
                        <w:szCs w:val="22"/>
                      </w:rPr>
                    </m:ctrlPr>
                  </m:accPr>
                  <m:e>
                    <m:r>
                      <m:rPr>
                        <m:sty m:val="b"/>
                      </m:rPr>
                      <w:rPr>
                        <w:rFonts w:ascii="Cambria Math" w:hAnsi="Cambria Math"/>
                        <w:color w:val="000000"/>
                        <w:sz w:val="22"/>
                        <w:szCs w:val="22"/>
                      </w:rPr>
                      <m:t>G</m:t>
                    </m:r>
                  </m:e>
                </m:acc>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0,161</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razão entre o gasto do governo e o PIB em estado estacionário</w:t>
            </w:r>
          </w:p>
        </w:tc>
      </w:tr>
      <w:tr w:rsidR="002F278D" w:rsidRPr="002E111B" w:rsidTr="00CA7067">
        <w:trPr>
          <w:trHeight w:val="300"/>
          <w:jc w:val="center"/>
        </w:trPr>
        <w:tc>
          <w:tcPr>
            <w:tcW w:w="969" w:type="dxa"/>
            <w:tcBorders>
              <w:top w:val="nil"/>
              <w:left w:val="nil"/>
              <w:bottom w:val="nil"/>
              <w:right w:val="nil"/>
            </w:tcBorders>
            <w:shd w:val="clear" w:color="000000" w:fill="FFFFFF"/>
            <w:noWrap/>
            <w:hideMark/>
          </w:tcPr>
          <w:p w:rsidR="002F278D" w:rsidRPr="002E111B" w:rsidRDefault="002F278D" w:rsidP="00CA7067">
            <w:pPr>
              <w:jc w:val="center"/>
              <w:rPr>
                <w:b/>
                <w:color w:val="000000"/>
              </w:rPr>
            </w:pPr>
            <w:r w:rsidRPr="002E111B">
              <w:rPr>
                <w:b/>
                <w:color w:val="000000"/>
                <w:sz w:val="22"/>
                <w:szCs w:val="22"/>
              </w:rPr>
              <w:t>ρ</w:t>
            </w:r>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0,9</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parâmetro de correlação serial dos gastos do governo</w:t>
            </w:r>
          </w:p>
        </w:tc>
      </w:tr>
      <w:tr w:rsidR="002F278D" w:rsidRPr="002E111B" w:rsidTr="00CA7067">
        <w:trPr>
          <w:trHeight w:val="300"/>
          <w:jc w:val="center"/>
        </w:trPr>
        <w:tc>
          <w:tcPr>
            <w:tcW w:w="8698" w:type="dxa"/>
            <w:gridSpan w:val="4"/>
            <w:tcBorders>
              <w:top w:val="single" w:sz="4" w:space="0" w:color="auto"/>
              <w:left w:val="nil"/>
              <w:bottom w:val="single" w:sz="4" w:space="0" w:color="auto"/>
              <w:right w:val="nil"/>
            </w:tcBorders>
            <w:shd w:val="clear" w:color="000000" w:fill="FFFFFF"/>
          </w:tcPr>
          <w:p w:rsidR="002F278D" w:rsidRPr="002E111B" w:rsidRDefault="002F278D" w:rsidP="0001602F">
            <w:pPr>
              <w:rPr>
                <w:b/>
                <w:bCs/>
                <w:color w:val="000000"/>
              </w:rPr>
            </w:pPr>
            <w:r w:rsidRPr="002E111B">
              <w:rPr>
                <w:b/>
                <w:bCs/>
                <w:color w:val="000000"/>
                <w:sz w:val="22"/>
                <w:szCs w:val="22"/>
              </w:rPr>
              <w:t>Parâmetros estimados - regra de política monetária</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α</m:t>
                    </m:r>
                  </m:e>
                  <m:sub>
                    <m:r>
                      <m:rPr>
                        <m:sty m:val="b"/>
                      </m:rPr>
                      <w:rPr>
                        <w:rFonts w:ascii="Cambria Math" w:hAnsi="Cambria Math"/>
                        <w:color w:val="000000"/>
                        <w:sz w:val="22"/>
                        <w:szCs w:val="22"/>
                      </w:rPr>
                      <m:t>π1</m:t>
                    </m:r>
                  </m:sub>
                </m:sSub>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3,040170</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da inflação no regime 1</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α</m:t>
                    </m:r>
                  </m:e>
                  <m:sub>
                    <m:r>
                      <m:rPr>
                        <m:sty m:val="b"/>
                      </m:rPr>
                      <w:rPr>
                        <w:rFonts w:ascii="Cambria Math" w:hAnsi="Cambria Math"/>
                        <w:color w:val="000000"/>
                        <w:sz w:val="22"/>
                        <w:szCs w:val="22"/>
                      </w:rPr>
                      <m:t>π2</m:t>
                    </m:r>
                  </m:sub>
                </m:sSub>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1,421590</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da inflação no regime 2</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α</m:t>
                    </m:r>
                  </m:e>
                  <m:sub>
                    <m:r>
                      <m:rPr>
                        <m:sty m:val="b"/>
                      </m:rPr>
                      <w:rPr>
                        <w:rFonts w:ascii="Cambria Math" w:hAnsi="Cambria Math"/>
                        <w:color w:val="000000"/>
                        <w:sz w:val="22"/>
                        <w:szCs w:val="22"/>
                      </w:rPr>
                      <m:t>y1</m:t>
                    </m:r>
                  </m:sub>
                </m:sSub>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1,639793</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do hiato do produto no regime 1</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α</m:t>
                    </m:r>
                  </m:e>
                  <m:sub>
                    <m:r>
                      <m:rPr>
                        <m:sty m:val="b"/>
                      </m:rPr>
                      <w:rPr>
                        <w:rFonts w:ascii="Cambria Math" w:hAnsi="Cambria Math"/>
                        <w:color w:val="000000"/>
                        <w:sz w:val="22"/>
                        <w:szCs w:val="22"/>
                      </w:rPr>
                      <m:t>y2</m:t>
                    </m:r>
                  </m:sub>
                </m:sSub>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1,978087</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do hiato do produto no regime 2</w:t>
            </w:r>
          </w:p>
        </w:tc>
      </w:tr>
      <w:tr w:rsidR="002F278D" w:rsidRPr="002E111B" w:rsidTr="00CA7067">
        <w:trPr>
          <w:trHeight w:val="300"/>
          <w:jc w:val="center"/>
        </w:trPr>
        <w:tc>
          <w:tcPr>
            <w:tcW w:w="8698" w:type="dxa"/>
            <w:gridSpan w:val="4"/>
            <w:tcBorders>
              <w:top w:val="single" w:sz="4" w:space="0" w:color="auto"/>
              <w:left w:val="nil"/>
              <w:bottom w:val="single" w:sz="4" w:space="0" w:color="auto"/>
              <w:right w:val="nil"/>
            </w:tcBorders>
            <w:shd w:val="clear" w:color="000000" w:fill="FFFFFF"/>
          </w:tcPr>
          <w:p w:rsidR="002F278D" w:rsidRPr="002E111B" w:rsidRDefault="002F278D" w:rsidP="0001602F">
            <w:pPr>
              <w:rPr>
                <w:b/>
                <w:bCs/>
                <w:color w:val="000000"/>
              </w:rPr>
            </w:pPr>
            <w:r w:rsidRPr="002E111B">
              <w:rPr>
                <w:b/>
                <w:bCs/>
                <w:color w:val="000000"/>
                <w:sz w:val="22"/>
                <w:szCs w:val="22"/>
              </w:rPr>
              <w:t>Parâmetros estimados - regra de política fiscal</w:t>
            </w:r>
          </w:p>
        </w:tc>
      </w:tr>
      <w:tr w:rsidR="002F278D" w:rsidRPr="002E111B" w:rsidTr="00CA7067">
        <w:trPr>
          <w:trHeight w:val="300"/>
          <w:jc w:val="center"/>
        </w:trPr>
        <w:tc>
          <w:tcPr>
            <w:tcW w:w="969" w:type="dxa"/>
            <w:tcBorders>
              <w:top w:val="nil"/>
              <w:left w:val="nil"/>
              <w:bottom w:val="nil"/>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γ</m:t>
                    </m:r>
                  </m:e>
                  <m:sub>
                    <m:r>
                      <m:rPr>
                        <m:sty m:val="b"/>
                      </m:rPr>
                      <w:rPr>
                        <w:rFonts w:ascii="Cambria Math" w:hAnsi="Cambria Math"/>
                        <w:color w:val="000000"/>
                        <w:sz w:val="22"/>
                        <w:szCs w:val="22"/>
                      </w:rPr>
                      <m:t>b</m:t>
                    </m:r>
                  </m:sub>
                </m:sSub>
              </m:oMath>
            </m:oMathPara>
          </w:p>
        </w:tc>
        <w:tc>
          <w:tcPr>
            <w:tcW w:w="1162" w:type="dxa"/>
            <w:gridSpan w:val="2"/>
            <w:tcBorders>
              <w:top w:val="nil"/>
              <w:left w:val="nil"/>
              <w:bottom w:val="nil"/>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0,326614</w:t>
            </w:r>
          </w:p>
        </w:tc>
        <w:tc>
          <w:tcPr>
            <w:tcW w:w="6567" w:type="dxa"/>
            <w:tcBorders>
              <w:top w:val="nil"/>
              <w:left w:val="nil"/>
              <w:bottom w:val="nil"/>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da dívida pública</w:t>
            </w:r>
          </w:p>
        </w:tc>
      </w:tr>
      <w:tr w:rsidR="002F278D" w:rsidRPr="002E111B" w:rsidTr="00CA7067">
        <w:trPr>
          <w:trHeight w:val="315"/>
          <w:jc w:val="center"/>
        </w:trPr>
        <w:tc>
          <w:tcPr>
            <w:tcW w:w="969" w:type="dxa"/>
            <w:tcBorders>
              <w:top w:val="nil"/>
              <w:left w:val="nil"/>
              <w:bottom w:val="single" w:sz="8" w:space="0" w:color="auto"/>
              <w:right w:val="nil"/>
            </w:tcBorders>
            <w:shd w:val="clear" w:color="000000" w:fill="FFFFFF"/>
            <w:noWrap/>
            <w:vAlign w:val="bottom"/>
            <w:hideMark/>
          </w:tcPr>
          <w:p w:rsidR="002F278D" w:rsidRPr="002E111B" w:rsidRDefault="00E16B7D" w:rsidP="0001602F">
            <w:pPr>
              <w:jc w:val="center"/>
              <w:rPr>
                <w:b/>
                <w:color w:val="000000"/>
              </w:rPr>
            </w:pPr>
            <m:oMathPara>
              <m:oMath>
                <m:sSub>
                  <m:sSubPr>
                    <m:ctrlPr>
                      <w:rPr>
                        <w:rFonts w:ascii="Cambria Math" w:hAnsi="Cambria Math"/>
                        <w:b/>
                        <w:color w:val="000000"/>
                        <w:sz w:val="22"/>
                        <w:szCs w:val="22"/>
                      </w:rPr>
                    </m:ctrlPr>
                  </m:sSubPr>
                  <m:e>
                    <m:r>
                      <m:rPr>
                        <m:sty m:val="b"/>
                      </m:rPr>
                      <w:rPr>
                        <w:rFonts w:ascii="Cambria Math" w:hAnsi="Cambria Math"/>
                        <w:color w:val="000000"/>
                        <w:sz w:val="22"/>
                        <w:szCs w:val="22"/>
                      </w:rPr>
                      <m:t>γ</m:t>
                    </m:r>
                  </m:e>
                  <m:sub>
                    <m:r>
                      <m:rPr>
                        <m:sty m:val="b"/>
                      </m:rPr>
                      <w:rPr>
                        <w:rFonts w:ascii="Cambria Math" w:hAnsi="Cambria Math"/>
                        <w:color w:val="000000"/>
                        <w:sz w:val="22"/>
                        <w:szCs w:val="22"/>
                      </w:rPr>
                      <m:t>y</m:t>
                    </m:r>
                  </m:sub>
                </m:sSub>
              </m:oMath>
            </m:oMathPara>
          </w:p>
        </w:tc>
        <w:tc>
          <w:tcPr>
            <w:tcW w:w="1162" w:type="dxa"/>
            <w:gridSpan w:val="2"/>
            <w:tcBorders>
              <w:top w:val="nil"/>
              <w:left w:val="nil"/>
              <w:bottom w:val="single" w:sz="8" w:space="0" w:color="auto"/>
              <w:right w:val="nil"/>
            </w:tcBorders>
            <w:shd w:val="clear" w:color="000000" w:fill="FFFFFF"/>
            <w:vAlign w:val="bottom"/>
          </w:tcPr>
          <w:p w:rsidR="002F278D" w:rsidRPr="002E111B" w:rsidRDefault="002F278D" w:rsidP="0001602F">
            <w:pPr>
              <w:jc w:val="center"/>
              <w:rPr>
                <w:color w:val="000000"/>
              </w:rPr>
            </w:pPr>
            <w:r w:rsidRPr="002E111B">
              <w:rPr>
                <w:color w:val="000000"/>
                <w:sz w:val="22"/>
                <w:szCs w:val="22"/>
              </w:rPr>
              <w:t>0,521758</w:t>
            </w:r>
          </w:p>
        </w:tc>
        <w:tc>
          <w:tcPr>
            <w:tcW w:w="6567" w:type="dxa"/>
            <w:tcBorders>
              <w:top w:val="nil"/>
              <w:left w:val="nil"/>
              <w:bottom w:val="single" w:sz="8" w:space="0" w:color="auto"/>
              <w:right w:val="nil"/>
            </w:tcBorders>
            <w:shd w:val="clear" w:color="000000" w:fill="FFFFFF"/>
            <w:noWrap/>
            <w:vAlign w:val="bottom"/>
            <w:hideMark/>
          </w:tcPr>
          <w:p w:rsidR="002F278D" w:rsidRPr="002E111B" w:rsidRDefault="002F278D" w:rsidP="0001602F">
            <w:pPr>
              <w:rPr>
                <w:color w:val="000000"/>
              </w:rPr>
            </w:pPr>
            <w:r w:rsidRPr="002E111B">
              <w:rPr>
                <w:color w:val="000000"/>
                <w:sz w:val="22"/>
                <w:szCs w:val="22"/>
              </w:rPr>
              <w:t>coeficiente de longo prazo do hiato do produto</w:t>
            </w:r>
          </w:p>
        </w:tc>
      </w:tr>
    </w:tbl>
    <w:p w:rsidR="002F278D" w:rsidRDefault="002F278D" w:rsidP="00E02BDD">
      <w:pPr>
        <w:spacing w:line="360" w:lineRule="auto"/>
        <w:ind w:firstLine="810"/>
        <w:jc w:val="both"/>
        <w:rPr>
          <w:sz w:val="18"/>
          <w:szCs w:val="18"/>
        </w:rPr>
      </w:pPr>
      <w:r w:rsidRPr="00AF6EEB">
        <w:rPr>
          <w:sz w:val="18"/>
          <w:szCs w:val="18"/>
        </w:rPr>
        <w:t xml:space="preserve">Fonte: </w:t>
      </w:r>
      <w:r w:rsidR="00B37DA0">
        <w:rPr>
          <w:sz w:val="18"/>
          <w:szCs w:val="18"/>
        </w:rPr>
        <w:t>elaboração própria</w:t>
      </w:r>
      <w:r w:rsidR="00B37DA0" w:rsidRPr="000C4641">
        <w:rPr>
          <w:sz w:val="18"/>
          <w:szCs w:val="18"/>
        </w:rPr>
        <w:t>, 2012.</w:t>
      </w:r>
    </w:p>
    <w:p w:rsidR="002F278D" w:rsidRDefault="002F278D" w:rsidP="00E02BDD">
      <w:pPr>
        <w:jc w:val="both"/>
      </w:pPr>
    </w:p>
    <w:p w:rsidR="00781848" w:rsidRDefault="00781848" w:rsidP="001F2B06">
      <w:pPr>
        <w:pStyle w:val="PargrafodaLista"/>
        <w:numPr>
          <w:ilvl w:val="1"/>
          <w:numId w:val="10"/>
        </w:numPr>
        <w:spacing w:after="0" w:line="240" w:lineRule="auto"/>
        <w:jc w:val="both"/>
        <w:rPr>
          <w:rFonts w:ascii="Times New Roman" w:hAnsi="Times New Roman"/>
          <w:b/>
          <w:sz w:val="24"/>
          <w:szCs w:val="24"/>
        </w:rPr>
      </w:pPr>
      <w:r w:rsidRPr="00360272">
        <w:rPr>
          <w:rFonts w:ascii="Times New Roman" w:hAnsi="Times New Roman"/>
          <w:b/>
          <w:sz w:val="24"/>
          <w:szCs w:val="24"/>
        </w:rPr>
        <w:t>Impacto Dinâmico de um Estímulo Fiscal</w:t>
      </w:r>
    </w:p>
    <w:p w:rsidR="00120783" w:rsidRDefault="00120783" w:rsidP="005D2C96">
      <w:pPr>
        <w:tabs>
          <w:tab w:val="center" w:pos="4535"/>
          <w:tab w:val="right" w:pos="9071"/>
        </w:tabs>
        <w:ind w:left="284"/>
        <w:rPr>
          <w:rFonts w:eastAsia="Calibri"/>
        </w:rPr>
      </w:pPr>
    </w:p>
    <w:p w:rsidR="005D2C96" w:rsidRDefault="005D2C96" w:rsidP="005D2C96">
      <w:pPr>
        <w:ind w:firstLine="709"/>
        <w:jc w:val="both"/>
        <w:rPr>
          <w:rFonts w:eastAsia="Calibri"/>
          <w:lang w:eastAsia="en-US"/>
        </w:rPr>
      </w:pPr>
      <w:r w:rsidRPr="00FE4C0B">
        <w:rPr>
          <w:rFonts w:eastAsia="Calibri"/>
          <w:lang w:eastAsia="en-US"/>
        </w:rPr>
        <w:t xml:space="preserve">Conforme já exposto </w:t>
      </w:r>
      <w:r>
        <w:rPr>
          <w:rFonts w:eastAsia="Calibri"/>
          <w:lang w:eastAsia="en-US"/>
        </w:rPr>
        <w:t xml:space="preserve">anteriormente, </w:t>
      </w:r>
      <w:r w:rsidRPr="00FE4C0B">
        <w:rPr>
          <w:rFonts w:eastAsia="Calibri"/>
          <w:lang w:eastAsia="en-US"/>
        </w:rPr>
        <w:t>e no caso tratado neste trabalho</w:t>
      </w:r>
      <w:r>
        <w:rPr>
          <w:rFonts w:eastAsia="Calibri"/>
          <w:lang w:eastAsia="en-US"/>
        </w:rPr>
        <w:t>,</w:t>
      </w:r>
      <w:r w:rsidRPr="00FE4C0B">
        <w:rPr>
          <w:rFonts w:eastAsia="Calibri"/>
          <w:lang w:eastAsia="en-US"/>
        </w:rPr>
        <w:t xml:space="preserve"> a política monetária alterna ao longo do tempo entre uma política monetária mais ativa e uma política monetária menos ativa, enquanto que a política fiscal é passiva durante todo o período analisado. Desta forma, empiricamente estamos </w:t>
      </w:r>
      <w:r>
        <w:rPr>
          <w:rFonts w:eastAsia="Calibri"/>
          <w:lang w:eastAsia="en-US"/>
        </w:rPr>
        <w:t>em uma</w:t>
      </w:r>
      <w:r w:rsidRPr="00FE4C0B">
        <w:rPr>
          <w:rFonts w:eastAsia="Calibri"/>
          <w:lang w:eastAsia="en-US"/>
        </w:rPr>
        <w:t xml:space="preserve"> situação </w:t>
      </w:r>
      <w:r>
        <w:rPr>
          <w:rFonts w:eastAsia="Calibri"/>
          <w:lang w:eastAsia="en-US"/>
        </w:rPr>
        <w:t>consistente com os pressupostos da Teoria da Equivalência Ricardiana</w:t>
      </w:r>
      <w:r>
        <w:rPr>
          <w:rStyle w:val="Refdenotaderodap"/>
          <w:rFonts w:eastAsia="Calibri"/>
          <w:lang w:eastAsia="en-US"/>
        </w:rPr>
        <w:footnoteReference w:id="18"/>
      </w:r>
      <w:r>
        <w:rPr>
          <w:rFonts w:eastAsia="Calibri"/>
          <w:lang w:eastAsia="en-US"/>
        </w:rPr>
        <w:t>. A F</w:t>
      </w:r>
      <w:r w:rsidRPr="00FE4C0B">
        <w:rPr>
          <w:rFonts w:eastAsia="Calibri"/>
          <w:lang w:eastAsia="en-US"/>
        </w:rPr>
        <w:t xml:space="preserve">igura </w:t>
      </w:r>
      <w:r>
        <w:rPr>
          <w:rFonts w:eastAsia="Calibri"/>
          <w:lang w:eastAsia="en-US"/>
        </w:rPr>
        <w:t>1</w:t>
      </w:r>
      <w:r w:rsidRPr="00FE4C0B">
        <w:rPr>
          <w:rFonts w:eastAsia="Calibri"/>
          <w:lang w:eastAsia="en-US"/>
        </w:rPr>
        <w:t xml:space="preserve"> mostra a função impulso-resposta de um choque </w:t>
      </w:r>
      <w:r w:rsidRPr="00462F55">
        <w:rPr>
          <w:rFonts w:eastAsia="Calibri"/>
          <w:lang w:eastAsia="en-US"/>
        </w:rPr>
        <w:t>de 3%</w:t>
      </w:r>
      <w:r w:rsidRPr="00FE4C0B">
        <w:rPr>
          <w:rFonts w:eastAsia="Calibri"/>
          <w:lang w:eastAsia="en-US"/>
        </w:rPr>
        <w:t xml:space="preserve"> dos gastos do governo condicionado a esses dois tipos de combinação de regime</w:t>
      </w:r>
      <w:r>
        <w:rPr>
          <w:rFonts w:eastAsia="Calibri"/>
          <w:lang w:eastAsia="en-US"/>
        </w:rPr>
        <w:t>s</w:t>
      </w:r>
      <w:r w:rsidRPr="00FE4C0B">
        <w:rPr>
          <w:rFonts w:eastAsia="Calibri"/>
          <w:lang w:eastAsia="en-US"/>
        </w:rPr>
        <w:t xml:space="preserve"> de política.</w:t>
      </w:r>
    </w:p>
    <w:p w:rsidR="005D2C96" w:rsidRPr="00ED1C34" w:rsidRDefault="005D2C96" w:rsidP="005D2C96">
      <w:pPr>
        <w:ind w:firstLine="709"/>
        <w:jc w:val="both"/>
        <w:rPr>
          <w:rFonts w:eastAsia="Calibri"/>
          <w:lang w:eastAsia="en-US"/>
        </w:rPr>
      </w:pPr>
      <w:r>
        <w:rPr>
          <w:rFonts w:eastAsia="Calibri"/>
          <w:lang w:eastAsia="en-US"/>
        </w:rPr>
        <w:t>Primeiramente, pode-se ver no primeiro quadro superior à esquerda que um choque positivo dos gastos do governo aumenta imediatamente o hiato do produto. Porém, verifica-se no quadro abaixo que há queda da taxa de inflação corrente</w:t>
      </w:r>
      <w:r>
        <w:rPr>
          <w:rStyle w:val="Refdenotaderodap"/>
          <w:rFonts w:eastAsia="Calibri"/>
          <w:lang w:eastAsia="en-US"/>
        </w:rPr>
        <w:footnoteReference w:id="19"/>
      </w:r>
      <w:r>
        <w:rPr>
          <w:rFonts w:eastAsia="Calibri"/>
          <w:lang w:eastAsia="en-US"/>
        </w:rPr>
        <w:t xml:space="preserve"> tanto no caso em que a política monetária é mais ativa quanto no caso em que ela é menos ativa. Em ambos os casos isto é resultado do elevado tamanho do coeficiente do hiato do produto</w:t>
      </w:r>
      <w:r>
        <w:rPr>
          <w:rStyle w:val="Refdenotaderodap"/>
          <w:rFonts w:eastAsia="Calibri"/>
          <w:lang w:eastAsia="en-US"/>
        </w:rPr>
        <w:footnoteReference w:id="20"/>
      </w:r>
      <w:r>
        <w:rPr>
          <w:rFonts w:eastAsia="Calibri"/>
          <w:lang w:eastAsia="en-US"/>
        </w:rPr>
        <w:t xml:space="preserve"> na regra de política monetária. Por conta deste elevado coeficiente, quando o governo aumenta seus gastos há a expectativa por parte dos agentes econômicos de uma elevação da taxa de juros real. </w:t>
      </w:r>
      <w:r w:rsidRPr="00ED1C34">
        <w:rPr>
          <w:rFonts w:eastAsia="Calibri"/>
          <w:lang w:eastAsia="en-US"/>
        </w:rPr>
        <w:t xml:space="preserve">Esta forte elevação da taxa de juros real leva </w:t>
      </w:r>
      <w:r>
        <w:rPr>
          <w:rFonts w:eastAsia="Calibri"/>
          <w:lang w:eastAsia="en-US"/>
        </w:rPr>
        <w:t xml:space="preserve">à </w:t>
      </w:r>
      <w:r w:rsidRPr="00ED1C34">
        <w:rPr>
          <w:rFonts w:eastAsia="Calibri"/>
          <w:lang w:eastAsia="en-US"/>
        </w:rPr>
        <w:t>redução da expectativa da taxa de inflação futura que</w:t>
      </w:r>
      <w:r>
        <w:rPr>
          <w:rFonts w:eastAsia="Calibri"/>
          <w:lang w:eastAsia="en-US"/>
        </w:rPr>
        <w:t>,</w:t>
      </w:r>
      <w:r w:rsidRPr="00ED1C34">
        <w:rPr>
          <w:rFonts w:eastAsia="Calibri"/>
          <w:lang w:eastAsia="en-US"/>
        </w:rPr>
        <w:t xml:space="preserve"> via expectativas</w:t>
      </w:r>
      <w:r>
        <w:rPr>
          <w:rFonts w:eastAsia="Calibri"/>
          <w:lang w:eastAsia="en-US"/>
        </w:rPr>
        <w:t xml:space="preserve">, </w:t>
      </w:r>
      <w:r w:rsidRPr="00ED1C34">
        <w:rPr>
          <w:rFonts w:eastAsia="Calibri"/>
          <w:lang w:eastAsia="en-US"/>
        </w:rPr>
        <w:t xml:space="preserve">reduz a taxa de inflação corrente. Para que haja equilíbrio no mercado de trabalho é necessário que </w:t>
      </w:r>
      <w:r>
        <w:rPr>
          <w:rFonts w:eastAsia="Calibri"/>
          <w:lang w:eastAsia="en-US"/>
        </w:rPr>
        <w:t xml:space="preserve">a </w:t>
      </w:r>
      <w:r w:rsidRPr="00ED1C34">
        <w:rPr>
          <w:rFonts w:eastAsia="Calibri"/>
          <w:lang w:eastAsia="en-US"/>
        </w:rPr>
        <w:t>redução da taxa de inflação corrente ocorra</w:t>
      </w:r>
      <w:r>
        <w:rPr>
          <w:rFonts w:eastAsia="Calibri"/>
          <w:lang w:eastAsia="en-US"/>
        </w:rPr>
        <w:t xml:space="preserve"> com</w:t>
      </w:r>
      <w:r w:rsidRPr="00ED1C34">
        <w:rPr>
          <w:rFonts w:eastAsia="Calibri"/>
          <w:lang w:eastAsia="en-US"/>
        </w:rPr>
        <w:t xml:space="preserve"> diminuição do salário nominal de tal forma que </w:t>
      </w:r>
      <w:r>
        <w:rPr>
          <w:rFonts w:eastAsia="Calibri"/>
          <w:lang w:eastAsia="en-US"/>
        </w:rPr>
        <w:t xml:space="preserve">haja </w:t>
      </w:r>
      <w:r w:rsidRPr="00ED1C34">
        <w:rPr>
          <w:rFonts w:eastAsia="Calibri"/>
          <w:lang w:eastAsia="en-US"/>
        </w:rPr>
        <w:t>queda</w:t>
      </w:r>
      <w:r>
        <w:rPr>
          <w:rFonts w:eastAsia="Calibri"/>
          <w:lang w:eastAsia="en-US"/>
        </w:rPr>
        <w:t xml:space="preserve"> d</w:t>
      </w:r>
      <w:r w:rsidRPr="00ED1C34">
        <w:rPr>
          <w:rFonts w:eastAsia="Calibri"/>
          <w:lang w:eastAsia="en-US"/>
        </w:rPr>
        <w:t>o salário real e, portanto, redução da produtividade marginal do trabalho. É interessante observar que há elevação da contratação de mais trabalhadores (aumento da demanda por trabalho) porque a queda da produtividade marginal é acompanhada d</w:t>
      </w:r>
      <w:r>
        <w:rPr>
          <w:rFonts w:eastAsia="Calibri"/>
          <w:lang w:eastAsia="en-US"/>
        </w:rPr>
        <w:t>e</w:t>
      </w:r>
      <w:r w:rsidRPr="00ED1C34">
        <w:rPr>
          <w:rFonts w:eastAsia="Calibri"/>
          <w:lang w:eastAsia="en-US"/>
        </w:rPr>
        <w:t xml:space="preserve"> queda dos custos marginais das empresas. Pelo lado da oferta de trabalho há maior disposição em trabalhar mais por duas vias – (1) pelo aumento da expectativa futura de maiores pagamentos de impostos devido ao aumento de gastos do governo e (2) pela forte elevação dos juros reais que provoca substituição de consumo hoje por consumo no futuro. A política monetária ativa determina que a taxa de juros real seja conduzida de modo a acompanhar a trajetória da taxa de inflação. No entanto, pudemos ver que o coeficiente do hiato do produto é tão elevado que a alteração nas taxas de juros nominais não acompanha a queda da taxa de inflação integralmente.</w:t>
      </w:r>
      <w:r>
        <w:rPr>
          <w:rFonts w:eastAsia="Calibri"/>
          <w:lang w:eastAsia="en-US"/>
        </w:rPr>
        <w:t xml:space="preserve"> A</w:t>
      </w:r>
      <w:r w:rsidRPr="00EC09D9">
        <w:rPr>
          <w:rFonts w:eastAsia="Calibri"/>
          <w:lang w:eastAsia="en-US"/>
        </w:rPr>
        <w:t xml:space="preserve"> resposta da autoridade monetária às variações da atividade econômica </w:t>
      </w:r>
      <w:r w:rsidRPr="00EC09D9">
        <w:rPr>
          <w:rFonts w:eastAsia="Calibri"/>
          <w:lang w:eastAsia="en-US"/>
        </w:rPr>
        <w:lastRenderedPageBreak/>
        <w:t>“domina” o efeito final dos juros reais de modo que este movimento, inclusive, provoca redução da taxa de inflação corrente.</w:t>
      </w:r>
    </w:p>
    <w:p w:rsidR="005D2C96" w:rsidRPr="00ED1C34" w:rsidRDefault="005D2C96" w:rsidP="005D2C96">
      <w:pPr>
        <w:ind w:firstLine="709"/>
        <w:jc w:val="both"/>
        <w:rPr>
          <w:rFonts w:eastAsia="Calibri"/>
          <w:lang w:eastAsia="en-US"/>
        </w:rPr>
      </w:pPr>
      <w:r w:rsidRPr="00ED1C34">
        <w:rPr>
          <w:rFonts w:eastAsia="Calibri"/>
          <w:lang w:eastAsia="en-US"/>
        </w:rPr>
        <w:t xml:space="preserve">A diferença entre o caso em que a política monetária é mais ativa e no qual ela é menos ativa </w:t>
      </w:r>
      <w:r>
        <w:rPr>
          <w:rFonts w:eastAsia="Calibri"/>
          <w:lang w:eastAsia="en-US"/>
        </w:rPr>
        <w:t xml:space="preserve">decorre do fato de que </w:t>
      </w:r>
      <w:r w:rsidRPr="00ED1C34">
        <w:rPr>
          <w:rFonts w:eastAsia="Calibri"/>
          <w:lang w:eastAsia="en-US"/>
        </w:rPr>
        <w:t>no segundo caso há elevação dos juros nominais</w:t>
      </w:r>
      <w:r w:rsidR="008B0352">
        <w:rPr>
          <w:rFonts w:eastAsia="Calibri"/>
          <w:lang w:eastAsia="en-US"/>
        </w:rPr>
        <w:t xml:space="preserve"> devido ao aumento do hiato do produto </w:t>
      </w:r>
      <w:r w:rsidR="00F4718D">
        <w:rPr>
          <w:rFonts w:eastAsia="Calibri"/>
          <w:lang w:eastAsia="en-US"/>
        </w:rPr>
        <w:t xml:space="preserve">e </w:t>
      </w:r>
      <w:r w:rsidR="008B0352">
        <w:rPr>
          <w:rFonts w:eastAsia="Calibri"/>
          <w:lang w:eastAsia="en-US"/>
        </w:rPr>
        <w:t>apesar da deflação</w:t>
      </w:r>
      <w:r w:rsidRPr="00ED1C34">
        <w:rPr>
          <w:rFonts w:eastAsia="Calibri"/>
          <w:lang w:eastAsia="en-US"/>
        </w:rPr>
        <w:t xml:space="preserve">. </w:t>
      </w:r>
      <w:r w:rsidR="00F4718D">
        <w:rPr>
          <w:rFonts w:eastAsia="Calibri"/>
          <w:lang w:eastAsia="en-US"/>
        </w:rPr>
        <w:t>Este resultado se deve a uma menor resposta à inflação e uma maior resposta ao hiato do produto quando a política monetária é menos ativa. Na regra da política monetária o</w:t>
      </w:r>
      <w:r w:rsidRPr="00ED1C34">
        <w:rPr>
          <w:rFonts w:eastAsia="Calibri"/>
          <w:lang w:eastAsia="en-US"/>
        </w:rPr>
        <w:t xml:space="preserve">coeficiente da taxa de inflação é bem menor (menos do que a metade) do </w:t>
      </w:r>
      <w:r>
        <w:rPr>
          <w:rFonts w:eastAsia="Calibri"/>
          <w:lang w:eastAsia="en-US"/>
        </w:rPr>
        <w:t xml:space="preserve">que o </w:t>
      </w:r>
      <w:r w:rsidRPr="00ED1C34">
        <w:rPr>
          <w:rFonts w:eastAsia="Calibri"/>
          <w:lang w:eastAsia="en-US"/>
        </w:rPr>
        <w:t xml:space="preserve">coeficiente da taxa de inflação quando ela é mais ativa. Além disso, a resposta ao hiato do produto é maior quando ela é menos ativa. Com isso, mesmo com queda da taxa de inflação corrente não há redução dos juros nominais. </w:t>
      </w:r>
      <w:r>
        <w:rPr>
          <w:rFonts w:eastAsia="Calibri"/>
          <w:lang w:eastAsia="en-US"/>
        </w:rPr>
        <w:t xml:space="preserve">É evidente </w:t>
      </w:r>
      <w:r w:rsidRPr="00ED1C34">
        <w:rPr>
          <w:rFonts w:eastAsia="Calibri"/>
          <w:lang w:eastAsia="en-US"/>
        </w:rPr>
        <w:t xml:space="preserve">que tanto o consumo privado como a taxa de inflação corrente se reduzem mais neste </w:t>
      </w:r>
      <w:r>
        <w:rPr>
          <w:rFonts w:eastAsia="Calibri"/>
          <w:lang w:eastAsia="en-US"/>
        </w:rPr>
        <w:t xml:space="preserve">tipo de combinação de </w:t>
      </w:r>
      <w:r w:rsidRPr="00ED1C34">
        <w:rPr>
          <w:rFonts w:eastAsia="Calibri"/>
          <w:lang w:eastAsia="en-US"/>
        </w:rPr>
        <w:t>regime</w:t>
      </w:r>
      <w:r>
        <w:rPr>
          <w:rFonts w:eastAsia="Calibri"/>
          <w:lang w:eastAsia="en-US"/>
        </w:rPr>
        <w:t>s</w:t>
      </w:r>
      <w:r w:rsidRPr="00ED1C34">
        <w:rPr>
          <w:rFonts w:eastAsia="Calibri"/>
          <w:lang w:eastAsia="en-US"/>
        </w:rPr>
        <w:t xml:space="preserve"> do que n</w:t>
      </w:r>
      <w:r>
        <w:rPr>
          <w:rFonts w:eastAsia="Calibri"/>
          <w:lang w:eastAsia="en-US"/>
        </w:rPr>
        <w:t>a combinação de</w:t>
      </w:r>
      <w:r w:rsidRPr="00ED1C34">
        <w:rPr>
          <w:rFonts w:eastAsia="Calibri"/>
          <w:lang w:eastAsia="en-US"/>
        </w:rPr>
        <w:t xml:space="preserve"> regime</w:t>
      </w:r>
      <w:r>
        <w:rPr>
          <w:rFonts w:eastAsia="Calibri"/>
          <w:lang w:eastAsia="en-US"/>
        </w:rPr>
        <w:t>s</w:t>
      </w:r>
      <w:r w:rsidRPr="00ED1C34">
        <w:rPr>
          <w:rFonts w:eastAsia="Calibri"/>
          <w:lang w:eastAsia="en-US"/>
        </w:rPr>
        <w:t xml:space="preserve"> anterior (política monetária mais ativa</w:t>
      </w:r>
      <w:r>
        <w:rPr>
          <w:rFonts w:eastAsia="Calibri"/>
          <w:lang w:eastAsia="en-US"/>
        </w:rPr>
        <w:t xml:space="preserve"> e fiscal passiva</w:t>
      </w:r>
      <w:r w:rsidRPr="00ED1C34">
        <w:rPr>
          <w:rFonts w:eastAsia="Calibri"/>
          <w:lang w:eastAsia="en-US"/>
        </w:rPr>
        <w:t xml:space="preserve">). </w:t>
      </w:r>
    </w:p>
    <w:p w:rsidR="005D2C96" w:rsidRDefault="005D2C96" w:rsidP="00E02BDD">
      <w:pPr>
        <w:tabs>
          <w:tab w:val="center" w:pos="4535"/>
          <w:tab w:val="right" w:pos="9071"/>
        </w:tabs>
        <w:ind w:left="284"/>
        <w:rPr>
          <w:rFonts w:eastAsia="Calibri"/>
        </w:rPr>
      </w:pPr>
    </w:p>
    <w:p w:rsidR="005D2C96" w:rsidRDefault="005D2C96" w:rsidP="00E02BDD">
      <w:pPr>
        <w:tabs>
          <w:tab w:val="center" w:pos="4535"/>
          <w:tab w:val="right" w:pos="9071"/>
        </w:tabs>
        <w:ind w:left="284"/>
        <w:rPr>
          <w:rFonts w:eastAsia="Calibri"/>
        </w:rPr>
      </w:pPr>
    </w:p>
    <w:p w:rsidR="00120783" w:rsidRDefault="00120783" w:rsidP="00E02BDD">
      <w:pPr>
        <w:tabs>
          <w:tab w:val="center" w:pos="4535"/>
          <w:tab w:val="right" w:pos="9071"/>
        </w:tabs>
        <w:jc w:val="center"/>
        <w:rPr>
          <w:rFonts w:eastAsia="Calibri"/>
        </w:rPr>
      </w:pPr>
      <w:r>
        <w:rPr>
          <w:noProof/>
        </w:rPr>
        <w:drawing>
          <wp:inline distT="0" distB="0" distL="0" distR="0">
            <wp:extent cx="6315075" cy="3553215"/>
            <wp:effectExtent l="19050" t="19050" r="28575" b="28185"/>
            <wp:docPr id="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8"/>
                    <a:srcRect/>
                    <a:stretch>
                      <a:fillRect/>
                    </a:stretch>
                  </pic:blipFill>
                  <pic:spPr bwMode="auto">
                    <a:xfrm>
                      <a:off x="0" y="0"/>
                      <a:ext cx="6323377" cy="3557886"/>
                    </a:xfrm>
                    <a:prstGeom prst="rect">
                      <a:avLst/>
                    </a:prstGeom>
                    <a:noFill/>
                    <a:ln w="9525" cmpd="sng">
                      <a:solidFill>
                        <a:srgbClr val="4F81BD"/>
                      </a:solidFill>
                      <a:miter lim="800000"/>
                      <a:headEnd/>
                      <a:tailEnd/>
                    </a:ln>
                    <a:effectLst/>
                  </pic:spPr>
                </pic:pic>
              </a:graphicData>
            </a:graphic>
          </wp:inline>
        </w:drawing>
      </w:r>
    </w:p>
    <w:p w:rsidR="00120783" w:rsidRDefault="00120783" w:rsidP="00B21F91">
      <w:pPr>
        <w:tabs>
          <w:tab w:val="center" w:pos="4535"/>
          <w:tab w:val="right" w:pos="9071"/>
        </w:tabs>
        <w:ind w:left="90"/>
        <w:rPr>
          <w:rFonts w:eastAsia="Calibri"/>
        </w:rPr>
      </w:pPr>
      <w:r>
        <w:rPr>
          <w:rFonts w:eastAsia="Calibri"/>
        </w:rPr>
        <w:t>Figura 1: Função Impulso-Resposta de um choque de gastos do governo de 3%.</w:t>
      </w:r>
    </w:p>
    <w:p w:rsidR="00120783" w:rsidRPr="00142DFE" w:rsidRDefault="00120783" w:rsidP="00E02BDD">
      <w:pPr>
        <w:tabs>
          <w:tab w:val="center" w:pos="4535"/>
          <w:tab w:val="right" w:pos="9071"/>
        </w:tabs>
        <w:ind w:firstLine="90"/>
        <w:rPr>
          <w:rFonts w:eastAsia="Calibri"/>
          <w:sz w:val="18"/>
          <w:szCs w:val="18"/>
        </w:rPr>
      </w:pPr>
      <w:r w:rsidRPr="00AF6EEB">
        <w:rPr>
          <w:rFonts w:eastAsia="Calibri"/>
          <w:sz w:val="18"/>
          <w:szCs w:val="18"/>
        </w:rPr>
        <w:t xml:space="preserve">Fonte: </w:t>
      </w:r>
      <w:r w:rsidR="00E659AE">
        <w:rPr>
          <w:sz w:val="18"/>
          <w:szCs w:val="18"/>
        </w:rPr>
        <w:t>elaboração própria</w:t>
      </w:r>
      <w:r w:rsidR="00E659AE" w:rsidRPr="000C4641">
        <w:rPr>
          <w:sz w:val="18"/>
          <w:szCs w:val="18"/>
        </w:rPr>
        <w:t>, 2012.</w:t>
      </w:r>
    </w:p>
    <w:p w:rsidR="00120783" w:rsidRDefault="00120783" w:rsidP="00E02BDD">
      <w:pPr>
        <w:rPr>
          <w:rFonts w:eastAsia="Calibri"/>
        </w:rPr>
      </w:pPr>
    </w:p>
    <w:p w:rsidR="005D2C96" w:rsidRPr="00ED1C34" w:rsidRDefault="005D2C96" w:rsidP="005D2C96">
      <w:pPr>
        <w:ind w:firstLine="709"/>
        <w:jc w:val="both"/>
        <w:rPr>
          <w:rFonts w:eastAsia="Calibri"/>
          <w:lang w:eastAsia="en-US"/>
        </w:rPr>
      </w:pPr>
      <w:r w:rsidRPr="00ED1C34">
        <w:rPr>
          <w:rFonts w:eastAsia="Calibri"/>
          <w:lang w:eastAsia="en-US"/>
        </w:rPr>
        <w:t>No que se refere à trajetória da dívida pública, pode-se ver que quando a política monetária é mais ativa o aumento da dívida é menor, enquanto que quando ela é menos ativa o aumento é maior. Isto é consistente com a existência de uma elevação maior das taxas de juros reais no segundo caso. É natural que a autoridade fiscal eleve mais os impostos no segundo caso</w:t>
      </w:r>
      <w:r>
        <w:rPr>
          <w:rFonts w:eastAsia="Calibri"/>
          <w:lang w:eastAsia="en-US"/>
        </w:rPr>
        <w:t xml:space="preserve"> (AM</w:t>
      </w:r>
      <w:r w:rsidRPr="005D2C96">
        <w:rPr>
          <w:rFonts w:eastAsia="Calibri"/>
          <w:lang w:eastAsia="en-US"/>
        </w:rPr>
        <w:t>-</w:t>
      </w:r>
      <w:r>
        <w:rPr>
          <w:rFonts w:eastAsia="Calibri"/>
          <w:lang w:eastAsia="en-US"/>
        </w:rPr>
        <w:t>/PF)</w:t>
      </w:r>
      <w:r w:rsidRPr="00ED1C34">
        <w:rPr>
          <w:rFonts w:eastAsia="Calibri"/>
          <w:lang w:eastAsia="en-US"/>
        </w:rPr>
        <w:t xml:space="preserve"> objetivando financiar uma elevação de dívida maior.</w:t>
      </w:r>
    </w:p>
    <w:p w:rsidR="005D2C96" w:rsidRDefault="005D2C96" w:rsidP="00D20105">
      <w:pPr>
        <w:ind w:firstLine="709"/>
        <w:jc w:val="both"/>
        <w:rPr>
          <w:rFonts w:eastAsia="Calibri"/>
          <w:lang w:eastAsia="en-US"/>
        </w:rPr>
      </w:pPr>
      <w:r w:rsidRPr="00ED1C34">
        <w:rPr>
          <w:rFonts w:eastAsia="Calibri"/>
          <w:lang w:eastAsia="en-US"/>
        </w:rPr>
        <w:t xml:space="preserve">Neste sentido, no nosso trabalho tanto o coeficiente da taxa de inflação quanto do hiato do produto na regra de política monetária </w:t>
      </w:r>
      <w:r>
        <w:rPr>
          <w:rFonts w:eastAsia="Calibri"/>
          <w:lang w:eastAsia="en-US"/>
        </w:rPr>
        <w:t xml:space="preserve">em conjunto com a regra de política fiscal </w:t>
      </w:r>
      <w:r w:rsidRPr="00ED1C34">
        <w:rPr>
          <w:rFonts w:eastAsia="Calibri"/>
          <w:lang w:eastAsia="en-US"/>
        </w:rPr>
        <w:t>são fundamentais para explicar os movimentos das variáveis macroeconômicas estudadas. Porém, o papel do coeficiente do hiato do produto é determinante para o resultado da trajetória das taxas de juros reais e, consequentemente, da taxa de inflação, do consumo privado e da dívida pública.</w:t>
      </w:r>
    </w:p>
    <w:p w:rsidR="00F4718D" w:rsidRPr="00ED1C34" w:rsidRDefault="00F4718D" w:rsidP="00D20105">
      <w:pPr>
        <w:ind w:firstLine="709"/>
        <w:jc w:val="both"/>
        <w:rPr>
          <w:rFonts w:eastAsia="Calibri"/>
          <w:lang w:eastAsia="en-US"/>
        </w:rPr>
      </w:pPr>
    </w:p>
    <w:p w:rsidR="00634AF9" w:rsidRPr="00360272" w:rsidRDefault="00634AF9" w:rsidP="001F2B06">
      <w:pPr>
        <w:pStyle w:val="PargrafodaLista"/>
        <w:numPr>
          <w:ilvl w:val="1"/>
          <w:numId w:val="11"/>
        </w:numPr>
        <w:spacing w:after="0" w:line="240" w:lineRule="auto"/>
        <w:jc w:val="both"/>
        <w:rPr>
          <w:rFonts w:ascii="Times New Roman" w:hAnsi="Times New Roman"/>
          <w:b/>
          <w:sz w:val="24"/>
          <w:szCs w:val="24"/>
        </w:rPr>
      </w:pPr>
      <w:r w:rsidRPr="00360272">
        <w:rPr>
          <w:rFonts w:ascii="Times New Roman" w:hAnsi="Times New Roman"/>
          <w:b/>
          <w:sz w:val="24"/>
          <w:szCs w:val="24"/>
        </w:rPr>
        <w:t>Análise da Dinâmica da Dívida</w:t>
      </w:r>
    </w:p>
    <w:p w:rsidR="002F278D" w:rsidRDefault="002F278D" w:rsidP="00D20105"/>
    <w:p w:rsidR="00B273D7" w:rsidRPr="00FE4C0B" w:rsidRDefault="00B273D7" w:rsidP="00D20105">
      <w:pPr>
        <w:ind w:firstLine="709"/>
        <w:jc w:val="both"/>
        <w:rPr>
          <w:rFonts w:eastAsia="Calibri"/>
        </w:rPr>
      </w:pPr>
      <w:r>
        <w:rPr>
          <w:rFonts w:eastAsia="Calibri"/>
        </w:rPr>
        <w:t>S</w:t>
      </w:r>
      <w:r w:rsidRPr="00FE4C0B">
        <w:rPr>
          <w:rFonts w:eastAsia="Calibri"/>
        </w:rPr>
        <w:t xml:space="preserve">erá apresentada uma análise </w:t>
      </w:r>
      <w:r>
        <w:rPr>
          <w:rFonts w:eastAsia="Calibri"/>
        </w:rPr>
        <w:t xml:space="preserve">mais detalhada </w:t>
      </w:r>
      <w:r w:rsidRPr="00FE4C0B">
        <w:rPr>
          <w:rFonts w:eastAsia="Calibri"/>
        </w:rPr>
        <w:t>da dinâmica da dívida após um choque de gastos do governo. Para tanto utilizaremos a</w:t>
      </w:r>
      <w:r>
        <w:rPr>
          <w:rFonts w:eastAsia="Calibri"/>
        </w:rPr>
        <w:t xml:space="preserve"> equação</w:t>
      </w:r>
      <w:r w:rsidRPr="00FE4C0B">
        <w:rPr>
          <w:rFonts w:eastAsia="Calibri"/>
        </w:rPr>
        <w:t xml:space="preserve"> da restrição orçamentária</w:t>
      </w:r>
      <w:r>
        <w:rPr>
          <w:rFonts w:eastAsia="Calibri"/>
        </w:rPr>
        <w:t xml:space="preserve"> intertemporal</w:t>
      </w:r>
      <w:r w:rsidRPr="00FE4C0B">
        <w:rPr>
          <w:rFonts w:eastAsia="Calibri"/>
        </w:rPr>
        <w:t xml:space="preserve"> do governo, a saber:</w:t>
      </w:r>
    </w:p>
    <w:p w:rsidR="00B273D7" w:rsidRPr="00FE4C0B" w:rsidRDefault="00B273D7" w:rsidP="00B273D7">
      <w:pPr>
        <w:spacing w:line="360" w:lineRule="auto"/>
        <w:jc w:val="both"/>
        <w:rPr>
          <w:rFonts w:eastAsia="Calibri"/>
        </w:rPr>
      </w:pPr>
    </w:p>
    <w:p w:rsidR="00B273D7" w:rsidRDefault="00E16B7D" w:rsidP="00B273D7">
      <m:oMathPara>
        <m:oMathParaPr>
          <m:jc m:val="left"/>
        </m:oMathParaPr>
        <m:oMath>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M</m:t>
                  </m:r>
                </m:e>
                <m:sub>
                  <m:r>
                    <w:rPr>
                      <w:rFonts w:ascii="Cambria Math" w:eastAsia="SimSun" w:hAnsi="Cambria Math"/>
                    </w:rPr>
                    <m:t>t-1</m:t>
                  </m:r>
                </m:sub>
              </m:sSub>
              <m:r>
                <w:rPr>
                  <w:rFonts w:ascii="Cambria Math" w:eastAsia="SimSun" w:hAnsi="Cambria Math"/>
                </w:rPr>
                <m:t>+</m:t>
              </m:r>
              <m:d>
                <m:dPr>
                  <m:ctrlPr>
                    <w:rPr>
                      <w:rFonts w:ascii="Cambria Math" w:eastAsia="SimSun" w:hAnsi="Cambria Math"/>
                      <w:i/>
                    </w:rPr>
                  </m:ctrlPr>
                </m:dPr>
                <m:e>
                  <m:r>
                    <w:rPr>
                      <w:rFonts w:ascii="Cambria Math" w:eastAsia="SimSun" w:hAnsi="Cambria Math"/>
                    </w:rPr>
                    <m:t>1+</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t-1</m:t>
                      </m:r>
                    </m:sub>
                  </m:sSub>
                </m:e>
              </m:d>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t-1</m:t>
                  </m:r>
                </m:sub>
              </m:sSub>
            </m:num>
            <m:den>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t</m:t>
                  </m:r>
                </m:sub>
              </m:sSub>
            </m:den>
          </m:f>
          <m:r>
            <w:rPr>
              <w:rFonts w:ascii="Cambria Math" w:eastAsia="SimSun" w:hAnsi="Cambria Math"/>
            </w:rPr>
            <m:t xml:space="preserve">= </m:t>
          </m:r>
          <m:sSub>
            <m:sSubPr>
              <m:ctrlPr>
                <w:rPr>
                  <w:rFonts w:ascii="Cambria Math" w:eastAsia="SimSun" w:hAnsi="Cambria Math"/>
                  <w:i/>
                </w:rPr>
              </m:ctrlPr>
            </m:sSubPr>
            <m:e>
              <m:r>
                <w:rPr>
                  <w:rFonts w:ascii="Cambria Math" w:eastAsia="SimSun" w:hAnsi="Cambria Math"/>
                </w:rPr>
                <m:t>E</m:t>
              </m:r>
            </m:e>
            <m:sub>
              <m:r>
                <w:rPr>
                  <w:rFonts w:ascii="Cambria Math" w:eastAsia="SimSun" w:hAnsi="Cambria Math"/>
                </w:rPr>
                <m:t>t</m:t>
              </m:r>
            </m:sub>
          </m:sSub>
          <m:nary>
            <m:naryPr>
              <m:chr m:val="∑"/>
              <m:limLoc m:val="undOvr"/>
              <m:ctrlPr>
                <w:rPr>
                  <w:rFonts w:ascii="Cambria Math" w:eastAsia="SimSun" w:hAnsi="Cambria Math"/>
                  <w:i/>
                </w:rPr>
              </m:ctrlPr>
            </m:naryPr>
            <m:sub>
              <m:r>
                <w:rPr>
                  <w:rFonts w:ascii="Cambria Math" w:eastAsia="SimSun" w:hAnsi="Cambria Math"/>
                </w:rPr>
                <m:t>T=t</m:t>
              </m:r>
            </m:sub>
            <m:sup>
              <m:r>
                <w:rPr>
                  <w:rFonts w:ascii="Cambria Math" w:eastAsia="SimSun" w:hAnsi="Cambria Math"/>
                </w:rPr>
                <m:t>∞</m:t>
              </m:r>
            </m:sup>
            <m:e>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q</m:t>
                      </m:r>
                    </m:e>
                    <m:sub>
                      <m:r>
                        <w:rPr>
                          <w:rFonts w:ascii="Cambria Math" w:eastAsia="SimSun" w:hAnsi="Cambria Math"/>
                        </w:rPr>
                        <m:t>t,T</m:t>
                      </m:r>
                    </m:sub>
                  </m:sSub>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τ</m:t>
                          </m:r>
                        </m:e>
                        <m:sub>
                          <m:r>
                            <w:rPr>
                              <w:rFonts w:ascii="Cambria Math" w:eastAsia="SimSun" w:hAnsi="Cambria Math"/>
                            </w:rPr>
                            <m:t>t</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G</m:t>
                          </m:r>
                        </m:e>
                        <m:sub>
                          <m:r>
                            <w:rPr>
                              <w:rFonts w:ascii="Cambria Math" w:eastAsia="SimSun" w:hAnsi="Cambria Math"/>
                            </w:rPr>
                            <m:t>t</m:t>
                          </m:r>
                        </m:sub>
                      </m:sSub>
                      <m:r>
                        <w:rPr>
                          <w:rFonts w:ascii="Cambria Math" w:eastAsia="SimSun" w:hAnsi="Cambria Math"/>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t</m:t>
                              </m:r>
                            </m:sub>
                          </m:sSub>
                        </m:num>
                        <m:den>
                          <m:r>
                            <w:rPr>
                              <w:rFonts w:ascii="Cambria Math" w:eastAsia="SimSun" w:hAnsi="Cambria Math"/>
                            </w:rPr>
                            <m:t>1+</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t</m:t>
                              </m:r>
                            </m:sub>
                          </m:sSub>
                        </m:den>
                      </m:f>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M</m:t>
                              </m:r>
                            </m:e>
                            <m:sub>
                              <m:r>
                                <w:rPr>
                                  <w:rFonts w:ascii="Cambria Math" w:eastAsia="SimSun" w:hAnsi="Cambria Math"/>
                                </w:rPr>
                                <m:t>t</m:t>
                              </m:r>
                            </m:sub>
                          </m:sSub>
                        </m:num>
                        <m:den>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t</m:t>
                              </m:r>
                            </m:sub>
                          </m:sSub>
                        </m:den>
                      </m:f>
                    </m:e>
                  </m:d>
                </m:e>
              </m:d>
            </m:e>
          </m:nary>
          <m:r>
            <w:rPr>
              <w:rFonts w:ascii="Cambria Math" w:eastAsia="SimSun" w:hAnsi="Cambria Math"/>
            </w:rPr>
            <m:t xml:space="preserve">                                                   (26)</m:t>
          </m:r>
        </m:oMath>
      </m:oMathPara>
    </w:p>
    <w:p w:rsidR="00B273D7" w:rsidRDefault="00B273D7" w:rsidP="00B273D7">
      <w:pPr>
        <w:spacing w:line="360" w:lineRule="auto"/>
        <w:jc w:val="both"/>
      </w:pPr>
    </w:p>
    <w:p w:rsidR="00B273D7" w:rsidRDefault="00B273D7" w:rsidP="00B273D7">
      <w:pPr>
        <w:ind w:firstLine="706"/>
        <w:jc w:val="both"/>
        <w:rPr>
          <w:rFonts w:eastAsia="Calibri"/>
        </w:rPr>
      </w:pPr>
      <w:r>
        <w:rPr>
          <w:rFonts w:eastAsia="Calibri"/>
        </w:rPr>
        <w:t xml:space="preserve">Pode-se observar pela equação </w:t>
      </w:r>
      <w:r w:rsidR="00E659AE">
        <w:rPr>
          <w:rFonts w:eastAsia="Calibri"/>
        </w:rPr>
        <w:t xml:space="preserve">26 </w:t>
      </w:r>
      <w:r>
        <w:rPr>
          <w:rFonts w:eastAsia="Calibri"/>
        </w:rPr>
        <w:t>que a</w:t>
      </w:r>
      <w:r w:rsidRPr="00FE4C0B">
        <w:rPr>
          <w:rFonts w:eastAsia="Calibri"/>
        </w:rPr>
        <w:t xml:space="preserve"> cada momento do tempo a dívida real deve ser </w:t>
      </w:r>
      <w:r>
        <w:rPr>
          <w:rFonts w:eastAsia="Calibri"/>
        </w:rPr>
        <w:t xml:space="preserve">igual à </w:t>
      </w:r>
      <w:r w:rsidRPr="00FE4C0B">
        <w:rPr>
          <w:rFonts w:eastAsia="Calibri"/>
        </w:rPr>
        <w:t>soma do valor presente do superávit primário com o valor presente da senhoriagem. Sendo assim, quando isto não ocorre, ou seja, quando o que é ou vai ser arrecadado é menor do que a dívida</w:t>
      </w:r>
      <w:r>
        <w:rPr>
          <w:rFonts w:eastAsia="Calibri"/>
        </w:rPr>
        <w:t xml:space="preserve"> contraída</w:t>
      </w:r>
      <w:r w:rsidRPr="00FE4C0B">
        <w:rPr>
          <w:rFonts w:eastAsia="Calibri"/>
        </w:rPr>
        <w:t xml:space="preserve">, </w:t>
      </w:r>
      <w:r>
        <w:rPr>
          <w:rFonts w:eastAsia="Calibri"/>
        </w:rPr>
        <w:t xml:space="preserve">Davig e Leeper (2011) argumentam que </w:t>
      </w:r>
      <w:r w:rsidRPr="00FE4C0B">
        <w:rPr>
          <w:rFonts w:eastAsia="Calibri"/>
        </w:rPr>
        <w:t>os agentes econômicos buscam substituir os títulos por consumo. Este aumento da demanda por consumo eleva o nível de preços corrente. Este aumento de preços ocorre até que o equilíbrio é novamente atingido. Podemos decompor</w:t>
      </w:r>
      <w:r w:rsidR="00E659AE">
        <w:rPr>
          <w:rFonts w:eastAsia="Calibri"/>
        </w:rPr>
        <w:t xml:space="preserve"> a</w:t>
      </w:r>
      <w:r w:rsidRPr="00FE4C0B">
        <w:rPr>
          <w:rFonts w:eastAsia="Calibri"/>
        </w:rPr>
        <w:t xml:space="preserve"> dinâmica </w:t>
      </w:r>
      <w:r w:rsidR="00E659AE">
        <w:rPr>
          <w:rFonts w:eastAsia="Calibri"/>
        </w:rPr>
        <w:t>d</w:t>
      </w:r>
      <w:r w:rsidRPr="00FE4C0B">
        <w:rPr>
          <w:rFonts w:eastAsia="Calibri"/>
        </w:rPr>
        <w:t xml:space="preserve">a dívida segundo os efeitos </w:t>
      </w:r>
      <w:r>
        <w:rPr>
          <w:rFonts w:eastAsia="Calibri"/>
        </w:rPr>
        <w:t xml:space="preserve">de cada um desses ajustamentos. </w:t>
      </w:r>
      <w:r w:rsidRPr="00FE4C0B">
        <w:rPr>
          <w:rFonts w:eastAsia="Calibri"/>
        </w:rPr>
        <w:t>De acordo com Davig e Leeper (20</w:t>
      </w:r>
      <w:r>
        <w:rPr>
          <w:rFonts w:eastAsia="Calibri"/>
        </w:rPr>
        <w:t>11</w:t>
      </w:r>
      <w:r w:rsidRPr="00FE4C0B">
        <w:rPr>
          <w:rFonts w:eastAsia="Calibri"/>
        </w:rPr>
        <w:t>) sob o regime de política monetária ativa e fiscal passiva, quando os gastos do governo aumentam financiados por novas emissões de dívida, isto faz com que a dívida aumente. Este aumento dos gastos do governo reduz o superávit primário corrente do governo. Entretanto, como a política fiscal é passiva o valor presente do superávit primário aumenta. Isto ocorre porque sob o regime de política fiscal passiva a autoridade fiscal eleva os impostos. Porém, como a política monetária é ativa</w:t>
      </w:r>
      <w:r>
        <w:rPr>
          <w:rFonts w:eastAsia="Calibri"/>
        </w:rPr>
        <w:t xml:space="preserve">, gerando elevação dos juros reais, </w:t>
      </w:r>
      <w:r w:rsidRPr="00FE4C0B">
        <w:rPr>
          <w:rFonts w:eastAsia="Calibri"/>
        </w:rPr>
        <w:t>para que o valor presente do superávit primário aumente é necessário que haja um aume</w:t>
      </w:r>
      <w:r>
        <w:rPr>
          <w:rFonts w:eastAsia="Calibri"/>
        </w:rPr>
        <w:t>nto considerável e prolongado do superávit primário</w:t>
      </w:r>
      <w:r w:rsidRPr="00FE4C0B">
        <w:rPr>
          <w:rFonts w:eastAsia="Calibri"/>
        </w:rPr>
        <w:t>.</w:t>
      </w:r>
    </w:p>
    <w:p w:rsidR="00651250" w:rsidRDefault="00651250" w:rsidP="00634AF9">
      <w:pPr>
        <w:ind w:firstLine="709"/>
        <w:jc w:val="both"/>
        <w:rPr>
          <w:b/>
          <w:color w:val="FF0000"/>
        </w:rPr>
      </w:pPr>
    </w:p>
    <w:p w:rsidR="00651250" w:rsidRDefault="00651250" w:rsidP="00634AF9">
      <w:pPr>
        <w:ind w:firstLine="709"/>
        <w:jc w:val="both"/>
        <w:rPr>
          <w:b/>
          <w:color w:val="FF0000"/>
        </w:rPr>
      </w:pPr>
    </w:p>
    <w:p w:rsidR="00634AF9" w:rsidRDefault="00634AF9" w:rsidP="00634AF9">
      <w:pPr>
        <w:jc w:val="center"/>
      </w:pPr>
      <w:r>
        <w:rPr>
          <w:noProof/>
        </w:rPr>
        <w:drawing>
          <wp:inline distT="0" distB="0" distL="0" distR="0">
            <wp:extent cx="6252845" cy="3521154"/>
            <wp:effectExtent l="19050" t="19050" r="14605" b="22146"/>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9"/>
                    <a:srcRect/>
                    <a:stretch>
                      <a:fillRect/>
                    </a:stretch>
                  </pic:blipFill>
                  <pic:spPr bwMode="auto">
                    <a:xfrm>
                      <a:off x="0" y="0"/>
                      <a:ext cx="6252320" cy="3520858"/>
                    </a:xfrm>
                    <a:prstGeom prst="rect">
                      <a:avLst/>
                    </a:prstGeom>
                    <a:noFill/>
                    <a:ln w="9525" cmpd="sng">
                      <a:solidFill>
                        <a:srgbClr val="4F81BD"/>
                      </a:solidFill>
                      <a:miter lim="800000"/>
                      <a:headEnd/>
                      <a:tailEnd/>
                    </a:ln>
                    <a:effectLst/>
                  </pic:spPr>
                </pic:pic>
              </a:graphicData>
            </a:graphic>
          </wp:inline>
        </w:drawing>
      </w:r>
    </w:p>
    <w:p w:rsidR="00634AF9" w:rsidRDefault="00634AF9" w:rsidP="00EB57C9">
      <w:pPr>
        <w:ind w:left="180"/>
        <w:jc w:val="both"/>
        <w:rPr>
          <w:rFonts w:eastAsia="Calibri"/>
        </w:rPr>
      </w:pPr>
      <w:r>
        <w:rPr>
          <w:rFonts w:eastAsia="Calibri"/>
        </w:rPr>
        <w:t xml:space="preserve">Figura </w:t>
      </w:r>
      <w:r w:rsidR="00E659AE">
        <w:rPr>
          <w:rFonts w:eastAsia="Calibri"/>
        </w:rPr>
        <w:t>2</w:t>
      </w:r>
      <w:r>
        <w:rPr>
          <w:rFonts w:eastAsia="Calibri"/>
        </w:rPr>
        <w:t xml:space="preserve">: Função Impulso-Resposta com Choque de Gastos do Governo de 3% - Evolução Dinâmica da Dívida e seus Componentes de Receita. </w:t>
      </w:r>
    </w:p>
    <w:p w:rsidR="00634AF9" w:rsidRDefault="00634AF9" w:rsidP="00EB57C9">
      <w:pPr>
        <w:ind w:left="180"/>
        <w:jc w:val="both"/>
        <w:rPr>
          <w:rFonts w:eastAsia="Calibri"/>
          <w:sz w:val="18"/>
          <w:szCs w:val="18"/>
        </w:rPr>
      </w:pPr>
      <w:r w:rsidRPr="00AF6EEB">
        <w:rPr>
          <w:rFonts w:eastAsia="Calibri"/>
          <w:sz w:val="18"/>
          <w:szCs w:val="18"/>
        </w:rPr>
        <w:t xml:space="preserve">Fonte: </w:t>
      </w:r>
      <w:r w:rsidR="00E659AE">
        <w:rPr>
          <w:sz w:val="18"/>
          <w:szCs w:val="18"/>
        </w:rPr>
        <w:t>elaboração própria</w:t>
      </w:r>
      <w:r w:rsidR="00E659AE" w:rsidRPr="000C4641">
        <w:rPr>
          <w:sz w:val="18"/>
          <w:szCs w:val="18"/>
        </w:rPr>
        <w:t>, 2012.</w:t>
      </w:r>
    </w:p>
    <w:p w:rsidR="00634AF9" w:rsidRDefault="00634AF9" w:rsidP="00E02BDD"/>
    <w:p w:rsidR="00B273D7" w:rsidRDefault="00B273D7" w:rsidP="00B273D7">
      <w:pPr>
        <w:ind w:firstLine="706"/>
        <w:jc w:val="both"/>
        <w:rPr>
          <w:rFonts w:eastAsia="Calibri"/>
        </w:rPr>
      </w:pPr>
      <w:r>
        <w:rPr>
          <w:rFonts w:eastAsia="Calibri"/>
        </w:rPr>
        <w:t>Como pô</w:t>
      </w:r>
      <w:r w:rsidRPr="00FE4C0B">
        <w:rPr>
          <w:rFonts w:eastAsia="Calibri"/>
        </w:rPr>
        <w:t>de s</w:t>
      </w:r>
      <w:r>
        <w:rPr>
          <w:rFonts w:eastAsia="Calibri"/>
        </w:rPr>
        <w:t>er visto pela F</w:t>
      </w:r>
      <w:r w:rsidRPr="00FE4C0B">
        <w:rPr>
          <w:rFonts w:eastAsia="Calibri"/>
        </w:rPr>
        <w:t xml:space="preserve">igura </w:t>
      </w:r>
      <w:r w:rsidR="00E659AE">
        <w:rPr>
          <w:rFonts w:eastAsia="Calibri"/>
        </w:rPr>
        <w:t xml:space="preserve">2 </w:t>
      </w:r>
      <w:r>
        <w:rPr>
          <w:rFonts w:eastAsia="Calibri"/>
        </w:rPr>
        <w:t>é</w:t>
      </w:r>
      <w:r w:rsidRPr="00FE4C0B">
        <w:rPr>
          <w:rFonts w:eastAsia="Calibri"/>
        </w:rPr>
        <w:t xml:space="preserve"> isto que ocorre quando há um choque positivo dos gastos do governo sob o </w:t>
      </w:r>
      <w:r>
        <w:rPr>
          <w:rFonts w:eastAsia="Calibri"/>
        </w:rPr>
        <w:t>estado</w:t>
      </w:r>
      <w:r w:rsidRPr="00FE4C0B">
        <w:rPr>
          <w:rFonts w:eastAsia="Calibri"/>
        </w:rPr>
        <w:t xml:space="preserve"> em que a política monetária é ativa e a fiscal é passiva. No primeiro quadro observa-se o aumento da dívida em ambos os casos e é evidente que quando a política monetária é </w:t>
      </w:r>
      <w:r>
        <w:rPr>
          <w:rFonts w:eastAsia="Calibri"/>
        </w:rPr>
        <w:t>mais</w:t>
      </w:r>
      <w:r w:rsidR="00E659AE">
        <w:rPr>
          <w:rFonts w:eastAsia="Calibri"/>
        </w:rPr>
        <w:t xml:space="preserve"> </w:t>
      </w:r>
      <w:r w:rsidRPr="00FE4C0B">
        <w:rPr>
          <w:rFonts w:eastAsia="Calibri"/>
        </w:rPr>
        <w:t>ativa</w:t>
      </w:r>
      <w:r>
        <w:rPr>
          <w:rFonts w:eastAsia="Calibri"/>
        </w:rPr>
        <w:t xml:space="preserve"> (estado 1)</w:t>
      </w:r>
      <w:r w:rsidR="00E659AE">
        <w:rPr>
          <w:rFonts w:eastAsia="Calibri"/>
        </w:rPr>
        <w:t xml:space="preserve"> </w:t>
      </w:r>
      <w:r>
        <w:rPr>
          <w:rFonts w:eastAsia="Calibri"/>
        </w:rPr>
        <w:t xml:space="preserve">a taxa de juros real é menor. O contrário ocorre no estado 2, gerando um aumento de dívida maior. A ideia subjacente a esta análise é a da importância do papel dos juros no ajustamento da dívida pública via inflação. No nosso caso empírico a receita de senhoriagem não está contribuindo em </w:t>
      </w:r>
      <w:r>
        <w:rPr>
          <w:rFonts w:eastAsia="Calibri"/>
        </w:rPr>
        <w:lastRenderedPageBreak/>
        <w:t xml:space="preserve">nada para reduzir o valor real da dívida. O resultado é interessante, pois de acordo com Davig e Leeper (2011), deveríamos esperar que, no estado em que a política monetária fosse mais ativa, houvesse uma elevação de juros real maior do que quando a política monetária fosse menos ativa. E isto levaria a um aumento menor da dívida no segundo caso do que no primeiro. Entretanto, como já foi abordado neste trabalho, o papel do hiato do produto na determinação das taxas de juros real é fundamental também para a diferença no resultado sobre a dinâmica da dívida. Aqui as taxas de juros reais mais elevadas ocorrem no estado em que a política monetária é menos ativa. </w:t>
      </w:r>
    </w:p>
    <w:p w:rsidR="00FC3AC8" w:rsidRDefault="00B273D7" w:rsidP="00B273D7">
      <w:pPr>
        <w:ind w:firstLine="706"/>
        <w:jc w:val="both"/>
        <w:rPr>
          <w:rFonts w:eastAsia="Calibri"/>
        </w:rPr>
      </w:pPr>
      <w:r>
        <w:rPr>
          <w:rFonts w:eastAsia="Calibri"/>
        </w:rPr>
        <w:t xml:space="preserve">Caso o coeficiente do hiato do produto fosse muito próximo de zero, sob o estado de política monetária passiva e </w:t>
      </w:r>
      <w:r w:rsidRPr="00FE4C0B">
        <w:rPr>
          <w:rFonts w:eastAsia="Calibri"/>
        </w:rPr>
        <w:t>fiscal ativ</w:t>
      </w:r>
      <w:r>
        <w:rPr>
          <w:rFonts w:eastAsia="Calibri"/>
        </w:rPr>
        <w:t>a</w:t>
      </w:r>
      <w:r w:rsidRPr="00FE4C0B">
        <w:rPr>
          <w:rFonts w:eastAsia="Calibri"/>
        </w:rPr>
        <w:t>, diferentemente do que ocorreu anteriormente, o valor presente do superávit primário ser</w:t>
      </w:r>
      <w:r>
        <w:rPr>
          <w:rFonts w:eastAsia="Calibri"/>
        </w:rPr>
        <w:t>ia menor. U</w:t>
      </w:r>
      <w:r w:rsidRPr="00FE4C0B">
        <w:rPr>
          <w:rFonts w:eastAsia="Calibri"/>
        </w:rPr>
        <w:t xml:space="preserve">ma elevação menor dos impostos e </w:t>
      </w:r>
      <w:r>
        <w:rPr>
          <w:rFonts w:eastAsia="Calibri"/>
        </w:rPr>
        <w:t>dos juros reais levaria a uma</w:t>
      </w:r>
      <w:r w:rsidRPr="00FE4C0B">
        <w:rPr>
          <w:rFonts w:eastAsia="Calibri"/>
        </w:rPr>
        <w:t xml:space="preserve"> senhoriagem </w:t>
      </w:r>
      <w:r>
        <w:rPr>
          <w:rFonts w:eastAsia="Calibri"/>
        </w:rPr>
        <w:t xml:space="preserve">maior devido </w:t>
      </w:r>
      <w:r w:rsidR="00C3703C">
        <w:rPr>
          <w:rFonts w:eastAsia="Calibri"/>
        </w:rPr>
        <w:t>a</w:t>
      </w:r>
      <w:r>
        <w:rPr>
          <w:rFonts w:eastAsia="Calibri"/>
        </w:rPr>
        <w:t xml:space="preserve"> uma inflação mais </w:t>
      </w:r>
      <w:r w:rsidRPr="00FE4C0B">
        <w:rPr>
          <w:rFonts w:eastAsia="Calibri"/>
        </w:rPr>
        <w:t xml:space="preserve">elevada. </w:t>
      </w:r>
    </w:p>
    <w:p w:rsidR="00B273D7" w:rsidRPr="00FE4C0B" w:rsidRDefault="00B273D7" w:rsidP="00B273D7">
      <w:pPr>
        <w:ind w:firstLine="706"/>
        <w:jc w:val="both"/>
        <w:rPr>
          <w:rFonts w:eastAsia="Calibri"/>
        </w:rPr>
      </w:pPr>
      <w:r>
        <w:rPr>
          <w:rFonts w:eastAsia="Calibri"/>
        </w:rPr>
        <w:t>Por fim, é importante destacar que o tipo de estado no qual a política monetária se encontra (</w:t>
      </w:r>
      <w:r w:rsidR="00FC3AC8">
        <w:rPr>
          <w:rFonts w:eastAsia="Calibri"/>
        </w:rPr>
        <w:t>mais ativa ou menos ativa</w:t>
      </w:r>
      <w:r>
        <w:rPr>
          <w:rFonts w:eastAsia="Calibri"/>
        </w:rPr>
        <w:t>) é relevante para a trajetória dos juros reais. No entanto, pudemos ver nos nossos resultados que o peso do coeficiente do hiato do produto é tão importante quanto o peso do coeficiente da taxa de inflação na determinação da dinâmica da dívida. Mais do que isso, argumenta-se aqui que sob a combinação de regimes de política detectados</w:t>
      </w:r>
      <w:r w:rsidR="00C3703C">
        <w:rPr>
          <w:rFonts w:eastAsia="Calibri"/>
        </w:rPr>
        <w:t>,</w:t>
      </w:r>
      <w:r>
        <w:rPr>
          <w:rFonts w:eastAsia="Calibri"/>
        </w:rPr>
        <w:t xml:space="preserve"> o elevado coeficiente do hiato do produto na regra de política monetária altera profundamente os resultados esperados.</w:t>
      </w:r>
    </w:p>
    <w:p w:rsidR="00EB57C9" w:rsidRDefault="00EB57C9" w:rsidP="00E02BDD"/>
    <w:p w:rsidR="00D2223F" w:rsidRPr="00360272" w:rsidRDefault="00D2223F" w:rsidP="001F2B06">
      <w:pPr>
        <w:pStyle w:val="PargrafodaLista"/>
        <w:numPr>
          <w:ilvl w:val="1"/>
          <w:numId w:val="12"/>
        </w:numPr>
        <w:spacing w:after="0" w:line="240" w:lineRule="auto"/>
        <w:jc w:val="both"/>
        <w:rPr>
          <w:rFonts w:ascii="Times New Roman" w:hAnsi="Times New Roman"/>
          <w:b/>
          <w:sz w:val="24"/>
          <w:szCs w:val="24"/>
        </w:rPr>
      </w:pPr>
      <w:r w:rsidRPr="00360272">
        <w:rPr>
          <w:rFonts w:ascii="Times New Roman" w:hAnsi="Times New Roman"/>
          <w:b/>
          <w:sz w:val="24"/>
          <w:szCs w:val="24"/>
        </w:rPr>
        <w:t>Multiplicadores de Gastos do Governo</w:t>
      </w:r>
    </w:p>
    <w:p w:rsidR="00D2223F" w:rsidRDefault="00D2223F" w:rsidP="00E02BDD"/>
    <w:p w:rsidR="00D2223F" w:rsidRPr="00FE4C0B" w:rsidRDefault="00D2223F" w:rsidP="00D2223F">
      <w:pPr>
        <w:ind w:firstLine="706"/>
        <w:jc w:val="both"/>
        <w:rPr>
          <w:rFonts w:eastAsia="Calibri"/>
        </w:rPr>
      </w:pPr>
      <w:r>
        <w:rPr>
          <w:rFonts w:eastAsia="Calibri"/>
        </w:rPr>
        <w:t xml:space="preserve">O </w:t>
      </w:r>
      <w:r w:rsidRPr="00FE4C0B">
        <w:rPr>
          <w:rFonts w:eastAsia="Calibri"/>
        </w:rPr>
        <w:t>multiplicador de gastos do governo pode ser definido como um aumento no produto</w:t>
      </w:r>
      <w:r>
        <w:rPr>
          <w:rFonts w:eastAsia="Calibri"/>
        </w:rPr>
        <w:t>,</w:t>
      </w:r>
      <w:r w:rsidR="00E659AE">
        <w:rPr>
          <w:rFonts w:eastAsia="Calibri"/>
        </w:rPr>
        <w:t xml:space="preserve"> </w:t>
      </w:r>
      <w:r w:rsidRPr="00FE4C0B">
        <w:rPr>
          <w:rFonts w:eastAsia="Calibri"/>
          <w:i/>
        </w:rPr>
        <w:t>k</w:t>
      </w:r>
      <w:r w:rsidRPr="00FE4C0B">
        <w:rPr>
          <w:rFonts w:eastAsia="Calibri"/>
        </w:rPr>
        <w:t xml:space="preserve"> períodos à frente gerado no período </w:t>
      </w:r>
      <w:r w:rsidRPr="00FE4C0B">
        <w:rPr>
          <w:rFonts w:eastAsia="Calibri"/>
          <w:i/>
        </w:rPr>
        <w:t>t</w:t>
      </w:r>
      <w:r w:rsidRPr="00FE4C0B">
        <w:rPr>
          <w:rFonts w:eastAsia="Calibri"/>
        </w:rPr>
        <w:t>. Esta definição segue Blanchard e Perotti (2002). Entretanto, conforme apontado por Mountford e Uhlig (2009) e seguido por Davi</w:t>
      </w:r>
      <w:r w:rsidR="00B10E2D">
        <w:rPr>
          <w:rFonts w:eastAsia="Calibri"/>
        </w:rPr>
        <w:t>g</w:t>
      </w:r>
      <w:r w:rsidRPr="00FE4C0B">
        <w:rPr>
          <w:rFonts w:eastAsia="Calibri"/>
        </w:rPr>
        <w:t xml:space="preserve"> e Leeper (</w:t>
      </w:r>
      <w:r w:rsidR="00830FC8" w:rsidRPr="00FE4C0B">
        <w:rPr>
          <w:rFonts w:eastAsia="Calibri"/>
        </w:rPr>
        <w:t>20</w:t>
      </w:r>
      <w:r w:rsidR="00830FC8">
        <w:rPr>
          <w:rFonts w:eastAsia="Calibri"/>
        </w:rPr>
        <w:t>11</w:t>
      </w:r>
      <w:r w:rsidRPr="00FE4C0B">
        <w:rPr>
          <w:rFonts w:eastAsia="Calibri"/>
        </w:rPr>
        <w:t>), esta definição deixa de levar em consideração importantes questões. Em primeiro lugar, como aponta</w:t>
      </w:r>
      <w:r>
        <w:rPr>
          <w:rFonts w:eastAsia="Calibri"/>
        </w:rPr>
        <w:t>m</w:t>
      </w:r>
      <w:r w:rsidRPr="00FE4C0B">
        <w:rPr>
          <w:rFonts w:eastAsia="Calibri"/>
        </w:rPr>
        <w:t xml:space="preserve"> os autores </w:t>
      </w:r>
      <w:r>
        <w:rPr>
          <w:rFonts w:eastAsia="Calibri"/>
        </w:rPr>
        <w:t>o cálculo feito</w:t>
      </w:r>
      <w:r w:rsidRPr="00FE4C0B">
        <w:rPr>
          <w:rFonts w:eastAsia="Calibri"/>
        </w:rPr>
        <w:t xml:space="preserve"> através de</w:t>
      </w:r>
      <w:r w:rsidR="00E659AE">
        <w:rPr>
          <w:rFonts w:eastAsia="Calibri"/>
        </w:rPr>
        <w:t xml:space="preserve"> </w:t>
      </w:r>
      <m:oMath>
        <m:f>
          <m:fPr>
            <m:type m:val="lin"/>
            <m:ctrlPr>
              <w:rPr>
                <w:rFonts w:ascii="Cambria Math" w:eastAsia="Calibri"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den>
        </m:f>
      </m:oMath>
      <w:r>
        <w:rPr>
          <w:rFonts w:eastAsia="Calibri"/>
        </w:rPr>
        <w:t xml:space="preserve"> pode estar viesado</w:t>
      </w:r>
      <w:r w:rsidRPr="00FE4C0B">
        <w:rPr>
          <w:rFonts w:eastAsia="Calibri"/>
        </w:rPr>
        <w:t xml:space="preserve">. Este viés decorreria do fato de que esta operação não leva em conta como </w:t>
      </w:r>
      <w:r>
        <w:rPr>
          <w:rFonts w:eastAsia="Calibri"/>
        </w:rPr>
        <w:t xml:space="preserve">se espera que </w:t>
      </w:r>
      <w:r w:rsidRPr="00FE4C0B">
        <w:rPr>
          <w:rFonts w:eastAsia="Calibri"/>
        </w:rPr>
        <w:t xml:space="preserve">os gastos futuros </w:t>
      </w:r>
      <w:r>
        <w:rPr>
          <w:rFonts w:eastAsia="Calibri"/>
        </w:rPr>
        <w:t xml:space="preserve">vão </w:t>
      </w:r>
      <w:r w:rsidRPr="00FE4C0B">
        <w:rPr>
          <w:rFonts w:eastAsia="Calibri"/>
        </w:rPr>
        <w:t xml:space="preserve">impactar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oMath>
      <w:r w:rsidRPr="00FE4C0B">
        <w:rPr>
          <w:rFonts w:eastAsia="Calibri"/>
        </w:rPr>
        <w:t>. Isto é extr</w:t>
      </w:r>
      <w:r>
        <w:rPr>
          <w:rFonts w:eastAsia="Calibri"/>
        </w:rPr>
        <w:t>e</w:t>
      </w:r>
      <w:r w:rsidRPr="00FE4C0B">
        <w:rPr>
          <w:rFonts w:eastAsia="Calibri"/>
        </w:rPr>
        <w:t>m</w:t>
      </w:r>
      <w:r>
        <w:rPr>
          <w:rFonts w:eastAsia="Calibri"/>
        </w:rPr>
        <w:t>am</w:t>
      </w:r>
      <w:r w:rsidRPr="00FE4C0B">
        <w:rPr>
          <w:rFonts w:eastAsia="Calibri"/>
        </w:rPr>
        <w:t xml:space="preserve">ente importante, pois se os gastos do governo são serialmente correlacionados então alterações nos gastos do governo podem fornecer algum tipo de indicativo sobre a trajetória futura dos gastos do governo. Em segundo lugar, esta medida não possui nenhum fator de desconto intertemporal. Ou seja, um aumento do produto no futuro tem a mesma importância e o mesmo impacto caso o aumento do produto gerado por um aumento de gastos do governo ocorresse hoje. Portanto, a introdução de um fator de desconto </w:t>
      </w:r>
      <w:r>
        <w:rPr>
          <w:rFonts w:eastAsia="Calibri"/>
        </w:rPr>
        <w:t>na medida d</w:t>
      </w:r>
      <w:r w:rsidRPr="00FE4C0B">
        <w:rPr>
          <w:rFonts w:eastAsia="Calibri"/>
        </w:rPr>
        <w:t xml:space="preserve">estes impactos </w:t>
      </w:r>
      <w:r>
        <w:rPr>
          <w:rFonts w:eastAsia="Calibri"/>
        </w:rPr>
        <w:t>sobre o</w:t>
      </w:r>
      <w:r w:rsidRPr="00FE4C0B">
        <w:rPr>
          <w:rFonts w:eastAsia="Calibri"/>
        </w:rPr>
        <w:t xml:space="preserve"> valor presente é extremamente importante para a análise de política econômica. </w:t>
      </w:r>
      <w:r w:rsidR="00FC3AC8">
        <w:rPr>
          <w:rFonts w:eastAsia="Calibri"/>
        </w:rPr>
        <w:t>A</w:t>
      </w:r>
      <w:r w:rsidRPr="00FE4C0B">
        <w:rPr>
          <w:rFonts w:eastAsia="Calibri"/>
        </w:rPr>
        <w:t xml:space="preserve"> equação </w:t>
      </w:r>
      <w:r w:rsidR="00E659AE">
        <w:rPr>
          <w:rFonts w:eastAsia="Calibri"/>
        </w:rPr>
        <w:t xml:space="preserve">28 </w:t>
      </w:r>
      <w:r>
        <w:rPr>
          <w:rFonts w:eastAsia="Calibri"/>
        </w:rPr>
        <w:t>abaixo mostra com</w:t>
      </w:r>
      <w:r w:rsidR="00FC3AC8">
        <w:rPr>
          <w:rFonts w:eastAsia="Calibri"/>
        </w:rPr>
        <w:t>o</w:t>
      </w:r>
      <w:r>
        <w:rPr>
          <w:rFonts w:eastAsia="Calibri"/>
        </w:rPr>
        <w:t xml:space="preserve"> calcular</w:t>
      </w:r>
      <w:r w:rsidRPr="00FE4C0B">
        <w:rPr>
          <w:rFonts w:eastAsia="Calibri"/>
        </w:rPr>
        <w:t xml:space="preserve"> o valor presente do multiplicador dos gastos do governo, ou seja, o aumento do valor presente do produto ao longo dos próximos </w:t>
      </w:r>
      <w:r w:rsidRPr="00FE4C0B">
        <w:rPr>
          <w:rFonts w:eastAsia="Calibri"/>
          <w:i/>
        </w:rPr>
        <w:t>k</w:t>
      </w:r>
      <w:r w:rsidRPr="00FE4C0B">
        <w:rPr>
          <w:rFonts w:eastAsia="Calibri"/>
        </w:rPr>
        <w:t xml:space="preserve"> períodos.</w:t>
      </w:r>
    </w:p>
    <w:p w:rsidR="00D2223F" w:rsidRDefault="00D2223F" w:rsidP="00D2223F">
      <w:pPr>
        <w:spacing w:line="360" w:lineRule="auto"/>
        <w:jc w:val="both"/>
        <w:rPr>
          <w:rFonts w:eastAsia="Calibri"/>
        </w:rPr>
      </w:pPr>
    </w:p>
    <w:p w:rsidR="00D2223F" w:rsidRPr="00BC605E" w:rsidRDefault="00D2223F" w:rsidP="00D2223F">
      <w:pPr>
        <w:jc w:val="both"/>
        <w:rPr>
          <w:rFonts w:eastAsia="SimSun"/>
        </w:rPr>
      </w:pPr>
      <m:oMathPara>
        <m:oMathParaPr>
          <m:jc m:val="left"/>
        </m:oMathParaPr>
        <m:oMath>
          <m:r>
            <w:rPr>
              <w:rFonts w:ascii="Cambria Math" w:eastAsia="SimSun"/>
            </w:rPr>
            <m:t xml:space="preserve">Valor Presente do Multiplicador </m:t>
          </m:r>
          <m:d>
            <m:dPr>
              <m:ctrlPr>
                <w:rPr>
                  <w:rFonts w:ascii="Cambria Math" w:eastAsia="SimSun" w:hAnsi="Cambria Math"/>
                  <w:i/>
                </w:rPr>
              </m:ctrlPr>
            </m:dPr>
            <m:e>
              <m:r>
                <w:rPr>
                  <w:rFonts w:ascii="Cambria Math" w:eastAsia="SimSun" w:hAnsi="Cambria Math"/>
                </w:rPr>
                <m:t>k</m:t>
              </m:r>
            </m:e>
          </m:d>
          <m:r>
            <w:rPr>
              <w:rFonts w:ascii="Cambria Math" w:eastAsia="SimSun"/>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E</m:t>
                  </m:r>
                </m:e>
                <m:sub>
                  <m:r>
                    <w:rPr>
                      <w:rFonts w:ascii="Cambria Math" w:eastAsia="SimSun" w:hAnsi="Cambria Math"/>
                    </w:rPr>
                    <m:t>t</m:t>
                  </m:r>
                </m:sub>
              </m:sSub>
              <m:nary>
                <m:naryPr>
                  <m:chr m:val="∑"/>
                  <m:limLoc m:val="subSup"/>
                  <m:ctrlPr>
                    <w:rPr>
                      <w:rFonts w:ascii="Cambria Math" w:eastAsia="SimSun" w:hAnsi="Cambria Math"/>
                      <w:i/>
                    </w:rPr>
                  </m:ctrlPr>
                </m:naryPr>
                <m:sub>
                  <m:r>
                    <w:rPr>
                      <w:rFonts w:ascii="Cambria Math" w:eastAsia="SimSun" w:hAnsi="Cambria Math"/>
                    </w:rPr>
                    <m:t>j</m:t>
                  </m:r>
                  <m:r>
                    <w:rPr>
                      <w:rFonts w:ascii="Cambria Math" w:eastAsia="SimSun"/>
                    </w:rPr>
                    <m:t>=0</m:t>
                  </m:r>
                </m:sub>
                <m:sup>
                  <m:r>
                    <w:rPr>
                      <w:rFonts w:ascii="Cambria Math" w:eastAsia="SimSun" w:hAnsi="Cambria Math"/>
                    </w:rPr>
                    <m:t>k</m:t>
                  </m:r>
                </m:sup>
                <m:e>
                  <m:nary>
                    <m:naryPr>
                      <m:chr m:val="∏"/>
                      <m:limLoc m:val="subSup"/>
                      <m:ctrlPr>
                        <w:rPr>
                          <w:rFonts w:ascii="Cambria Math" w:eastAsia="SimSun" w:hAnsi="Cambria Math"/>
                          <w:i/>
                        </w:rPr>
                      </m:ctrlPr>
                    </m:naryPr>
                    <m:sub>
                      <m:r>
                        <w:rPr>
                          <w:rFonts w:ascii="Cambria Math" w:eastAsia="SimSun" w:hAnsi="Cambria Math"/>
                        </w:rPr>
                        <m:t>i</m:t>
                      </m:r>
                      <m:r>
                        <w:rPr>
                          <w:rFonts w:ascii="Cambria Math" w:eastAsia="SimSun"/>
                        </w:rPr>
                        <m:t>=0</m:t>
                      </m:r>
                    </m:sub>
                    <m:sup>
                      <m:r>
                        <w:rPr>
                          <w:rFonts w:ascii="Cambria Math" w:eastAsia="SimSun" w:hAnsi="Cambria Math"/>
                        </w:rPr>
                        <m:t>j</m:t>
                      </m:r>
                    </m:sup>
                    <m:e>
                      <m:sSup>
                        <m:sSupPr>
                          <m:ctrlPr>
                            <w:rPr>
                              <w:rFonts w:ascii="Cambria Math" w:eastAsia="SimSun" w:hAnsi="Cambria Math"/>
                              <w:i/>
                            </w:rPr>
                          </m:ctrlPr>
                        </m:sSupPr>
                        <m:e>
                          <m:d>
                            <m:dPr>
                              <m:ctrlPr>
                                <w:rPr>
                                  <w:rFonts w:ascii="Cambria Math" w:eastAsia="SimSun" w:hAnsi="Cambria Math"/>
                                  <w:i/>
                                </w:rPr>
                              </m:ctrlPr>
                            </m:dPr>
                            <m:e>
                              <m:r>
                                <w:rPr>
                                  <w:rFonts w:ascii="Cambria Math" w:eastAsia="SimSun"/>
                                </w:rPr>
                                <m:t>1+</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t</m:t>
                                  </m:r>
                                  <m:r>
                                    <w:rPr>
                                      <w:rFonts w:ascii="Cambria Math" w:eastAsia="SimSun"/>
                                    </w:rPr>
                                    <m:t>+</m:t>
                                  </m:r>
                                  <m:r>
                                    <w:rPr>
                                      <w:rFonts w:ascii="Cambria Math" w:eastAsia="SimSun" w:hAnsi="Cambria Math"/>
                                    </w:rPr>
                                    <m:t>i</m:t>
                                  </m:r>
                                </m:sub>
                              </m:sSub>
                            </m:e>
                          </m:d>
                        </m:e>
                        <m:sup>
                          <m:r>
                            <w:rPr>
                              <w:rFonts w:eastAsia="SimSun"/>
                            </w:rPr>
                            <m:t>-</m:t>
                          </m:r>
                          <m:r>
                            <w:rPr>
                              <w:rFonts w:ascii="Cambria Math" w:eastAsia="SimSun" w:hAnsi="Cambria Math"/>
                            </w:rPr>
                            <m:t>j</m:t>
                          </m:r>
                        </m:sup>
                      </m:sSup>
                    </m:e>
                  </m:nary>
                </m:e>
              </m:nary>
              <m:r>
                <w:rPr>
                  <w:rFonts w:eastAsia="SimSun"/>
                </w:rPr>
                <m:t>∆</m:t>
              </m:r>
              <m:sSub>
                <m:sSubPr>
                  <m:ctrlPr>
                    <w:rPr>
                      <w:rFonts w:ascii="Cambria Math" w:eastAsia="SimSun" w:hAnsi="Cambria Math"/>
                      <w:i/>
                    </w:rPr>
                  </m:ctrlPr>
                </m:sSubPr>
                <m:e>
                  <m:r>
                    <w:rPr>
                      <w:rFonts w:ascii="Cambria Math" w:eastAsia="SimSun" w:hAnsi="Cambria Math"/>
                    </w:rPr>
                    <m:t>Y</m:t>
                  </m:r>
                </m:e>
                <m:sub>
                  <m:r>
                    <w:rPr>
                      <w:rFonts w:ascii="Cambria Math" w:eastAsia="SimSun" w:hAnsi="Cambria Math"/>
                    </w:rPr>
                    <m:t>t</m:t>
                  </m:r>
                  <m:r>
                    <w:rPr>
                      <w:rFonts w:ascii="Cambria Math" w:eastAsia="SimSun"/>
                    </w:rPr>
                    <m:t>+</m:t>
                  </m:r>
                  <m:r>
                    <w:rPr>
                      <w:rFonts w:ascii="Cambria Math" w:eastAsia="SimSun" w:hAnsi="Cambria Math"/>
                    </w:rPr>
                    <m:t>k</m:t>
                  </m:r>
                </m:sub>
              </m:sSub>
            </m:num>
            <m:den>
              <m:sSub>
                <m:sSubPr>
                  <m:ctrlPr>
                    <w:rPr>
                      <w:rFonts w:ascii="Cambria Math" w:eastAsia="SimSun" w:hAnsi="Cambria Math"/>
                      <w:i/>
                    </w:rPr>
                  </m:ctrlPr>
                </m:sSubPr>
                <m:e>
                  <m:r>
                    <w:rPr>
                      <w:rFonts w:ascii="Cambria Math" w:eastAsia="SimSun" w:hAnsi="Cambria Math"/>
                    </w:rPr>
                    <m:t>E</m:t>
                  </m:r>
                </m:e>
                <m:sub>
                  <m:r>
                    <w:rPr>
                      <w:rFonts w:ascii="Cambria Math" w:eastAsia="SimSun" w:hAnsi="Cambria Math"/>
                    </w:rPr>
                    <m:t>t</m:t>
                  </m:r>
                </m:sub>
              </m:sSub>
              <m:nary>
                <m:naryPr>
                  <m:chr m:val="∑"/>
                  <m:limLoc m:val="subSup"/>
                  <m:ctrlPr>
                    <w:rPr>
                      <w:rFonts w:ascii="Cambria Math" w:eastAsia="SimSun" w:hAnsi="Cambria Math"/>
                      <w:i/>
                    </w:rPr>
                  </m:ctrlPr>
                </m:naryPr>
                <m:sub>
                  <m:r>
                    <w:rPr>
                      <w:rFonts w:ascii="Cambria Math" w:eastAsia="SimSun" w:hAnsi="Cambria Math"/>
                    </w:rPr>
                    <m:t>j</m:t>
                  </m:r>
                  <m:r>
                    <w:rPr>
                      <w:rFonts w:ascii="Cambria Math" w:eastAsia="SimSun"/>
                    </w:rPr>
                    <m:t>=0</m:t>
                  </m:r>
                </m:sub>
                <m:sup>
                  <m:r>
                    <w:rPr>
                      <w:rFonts w:ascii="Cambria Math" w:eastAsia="SimSun" w:hAnsi="Cambria Math"/>
                    </w:rPr>
                    <m:t>k</m:t>
                  </m:r>
                </m:sup>
                <m:e>
                  <m:nary>
                    <m:naryPr>
                      <m:chr m:val="∏"/>
                      <m:limLoc m:val="subSup"/>
                      <m:ctrlPr>
                        <w:rPr>
                          <w:rFonts w:ascii="Cambria Math" w:eastAsia="SimSun" w:hAnsi="Cambria Math"/>
                          <w:i/>
                        </w:rPr>
                      </m:ctrlPr>
                    </m:naryPr>
                    <m:sub>
                      <m:r>
                        <w:rPr>
                          <w:rFonts w:ascii="Cambria Math" w:eastAsia="SimSun" w:hAnsi="Cambria Math"/>
                        </w:rPr>
                        <m:t>i</m:t>
                      </m:r>
                      <m:r>
                        <w:rPr>
                          <w:rFonts w:ascii="Cambria Math" w:eastAsia="SimSun"/>
                        </w:rPr>
                        <m:t>=0</m:t>
                      </m:r>
                    </m:sub>
                    <m:sup>
                      <m:r>
                        <w:rPr>
                          <w:rFonts w:ascii="Cambria Math" w:eastAsia="SimSun" w:hAnsi="Cambria Math"/>
                        </w:rPr>
                        <m:t>j</m:t>
                      </m:r>
                    </m:sup>
                    <m:e>
                      <m:sSup>
                        <m:sSupPr>
                          <m:ctrlPr>
                            <w:rPr>
                              <w:rFonts w:ascii="Cambria Math" w:eastAsia="SimSun" w:hAnsi="Cambria Math"/>
                              <w:i/>
                            </w:rPr>
                          </m:ctrlPr>
                        </m:sSupPr>
                        <m:e>
                          <m:d>
                            <m:dPr>
                              <m:ctrlPr>
                                <w:rPr>
                                  <w:rFonts w:ascii="Cambria Math" w:eastAsia="SimSun" w:hAnsi="Cambria Math"/>
                                  <w:i/>
                                </w:rPr>
                              </m:ctrlPr>
                            </m:dPr>
                            <m:e>
                              <m:r>
                                <w:rPr>
                                  <w:rFonts w:ascii="Cambria Math" w:eastAsia="SimSun"/>
                                </w:rPr>
                                <m:t>1+</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t</m:t>
                                  </m:r>
                                  <m:r>
                                    <w:rPr>
                                      <w:rFonts w:ascii="Cambria Math" w:eastAsia="SimSun"/>
                                    </w:rPr>
                                    <m:t>+</m:t>
                                  </m:r>
                                  <m:r>
                                    <w:rPr>
                                      <w:rFonts w:ascii="Cambria Math" w:eastAsia="SimSun" w:hAnsi="Cambria Math"/>
                                    </w:rPr>
                                    <m:t>i</m:t>
                                  </m:r>
                                </m:sub>
                              </m:sSub>
                            </m:e>
                          </m:d>
                        </m:e>
                        <m:sup>
                          <m:r>
                            <w:rPr>
                              <w:rFonts w:eastAsia="SimSun"/>
                            </w:rPr>
                            <m:t>-</m:t>
                          </m:r>
                          <m:r>
                            <w:rPr>
                              <w:rFonts w:ascii="Cambria Math" w:eastAsia="SimSun" w:hAnsi="Cambria Math"/>
                            </w:rPr>
                            <m:t>j</m:t>
                          </m:r>
                        </m:sup>
                      </m:sSup>
                    </m:e>
                  </m:nary>
                </m:e>
              </m:nary>
              <m:r>
                <w:rPr>
                  <w:rFonts w:eastAsia="SimSun"/>
                </w:rPr>
                <m:t>∆</m:t>
              </m:r>
              <m:sSub>
                <m:sSubPr>
                  <m:ctrlPr>
                    <w:rPr>
                      <w:rFonts w:ascii="Cambria Math" w:eastAsia="SimSun" w:hAnsi="Cambria Math"/>
                      <w:i/>
                    </w:rPr>
                  </m:ctrlPr>
                </m:sSubPr>
                <m:e>
                  <m:r>
                    <w:rPr>
                      <w:rFonts w:ascii="Cambria Math" w:eastAsia="SimSun" w:hAnsi="Cambria Math"/>
                    </w:rPr>
                    <m:t>G</m:t>
                  </m:r>
                </m:e>
                <m:sub>
                  <m:r>
                    <w:rPr>
                      <w:rFonts w:ascii="Cambria Math" w:eastAsia="SimSun" w:hAnsi="Cambria Math"/>
                    </w:rPr>
                    <m:t>t</m:t>
                  </m:r>
                  <m:r>
                    <w:rPr>
                      <w:rFonts w:ascii="Cambria Math" w:eastAsia="SimSun"/>
                    </w:rPr>
                    <m:t>+</m:t>
                  </m:r>
                  <m:r>
                    <w:rPr>
                      <w:rFonts w:ascii="Cambria Math" w:eastAsia="SimSun" w:hAnsi="Cambria Math"/>
                    </w:rPr>
                    <m:t>k</m:t>
                  </m:r>
                </m:sub>
              </m:sSub>
            </m:den>
          </m:f>
          <m:r>
            <w:rPr>
              <w:rFonts w:ascii="Cambria Math" w:eastAsia="SimSun"/>
            </w:rPr>
            <m:t xml:space="preserve">                           (28)</m:t>
          </m:r>
        </m:oMath>
      </m:oMathPara>
    </w:p>
    <w:p w:rsidR="00D2223F" w:rsidRPr="00BC605E" w:rsidRDefault="00D2223F" w:rsidP="00D2223F">
      <w:pPr>
        <w:rPr>
          <w:rFonts w:eastAsia="SimSun"/>
        </w:rPr>
      </w:pPr>
    </w:p>
    <w:p w:rsidR="00D2223F" w:rsidRDefault="00D2223F" w:rsidP="00D2223F">
      <w:pPr>
        <w:ind w:firstLine="720"/>
        <w:jc w:val="both"/>
      </w:pPr>
      <w:r>
        <w:rPr>
          <w:rFonts w:eastAsia="Calibri"/>
        </w:rPr>
        <w:t>São apresentados na T</w:t>
      </w:r>
      <w:r w:rsidRPr="00FE4C0B">
        <w:rPr>
          <w:rFonts w:eastAsia="Calibri"/>
        </w:rPr>
        <w:t xml:space="preserve">abela </w:t>
      </w:r>
      <w:r>
        <w:rPr>
          <w:rFonts w:eastAsia="Calibri"/>
        </w:rPr>
        <w:t>4</w:t>
      </w:r>
      <w:r w:rsidRPr="00FE4C0B">
        <w:rPr>
          <w:rFonts w:eastAsia="Calibri"/>
        </w:rPr>
        <w:t xml:space="preserve"> os valores dos multiplicadores dos gastos do governo sobre o produto</w:t>
      </w:r>
      <w:r>
        <w:rPr>
          <w:rFonts w:eastAsia="Calibri"/>
        </w:rPr>
        <w:t xml:space="preserve"> e</w:t>
      </w:r>
      <w:r w:rsidRPr="00FE4C0B">
        <w:rPr>
          <w:rFonts w:eastAsia="Calibri"/>
        </w:rPr>
        <w:t xml:space="preserve"> sob os dois tipos de regimes considerados neste trabalho. Em geral, nos dois casos o multiplicador de gastos é menor do que a unidade</w:t>
      </w:r>
      <w:r>
        <w:rPr>
          <w:rFonts w:eastAsia="Calibri"/>
        </w:rPr>
        <w:t>. O multiplicador é</w:t>
      </w:r>
      <w:r w:rsidRPr="00FE4C0B">
        <w:rPr>
          <w:rFonts w:eastAsia="Calibri"/>
        </w:rPr>
        <w:t xml:space="preserve"> negativo </w:t>
      </w:r>
      <w:r>
        <w:rPr>
          <w:rFonts w:eastAsia="Calibri"/>
        </w:rPr>
        <w:t xml:space="preserve">se considerarmos apenas o seu efeito </w:t>
      </w:r>
      <w:r w:rsidRPr="00FE4C0B">
        <w:rPr>
          <w:rFonts w:eastAsia="Calibri"/>
        </w:rPr>
        <w:t>sobre o consumo</w:t>
      </w:r>
      <w:r>
        <w:rPr>
          <w:rFonts w:eastAsia="Calibri"/>
        </w:rPr>
        <w:t xml:space="preserve"> privado</w:t>
      </w:r>
      <w:r w:rsidRPr="00FE4C0B">
        <w:rPr>
          <w:rFonts w:eastAsia="Calibri"/>
        </w:rPr>
        <w:t xml:space="preserve">. Como apresentado anteriormente, este resultado decorre do aumento da taxa de juros real que leva </w:t>
      </w:r>
      <w:r>
        <w:rPr>
          <w:rFonts w:eastAsia="Calibri"/>
        </w:rPr>
        <w:t>à</w:t>
      </w:r>
      <w:r w:rsidRPr="00FE4C0B">
        <w:rPr>
          <w:rFonts w:eastAsia="Calibri"/>
        </w:rPr>
        <w:t xml:space="preserve"> redução </w:t>
      </w:r>
      <w:r w:rsidR="00FC3AC8">
        <w:rPr>
          <w:rFonts w:eastAsia="Calibri"/>
        </w:rPr>
        <w:t xml:space="preserve">do </w:t>
      </w:r>
      <w:r w:rsidRPr="00FE4C0B">
        <w:rPr>
          <w:rFonts w:eastAsia="Calibri"/>
        </w:rPr>
        <w:t xml:space="preserve">consumo privado. Quando a política monetária é mais ativa e a fiscal passiva, no longo prazo, o aumento de 1 real no valor presente do gasto do governo aumenta o produto em </w:t>
      </w:r>
      <w:r>
        <w:rPr>
          <w:rFonts w:eastAsia="Calibri"/>
        </w:rPr>
        <w:t>0,458</w:t>
      </w:r>
      <w:r w:rsidRPr="00FE4C0B">
        <w:rPr>
          <w:rFonts w:eastAsia="Calibri"/>
        </w:rPr>
        <w:t xml:space="preserve"> centavos. Portanto, o impacto no consumo é de -</w:t>
      </w:r>
      <w:r>
        <w:rPr>
          <w:rFonts w:eastAsia="Calibri"/>
        </w:rPr>
        <w:t>0,542</w:t>
      </w:r>
      <w:r w:rsidRPr="00FE4C0B">
        <w:rPr>
          <w:rFonts w:eastAsia="Calibri"/>
        </w:rPr>
        <w:t xml:space="preserve"> centavos. Já quando a política monetária é menos ativa e a fiscal é passiva, no longo prazo, o impacto sobre o produto e sobre o consumo é de </w:t>
      </w:r>
      <w:r>
        <w:rPr>
          <w:rFonts w:eastAsia="Calibri"/>
        </w:rPr>
        <w:t>0,306</w:t>
      </w:r>
      <w:r w:rsidRPr="00FE4C0B">
        <w:rPr>
          <w:rFonts w:eastAsia="Calibri"/>
        </w:rPr>
        <w:t xml:space="preserve"> e </w:t>
      </w:r>
      <w:r>
        <w:rPr>
          <w:rFonts w:eastAsia="Calibri"/>
        </w:rPr>
        <w:t>-0,694</w:t>
      </w:r>
      <w:r w:rsidRPr="00FE4C0B">
        <w:rPr>
          <w:rFonts w:eastAsia="Calibri"/>
        </w:rPr>
        <w:t>, respectivamente.</w:t>
      </w:r>
      <w:r>
        <w:rPr>
          <w:rFonts w:eastAsia="Calibri"/>
        </w:rPr>
        <w:t xml:space="preserve"> Novamente deveria se esperar um impacto negativo no consumo privado maior no caso em que a política monetária fosse mais ativa e a fiscal passiva. Entretanto, as taxas de juros reais são maiores no caso em que a política monetária é menos ativa e a fiscal passiva. Por isso a redução no consumo privado neste último estado é maior.</w:t>
      </w:r>
    </w:p>
    <w:p w:rsidR="00D2223F" w:rsidRDefault="00D2223F" w:rsidP="00E02BDD"/>
    <w:p w:rsidR="00D2223F" w:rsidRDefault="00D2223F" w:rsidP="00E02BDD"/>
    <w:tbl>
      <w:tblPr>
        <w:tblW w:w="0" w:type="auto"/>
        <w:jc w:val="center"/>
        <w:tblBorders>
          <w:insideH w:val="single" w:sz="4" w:space="0" w:color="auto"/>
        </w:tblBorders>
        <w:tblLook w:val="04A0"/>
      </w:tblPr>
      <w:tblGrid>
        <w:gridCol w:w="1526"/>
        <w:gridCol w:w="1876"/>
        <w:gridCol w:w="1701"/>
        <w:gridCol w:w="1701"/>
        <w:gridCol w:w="1701"/>
      </w:tblGrid>
      <w:tr w:rsidR="00D2223F" w:rsidRPr="00D2223F" w:rsidTr="004E4238">
        <w:trPr>
          <w:trHeight w:val="397"/>
          <w:jc w:val="center"/>
        </w:trPr>
        <w:tc>
          <w:tcPr>
            <w:tcW w:w="8505" w:type="dxa"/>
            <w:gridSpan w:val="5"/>
            <w:tcBorders>
              <w:top w:val="nil"/>
              <w:bottom w:val="double" w:sz="4" w:space="0" w:color="auto"/>
            </w:tcBorders>
            <w:vAlign w:val="center"/>
          </w:tcPr>
          <w:p w:rsidR="00D2223F" w:rsidRPr="00D2223F" w:rsidRDefault="00D2223F" w:rsidP="006461A6">
            <w:pPr>
              <w:rPr>
                <w:rFonts w:eastAsia="Calibri"/>
              </w:rPr>
            </w:pPr>
            <w:r w:rsidRPr="00D2223F">
              <w:rPr>
                <w:sz w:val="22"/>
                <w:szCs w:val="22"/>
              </w:rPr>
              <w:t>Tabela 4: Valor Presente dos Multiplicadores de Gastos do Governo Condicionado ao Tipo de Combinação de Regime de Política Monetária e Fiscal</w:t>
            </w:r>
          </w:p>
        </w:tc>
      </w:tr>
      <w:tr w:rsidR="00D2223F" w:rsidRPr="00D2223F" w:rsidTr="004E4238">
        <w:trPr>
          <w:trHeight w:val="397"/>
          <w:jc w:val="center"/>
        </w:trPr>
        <w:tc>
          <w:tcPr>
            <w:tcW w:w="1526" w:type="dxa"/>
            <w:tcBorders>
              <w:top w:val="single" w:sz="4" w:space="0" w:color="auto"/>
              <w:bottom w:val="double" w:sz="4" w:space="0" w:color="auto"/>
              <w:right w:val="nil"/>
            </w:tcBorders>
            <w:vAlign w:val="center"/>
          </w:tcPr>
          <w:p w:rsidR="00D2223F" w:rsidRPr="00D2223F" w:rsidRDefault="00D2223F" w:rsidP="004E4238">
            <w:pPr>
              <w:jc w:val="center"/>
            </w:pPr>
            <w:r w:rsidRPr="00D2223F">
              <w:rPr>
                <w:sz w:val="22"/>
                <w:szCs w:val="22"/>
              </w:rPr>
              <w:t>Regime</w:t>
            </w:r>
          </w:p>
        </w:tc>
        <w:tc>
          <w:tcPr>
            <w:tcW w:w="1876"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5 trimestres</w:t>
            </w:r>
          </w:p>
        </w:tc>
        <w:tc>
          <w:tcPr>
            <w:tcW w:w="1701"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10 trimestres</w:t>
            </w:r>
          </w:p>
        </w:tc>
        <w:tc>
          <w:tcPr>
            <w:tcW w:w="1701"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25 trimestres</w:t>
            </w:r>
          </w:p>
        </w:tc>
        <w:tc>
          <w:tcPr>
            <w:tcW w:w="1701" w:type="dxa"/>
            <w:tcBorders>
              <w:top w:val="single" w:sz="4" w:space="0" w:color="auto"/>
              <w:left w:val="nil"/>
              <w:bottom w:val="double" w:sz="4" w:space="0" w:color="auto"/>
            </w:tcBorders>
            <w:vAlign w:val="center"/>
          </w:tcPr>
          <w:p w:rsidR="00D2223F" w:rsidRPr="00D2223F" w:rsidRDefault="00D2223F" w:rsidP="004E4238">
            <w:pPr>
              <w:jc w:val="center"/>
            </w:pPr>
            <m:oMathPara>
              <m:oMath>
                <m:r>
                  <w:rPr>
                    <w:rFonts w:ascii="Cambria Math" w:hAnsi="Cambria Math"/>
                    <w:sz w:val="22"/>
                    <w:szCs w:val="22"/>
                  </w:rPr>
                  <m:t>∞</m:t>
                </m:r>
              </m:oMath>
            </m:oMathPara>
          </w:p>
        </w:tc>
      </w:tr>
      <w:tr w:rsidR="00D2223F" w:rsidRPr="00D2223F" w:rsidTr="004E4238">
        <w:trPr>
          <w:trHeight w:val="397"/>
          <w:jc w:val="center"/>
        </w:trPr>
        <w:tc>
          <w:tcPr>
            <w:tcW w:w="1526" w:type="dxa"/>
            <w:tcBorders>
              <w:top w:val="double" w:sz="4" w:space="0" w:color="auto"/>
              <w:bottom w:val="single" w:sz="2" w:space="0" w:color="auto"/>
            </w:tcBorders>
            <w:vAlign w:val="center"/>
          </w:tcPr>
          <w:p w:rsidR="00D2223F" w:rsidRPr="00D2223F" w:rsidRDefault="00E16B7D" w:rsidP="004E4238">
            <w:pPr>
              <w:jc w:val="center"/>
            </w:pPr>
            <m:oMathPara>
              <m:oMathParaPr>
                <m:jc m:val="left"/>
              </m:oMathParaPr>
              <m:oMath>
                <m:f>
                  <m:fPr>
                    <m:type m:val="lin"/>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sz w:val="22"/>
                            <w:szCs w:val="22"/>
                          </w:rPr>
                          <m:t>AM</m:t>
                        </m:r>
                      </m:e>
                      <m:sup>
                        <m:r>
                          <m:rPr>
                            <m:sty m:val="p"/>
                          </m:rPr>
                          <w:rPr>
                            <w:rFonts w:ascii="Cambria Math"/>
                            <w:sz w:val="22"/>
                            <w:szCs w:val="22"/>
                          </w:rPr>
                          <m:t>+</m:t>
                        </m:r>
                      </m:sup>
                    </m:sSup>
                  </m:num>
                  <m:den>
                    <m:r>
                      <m:rPr>
                        <m:sty m:val="p"/>
                      </m:rPr>
                      <w:rPr>
                        <w:rFonts w:ascii="Cambria Math"/>
                        <w:sz w:val="22"/>
                        <w:szCs w:val="22"/>
                      </w:rPr>
                      <m:t>PF</m:t>
                    </m:r>
                  </m:den>
                </m:f>
              </m:oMath>
            </m:oMathPara>
          </w:p>
        </w:tc>
        <w:tc>
          <w:tcPr>
            <w:tcW w:w="1876"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0,440</w:t>
            </w:r>
          </w:p>
        </w:tc>
        <w:tc>
          <w:tcPr>
            <w:tcW w:w="1701"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0,448</w:t>
            </w:r>
          </w:p>
        </w:tc>
        <w:tc>
          <w:tcPr>
            <w:tcW w:w="1701"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0,456</w:t>
            </w:r>
          </w:p>
        </w:tc>
        <w:tc>
          <w:tcPr>
            <w:tcW w:w="1701"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0,458</w:t>
            </w:r>
          </w:p>
        </w:tc>
      </w:tr>
      <w:tr w:rsidR="00D2223F" w:rsidRPr="00D2223F" w:rsidTr="004E4238">
        <w:trPr>
          <w:trHeight w:val="397"/>
          <w:jc w:val="center"/>
        </w:trPr>
        <w:tc>
          <w:tcPr>
            <w:tcW w:w="1526" w:type="dxa"/>
            <w:tcBorders>
              <w:top w:val="single" w:sz="2" w:space="0" w:color="auto"/>
              <w:bottom w:val="single" w:sz="2" w:space="0" w:color="auto"/>
            </w:tcBorders>
            <w:vAlign w:val="center"/>
          </w:tcPr>
          <w:p w:rsidR="00D2223F" w:rsidRPr="00D2223F" w:rsidRDefault="00E16B7D" w:rsidP="004E4238">
            <w:pPr>
              <w:jc w:val="center"/>
            </w:pPr>
            <m:oMathPara>
              <m:oMathParaPr>
                <m:jc m:val="left"/>
              </m:oMathParaPr>
              <m:oMath>
                <m:f>
                  <m:fPr>
                    <m:type m:val="lin"/>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sz w:val="22"/>
                            <w:szCs w:val="22"/>
                          </w:rPr>
                          <m:t>AM</m:t>
                        </m:r>
                      </m:e>
                      <m:sup>
                        <m:r>
                          <m:rPr>
                            <m:sty m:val="p"/>
                          </m:rPr>
                          <w:rPr>
                            <w:rFonts w:ascii="Cambria Math" w:hAnsi="Cambria Math"/>
                            <w:sz w:val="22"/>
                            <w:szCs w:val="22"/>
                          </w:rPr>
                          <m:t>-</m:t>
                        </m:r>
                      </m:sup>
                    </m:sSup>
                  </m:num>
                  <m:den>
                    <m:r>
                      <m:rPr>
                        <m:sty m:val="p"/>
                      </m:rPr>
                      <w:rPr>
                        <w:rFonts w:ascii="Cambria Math"/>
                        <w:sz w:val="22"/>
                        <w:szCs w:val="22"/>
                      </w:rPr>
                      <m:t>PF</m:t>
                    </m:r>
                  </m:den>
                </m:f>
              </m:oMath>
            </m:oMathPara>
          </w:p>
        </w:tc>
        <w:tc>
          <w:tcPr>
            <w:tcW w:w="1876"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0,294</w:t>
            </w:r>
          </w:p>
        </w:tc>
        <w:tc>
          <w:tcPr>
            <w:tcW w:w="1701"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0,300</w:t>
            </w:r>
          </w:p>
        </w:tc>
        <w:tc>
          <w:tcPr>
            <w:tcW w:w="1701"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0,305</w:t>
            </w:r>
          </w:p>
        </w:tc>
        <w:tc>
          <w:tcPr>
            <w:tcW w:w="1701"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0,306</w:t>
            </w:r>
          </w:p>
        </w:tc>
      </w:tr>
      <w:tr w:rsidR="00D2223F" w:rsidRPr="00D2223F" w:rsidTr="004E4238">
        <w:trPr>
          <w:trHeight w:val="397"/>
          <w:jc w:val="center"/>
        </w:trPr>
        <w:tc>
          <w:tcPr>
            <w:tcW w:w="8505" w:type="dxa"/>
            <w:gridSpan w:val="5"/>
            <w:tcBorders>
              <w:top w:val="single" w:sz="2" w:space="0" w:color="auto"/>
              <w:bottom w:val="nil"/>
            </w:tcBorders>
            <w:vAlign w:val="center"/>
          </w:tcPr>
          <w:p w:rsidR="00D2223F" w:rsidRPr="00D2223F" w:rsidRDefault="00D2223F" w:rsidP="004E4238">
            <w:pPr>
              <w:rPr>
                <w:sz w:val="18"/>
                <w:szCs w:val="18"/>
              </w:rPr>
            </w:pPr>
            <w:r w:rsidRPr="00D2223F">
              <w:rPr>
                <w:rFonts w:eastAsia="Calibri"/>
                <w:sz w:val="18"/>
                <w:szCs w:val="18"/>
              </w:rPr>
              <w:t xml:space="preserve">Fonte: </w:t>
            </w:r>
            <w:r w:rsidR="006461A6">
              <w:rPr>
                <w:sz w:val="18"/>
                <w:szCs w:val="18"/>
              </w:rPr>
              <w:t>elaboração própria</w:t>
            </w:r>
            <w:r w:rsidR="006461A6" w:rsidRPr="000C4641">
              <w:rPr>
                <w:sz w:val="18"/>
                <w:szCs w:val="18"/>
              </w:rPr>
              <w:t>, 2012.</w:t>
            </w:r>
          </w:p>
        </w:tc>
      </w:tr>
    </w:tbl>
    <w:p w:rsidR="00D2223F" w:rsidRDefault="00D2223F" w:rsidP="00E02BDD"/>
    <w:p w:rsidR="00D2223F" w:rsidRPr="00FE4C0B" w:rsidRDefault="00D2223F" w:rsidP="00D2223F">
      <w:pPr>
        <w:ind w:firstLine="706"/>
        <w:jc w:val="both"/>
        <w:rPr>
          <w:rFonts w:eastAsia="Calibri"/>
        </w:rPr>
      </w:pPr>
      <w:r w:rsidRPr="00FE4C0B">
        <w:rPr>
          <w:rFonts w:eastAsia="Calibri"/>
        </w:rPr>
        <w:t xml:space="preserve">A </w:t>
      </w:r>
      <w:r>
        <w:rPr>
          <w:rFonts w:eastAsia="Calibri"/>
        </w:rPr>
        <w:t>Tabela</w:t>
      </w:r>
      <w:r w:rsidR="006461A6">
        <w:rPr>
          <w:rFonts w:eastAsia="Calibri"/>
        </w:rPr>
        <w:t xml:space="preserve"> </w:t>
      </w:r>
      <w:r>
        <w:rPr>
          <w:rFonts w:eastAsia="Calibri"/>
        </w:rPr>
        <w:t>5</w:t>
      </w:r>
      <w:r w:rsidRPr="00FE4C0B">
        <w:rPr>
          <w:rFonts w:eastAsia="Calibri"/>
        </w:rPr>
        <w:t xml:space="preserve"> mostra o impacto deste choque positivo de </w:t>
      </w:r>
      <w:r>
        <w:rPr>
          <w:rFonts w:eastAsia="Calibri"/>
        </w:rPr>
        <w:t>3</w:t>
      </w:r>
      <w:r w:rsidRPr="00FE4C0B">
        <w:rPr>
          <w:rFonts w:eastAsia="Calibri"/>
        </w:rPr>
        <w:t xml:space="preserve">% dos gastos do governo sobre o nível de </w:t>
      </w:r>
      <w:r w:rsidRPr="00855C3A">
        <w:rPr>
          <w:rFonts w:eastAsia="Calibri"/>
        </w:rPr>
        <w:t>preços. Como pode ser visto o efeito deste choque sobre o nível de preços é maior quando a política monetária é menos ativa do que quando ela é mais ativa. Quanto maior o multiplicador dos gastos do governo sobre o produto maior será seu impacto sobre o nível de preços. Como vimos o efeito sobre o produto é maior quando a política monetária é mais ativa. A redução da inflação é menor neste caso. Mesmo</w:t>
      </w:r>
      <w:r w:rsidRPr="00FE4C0B">
        <w:rPr>
          <w:rFonts w:eastAsia="Calibri"/>
        </w:rPr>
        <w:t xml:space="preserve"> não tendo, empiricamente, um regime de política monetária passivo é nítido que, provavelmente, o impacto dos gastos do governo sobre o nível de preços seria maior do que nos casos exibidos pela </w:t>
      </w:r>
      <w:r>
        <w:rPr>
          <w:rFonts w:eastAsia="Calibri"/>
        </w:rPr>
        <w:t>F</w:t>
      </w:r>
      <w:r w:rsidRPr="00FE4C0B">
        <w:rPr>
          <w:rFonts w:eastAsia="Calibri"/>
        </w:rPr>
        <w:t>igura</w:t>
      </w:r>
      <w:r>
        <w:rPr>
          <w:rFonts w:eastAsia="Calibri"/>
        </w:rPr>
        <w:t xml:space="preserve"> 1</w:t>
      </w:r>
      <w:r w:rsidRPr="00FE4C0B">
        <w:rPr>
          <w:rFonts w:eastAsia="Calibri"/>
        </w:rPr>
        <w:t>.</w:t>
      </w:r>
      <w:r w:rsidR="006461A6">
        <w:rPr>
          <w:rFonts w:eastAsia="Calibri"/>
        </w:rPr>
        <w:t xml:space="preserve"> </w:t>
      </w:r>
      <w:r>
        <w:rPr>
          <w:rFonts w:eastAsia="Calibri"/>
        </w:rPr>
        <w:t>É evidente que este resultado dependeria da magnitude da resposta da taxa de juros em relação ao coeficiente do hiato do produto.</w:t>
      </w:r>
    </w:p>
    <w:p w:rsidR="00D2223F" w:rsidRDefault="00D2223F" w:rsidP="00E02BDD"/>
    <w:p w:rsidR="00D2223F" w:rsidRDefault="00D2223F" w:rsidP="00E02BDD"/>
    <w:tbl>
      <w:tblPr>
        <w:tblW w:w="0" w:type="auto"/>
        <w:jc w:val="center"/>
        <w:tblBorders>
          <w:insideH w:val="single" w:sz="4" w:space="0" w:color="auto"/>
        </w:tblBorders>
        <w:tblLook w:val="04A0"/>
      </w:tblPr>
      <w:tblGrid>
        <w:gridCol w:w="1839"/>
        <w:gridCol w:w="2262"/>
        <w:gridCol w:w="2051"/>
        <w:gridCol w:w="2052"/>
      </w:tblGrid>
      <w:tr w:rsidR="00D2223F" w:rsidRPr="00D2223F" w:rsidTr="00D2223F">
        <w:trPr>
          <w:trHeight w:val="387"/>
          <w:jc w:val="center"/>
        </w:trPr>
        <w:tc>
          <w:tcPr>
            <w:tcW w:w="8203" w:type="dxa"/>
            <w:gridSpan w:val="4"/>
            <w:tcBorders>
              <w:top w:val="nil"/>
              <w:bottom w:val="double" w:sz="4" w:space="0" w:color="auto"/>
              <w:right w:val="nil"/>
            </w:tcBorders>
            <w:vAlign w:val="center"/>
          </w:tcPr>
          <w:p w:rsidR="00D2223F" w:rsidRPr="00D2223F" w:rsidRDefault="00D2223F" w:rsidP="006461A6">
            <w:pPr>
              <w:jc w:val="center"/>
            </w:pPr>
            <w:r w:rsidRPr="00D2223F">
              <w:rPr>
                <w:sz w:val="22"/>
                <w:szCs w:val="22"/>
              </w:rPr>
              <w:t>Tabela 5: Efeito do Impacto de um Choque de 3% de Gastos do Governo sobre o Nível de Preços Condicionado ao Tipo de Combinação de Regime de Política Monetária e Fiscal</w:t>
            </w:r>
          </w:p>
        </w:tc>
      </w:tr>
      <w:tr w:rsidR="00D2223F" w:rsidRPr="00D2223F" w:rsidTr="00D2223F">
        <w:trPr>
          <w:trHeight w:val="387"/>
          <w:jc w:val="center"/>
        </w:trPr>
        <w:tc>
          <w:tcPr>
            <w:tcW w:w="1839" w:type="dxa"/>
            <w:tcBorders>
              <w:top w:val="single" w:sz="4" w:space="0" w:color="auto"/>
              <w:bottom w:val="double" w:sz="4" w:space="0" w:color="auto"/>
              <w:right w:val="nil"/>
            </w:tcBorders>
            <w:vAlign w:val="center"/>
          </w:tcPr>
          <w:p w:rsidR="00D2223F" w:rsidRPr="00D2223F" w:rsidRDefault="00D2223F" w:rsidP="004E4238">
            <w:pPr>
              <w:jc w:val="center"/>
            </w:pPr>
            <w:r w:rsidRPr="00D2223F">
              <w:rPr>
                <w:sz w:val="22"/>
                <w:szCs w:val="22"/>
              </w:rPr>
              <w:t>Regime</w:t>
            </w:r>
          </w:p>
        </w:tc>
        <w:tc>
          <w:tcPr>
            <w:tcW w:w="2262"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5 trimestres</w:t>
            </w:r>
          </w:p>
        </w:tc>
        <w:tc>
          <w:tcPr>
            <w:tcW w:w="2051"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10 trimestres</w:t>
            </w:r>
          </w:p>
        </w:tc>
        <w:tc>
          <w:tcPr>
            <w:tcW w:w="2052" w:type="dxa"/>
            <w:tcBorders>
              <w:top w:val="single" w:sz="4" w:space="0" w:color="auto"/>
              <w:left w:val="nil"/>
              <w:bottom w:val="double" w:sz="4" w:space="0" w:color="auto"/>
              <w:right w:val="nil"/>
            </w:tcBorders>
            <w:vAlign w:val="center"/>
          </w:tcPr>
          <w:p w:rsidR="00D2223F" w:rsidRPr="00D2223F" w:rsidRDefault="00D2223F" w:rsidP="004E4238">
            <w:pPr>
              <w:jc w:val="center"/>
            </w:pPr>
            <w:r w:rsidRPr="00D2223F">
              <w:rPr>
                <w:sz w:val="22"/>
                <w:szCs w:val="22"/>
              </w:rPr>
              <w:t>25 trimestres</w:t>
            </w:r>
          </w:p>
        </w:tc>
      </w:tr>
      <w:tr w:rsidR="00D2223F" w:rsidRPr="00D2223F" w:rsidTr="00D2223F">
        <w:trPr>
          <w:trHeight w:val="387"/>
          <w:jc w:val="center"/>
        </w:trPr>
        <w:tc>
          <w:tcPr>
            <w:tcW w:w="1839" w:type="dxa"/>
            <w:tcBorders>
              <w:top w:val="double" w:sz="4" w:space="0" w:color="auto"/>
              <w:bottom w:val="single" w:sz="2" w:space="0" w:color="auto"/>
            </w:tcBorders>
            <w:vAlign w:val="center"/>
          </w:tcPr>
          <w:p w:rsidR="00D2223F" w:rsidRPr="00D2223F" w:rsidRDefault="00E16B7D" w:rsidP="004E4238">
            <w:pPr>
              <w:jc w:val="center"/>
            </w:pPr>
            <m:oMathPara>
              <m:oMathParaPr>
                <m:jc m:val="left"/>
              </m:oMathParaPr>
              <m:oMath>
                <m:f>
                  <m:fPr>
                    <m:type m:val="lin"/>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sz w:val="22"/>
                            <w:szCs w:val="22"/>
                          </w:rPr>
                          <m:t>AM</m:t>
                        </m:r>
                      </m:e>
                      <m:sup>
                        <m:r>
                          <m:rPr>
                            <m:sty m:val="p"/>
                          </m:rPr>
                          <w:rPr>
                            <w:rFonts w:ascii="Cambria Math"/>
                            <w:sz w:val="22"/>
                            <w:szCs w:val="22"/>
                          </w:rPr>
                          <m:t>+</m:t>
                        </m:r>
                      </m:sup>
                    </m:sSup>
                  </m:num>
                  <m:den>
                    <m:r>
                      <m:rPr>
                        <m:sty m:val="p"/>
                      </m:rPr>
                      <w:rPr>
                        <w:rFonts w:ascii="Cambria Math"/>
                        <w:sz w:val="22"/>
                        <w:szCs w:val="22"/>
                      </w:rPr>
                      <m:t>PF</m:t>
                    </m:r>
                  </m:den>
                </m:f>
              </m:oMath>
            </m:oMathPara>
          </w:p>
        </w:tc>
        <w:tc>
          <w:tcPr>
            <w:tcW w:w="2262"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-0,5341</w:t>
            </w:r>
          </w:p>
        </w:tc>
        <w:tc>
          <w:tcPr>
            <w:tcW w:w="2051"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-0,8701</w:t>
            </w:r>
          </w:p>
        </w:tc>
        <w:tc>
          <w:tcPr>
            <w:tcW w:w="2052" w:type="dxa"/>
            <w:tcBorders>
              <w:top w:val="double" w:sz="4" w:space="0" w:color="auto"/>
              <w:bottom w:val="single" w:sz="2" w:space="0" w:color="auto"/>
            </w:tcBorders>
            <w:vAlign w:val="center"/>
          </w:tcPr>
          <w:p w:rsidR="00D2223F" w:rsidRPr="00D2223F" w:rsidRDefault="00D2223F" w:rsidP="004E4238">
            <w:pPr>
              <w:jc w:val="center"/>
            </w:pPr>
            <w:r w:rsidRPr="00D2223F">
              <w:rPr>
                <w:sz w:val="22"/>
                <w:szCs w:val="22"/>
              </w:rPr>
              <w:t>-1,2661</w:t>
            </w:r>
          </w:p>
        </w:tc>
      </w:tr>
      <w:tr w:rsidR="00D2223F" w:rsidRPr="00D2223F" w:rsidTr="00D2223F">
        <w:trPr>
          <w:trHeight w:val="387"/>
          <w:jc w:val="center"/>
        </w:trPr>
        <w:tc>
          <w:tcPr>
            <w:tcW w:w="1839" w:type="dxa"/>
            <w:tcBorders>
              <w:top w:val="single" w:sz="2" w:space="0" w:color="auto"/>
              <w:bottom w:val="single" w:sz="2" w:space="0" w:color="auto"/>
            </w:tcBorders>
            <w:vAlign w:val="center"/>
          </w:tcPr>
          <w:p w:rsidR="00D2223F" w:rsidRPr="00D2223F" w:rsidRDefault="00E16B7D" w:rsidP="004E4238">
            <w:pPr>
              <w:jc w:val="center"/>
            </w:pPr>
            <m:oMathPara>
              <m:oMathParaPr>
                <m:jc m:val="left"/>
              </m:oMathParaPr>
              <m:oMath>
                <m:f>
                  <m:fPr>
                    <m:type m:val="lin"/>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sz w:val="22"/>
                            <w:szCs w:val="22"/>
                          </w:rPr>
                          <m:t>AM</m:t>
                        </m:r>
                      </m:e>
                      <m:sup>
                        <m:r>
                          <m:rPr>
                            <m:sty m:val="p"/>
                          </m:rPr>
                          <w:rPr>
                            <w:rFonts w:ascii="Cambria Math" w:hAnsi="Cambria Math"/>
                            <w:sz w:val="22"/>
                            <w:szCs w:val="22"/>
                          </w:rPr>
                          <m:t>-</m:t>
                        </m:r>
                      </m:sup>
                    </m:sSup>
                  </m:num>
                  <m:den>
                    <m:r>
                      <m:rPr>
                        <m:sty m:val="p"/>
                      </m:rPr>
                      <w:rPr>
                        <w:rFonts w:ascii="Cambria Math"/>
                        <w:sz w:val="22"/>
                        <w:szCs w:val="22"/>
                      </w:rPr>
                      <m:t>PF</m:t>
                    </m:r>
                  </m:den>
                </m:f>
              </m:oMath>
            </m:oMathPara>
          </w:p>
        </w:tc>
        <w:tc>
          <w:tcPr>
            <w:tcW w:w="2262"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-0,6558</w:t>
            </w:r>
          </w:p>
        </w:tc>
        <w:tc>
          <w:tcPr>
            <w:tcW w:w="2051"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-1,0771</w:t>
            </w:r>
          </w:p>
        </w:tc>
        <w:tc>
          <w:tcPr>
            <w:tcW w:w="2052" w:type="dxa"/>
            <w:tcBorders>
              <w:top w:val="single" w:sz="2" w:space="0" w:color="auto"/>
              <w:bottom w:val="single" w:sz="2" w:space="0" w:color="auto"/>
            </w:tcBorders>
            <w:vAlign w:val="center"/>
          </w:tcPr>
          <w:p w:rsidR="00D2223F" w:rsidRPr="00D2223F" w:rsidRDefault="00D2223F" w:rsidP="004E4238">
            <w:pPr>
              <w:jc w:val="center"/>
            </w:pPr>
            <w:r w:rsidRPr="00D2223F">
              <w:rPr>
                <w:sz w:val="22"/>
                <w:szCs w:val="22"/>
              </w:rPr>
              <w:t>-1,5749</w:t>
            </w:r>
          </w:p>
        </w:tc>
      </w:tr>
      <w:tr w:rsidR="00D2223F" w:rsidRPr="00D2223F" w:rsidTr="00D2223F">
        <w:trPr>
          <w:trHeight w:val="387"/>
          <w:jc w:val="center"/>
        </w:trPr>
        <w:tc>
          <w:tcPr>
            <w:tcW w:w="8203" w:type="dxa"/>
            <w:gridSpan w:val="4"/>
            <w:tcBorders>
              <w:top w:val="single" w:sz="2" w:space="0" w:color="auto"/>
              <w:bottom w:val="nil"/>
            </w:tcBorders>
            <w:vAlign w:val="center"/>
          </w:tcPr>
          <w:p w:rsidR="00D2223F" w:rsidRPr="00D2223F" w:rsidRDefault="00D2223F" w:rsidP="004E4238">
            <w:pPr>
              <w:rPr>
                <w:sz w:val="18"/>
                <w:szCs w:val="18"/>
              </w:rPr>
            </w:pPr>
            <w:r w:rsidRPr="00D2223F">
              <w:rPr>
                <w:sz w:val="18"/>
                <w:szCs w:val="18"/>
              </w:rPr>
              <w:t xml:space="preserve">Fonte: </w:t>
            </w:r>
            <w:r w:rsidR="006461A6">
              <w:rPr>
                <w:sz w:val="18"/>
                <w:szCs w:val="18"/>
              </w:rPr>
              <w:t>elaboração própria</w:t>
            </w:r>
            <w:r w:rsidR="006461A6" w:rsidRPr="000C4641">
              <w:rPr>
                <w:sz w:val="18"/>
                <w:szCs w:val="18"/>
              </w:rPr>
              <w:t>, 2012.</w:t>
            </w:r>
          </w:p>
        </w:tc>
      </w:tr>
    </w:tbl>
    <w:p w:rsidR="00D2223F" w:rsidRDefault="00D2223F" w:rsidP="00E02BDD"/>
    <w:p w:rsidR="00EB57C9" w:rsidRPr="00360272" w:rsidRDefault="00EB57C9" w:rsidP="00EB57C9">
      <w:pPr>
        <w:pStyle w:val="PargrafodaLista"/>
        <w:numPr>
          <w:ilvl w:val="0"/>
          <w:numId w:val="12"/>
        </w:numPr>
        <w:spacing w:after="0" w:line="360" w:lineRule="auto"/>
        <w:rPr>
          <w:rFonts w:ascii="Times New Roman" w:hAnsi="Times New Roman"/>
          <w:b/>
          <w:sz w:val="24"/>
          <w:szCs w:val="24"/>
        </w:rPr>
      </w:pPr>
      <w:r w:rsidRPr="00360272">
        <w:rPr>
          <w:rFonts w:ascii="Times New Roman" w:hAnsi="Times New Roman"/>
          <w:b/>
          <w:sz w:val="24"/>
          <w:szCs w:val="24"/>
        </w:rPr>
        <w:t>Conclusão</w:t>
      </w:r>
    </w:p>
    <w:p w:rsidR="00EB57C9" w:rsidRDefault="00EB57C9" w:rsidP="00E02BDD"/>
    <w:p w:rsidR="00D20105" w:rsidRDefault="00D20105" w:rsidP="00D20105">
      <w:pPr>
        <w:ind w:firstLine="706"/>
        <w:jc w:val="both"/>
      </w:pPr>
      <w:r w:rsidRPr="008E0413">
        <w:t xml:space="preserve">Este trabalho </w:t>
      </w:r>
      <w:r>
        <w:t>estimou</w:t>
      </w:r>
      <w:r w:rsidRPr="008E0413">
        <w:t xml:space="preserve"> o</w:t>
      </w:r>
      <w:r>
        <w:t xml:space="preserve"> impacto dinâmico de um estímulo fiscal sobre o consumo privado, hiato do produto, taxas de juros nominal e real, levando em consideração a alternância dos regimes da política monetária e um regime fixo para a política fiscal. Para tanto foi estimado uma função de reação da política monetária utilizando um modelo com mudança Markoviana de regime (</w:t>
      </w:r>
      <w:r w:rsidRPr="00172185">
        <w:rPr>
          <w:i/>
        </w:rPr>
        <w:t>Markov-Switching</w:t>
      </w:r>
      <w:r>
        <w:t xml:space="preserve">).  De acordo com os nossos resultados a política monetária foi ativa durante todo o período analisado. A diferença entre os estados estimados para a política monetária é que ela teria sido mais ativa em determinados períodos e menos ativa em outros. </w:t>
      </w:r>
    </w:p>
    <w:p w:rsidR="00D20105" w:rsidRDefault="00D20105" w:rsidP="00D20105">
      <w:pPr>
        <w:ind w:firstLine="706"/>
        <w:jc w:val="both"/>
      </w:pPr>
      <w:r>
        <w:t xml:space="preserve">Quanto à função de reação fiscal, não foi possível estimá-la pelo mesmo método, pois não encontramos evidências de mudança de regime. Entretanto, utilizou-se uma metodologia diferente, porém comumente empregada na literatura para este tipo de estimação. A função de reação da política fiscal foi estimada através de um modelo vetorial de correção de erros (VEC). Os resultados indicam que a política fiscal foi passiva durante todo o período analisado. </w:t>
      </w:r>
    </w:p>
    <w:p w:rsidR="00D20105" w:rsidRDefault="00D20105" w:rsidP="00D20105">
      <w:pPr>
        <w:ind w:firstLine="706"/>
        <w:jc w:val="both"/>
      </w:pPr>
      <w:r>
        <w:t xml:space="preserve"> Os parâmetros estimados para as regras das políticas fiscal e monetária foram utilizados, em conjunto com uma série de outras informações adicionas</w:t>
      </w:r>
      <w:r w:rsidR="00FC3AC8">
        <w:t>,</w:t>
      </w:r>
      <w:r>
        <w:t xml:space="preserve"> para calibra</w:t>
      </w:r>
      <w:r w:rsidR="00FC3AC8">
        <w:t>r</w:t>
      </w:r>
      <w:r w:rsidR="006461A6">
        <w:t xml:space="preserve"> </w:t>
      </w:r>
      <w:r>
        <w:t>um modelo de equilíbrio geral estocástico dinâmico (DSGE) com rigidez nominal de preços, com empresas atuando em mercado de concorrência monopolística e formação de preços modelada como em Calvo (1983).</w:t>
      </w:r>
    </w:p>
    <w:p w:rsidR="00D20105" w:rsidRDefault="00D20105" w:rsidP="00D20105">
      <w:pPr>
        <w:ind w:firstLine="706"/>
        <w:jc w:val="both"/>
      </w:pPr>
      <w:r>
        <w:t xml:space="preserve">Verificou-se que um aumento de gastos do governo leva a uma redução do consumo privado </w:t>
      </w:r>
      <w:r w:rsidR="00FC3AC8">
        <w:t xml:space="preserve">e </w:t>
      </w:r>
      <w:bookmarkStart w:id="0" w:name="_GoBack"/>
      <w:bookmarkEnd w:id="0"/>
      <w:r>
        <w:t xml:space="preserve">aumento das taxas de juros reais. Isto acontece tanto para o caso em que a política monetária era mais ativa quanto para o caso em que ela era menos ativa. Além disso, devido ao elevado coeficiente do hiato </w:t>
      </w:r>
      <w:r>
        <w:lastRenderedPageBreak/>
        <w:t>do produto a elevação dos juros reais aumentou de tal forma que provocou, via expectativas, uma queda na taxa de inflação corrente.</w:t>
      </w:r>
    </w:p>
    <w:p w:rsidR="00D20105" w:rsidRDefault="00D20105" w:rsidP="00D20105">
      <w:pPr>
        <w:ind w:firstLine="706"/>
        <w:jc w:val="both"/>
      </w:pPr>
      <w:r>
        <w:t xml:space="preserve"> A diferença encontrada no impacto de um estímulo fiscal encontrado para os dois estados decorre das alterações nos parâmetros da regra da política monetária. Ou seja, no caso em que a política monetária é mais ativa os juros nominais acompanham mais de perto a queda da taxa de inflação. Porém, quando ela é menos ativa, o coeficiente da inflação é menor e o coeficiente do hiato do produto é maior do que seus respectivos valores no estado alternativo. Com isso, quando ela é menos ativa, mesmo com a queda da taxa de inflação há elevação dos juros nominais.</w:t>
      </w:r>
    </w:p>
    <w:p w:rsidR="00D20105" w:rsidRDefault="00D20105" w:rsidP="00D20105">
      <w:pPr>
        <w:ind w:firstLine="706"/>
        <w:jc w:val="both"/>
      </w:pPr>
      <w:r>
        <w:t xml:space="preserve"> Quanto à dinâmica da dívida, o aumento de gastos do governo leva a uma redução do superávit primário. Como a política fiscal no Brasil tem sido sempre passiva, os agentes econômicos esperam um aumento dos impostos quando há aumento da dívida. Há, no entanto, um aumento maior na taxa de juros real quando a política monetária é menos ativa (um choque inesperado nos gastos do governo, no modelo, provoca queda da inflação). Desta forma, de maneira contrária ao senso comum, a dívida pública aumenta menos quando a política monetária é mais ativa. </w:t>
      </w:r>
    </w:p>
    <w:p w:rsidR="00D20105" w:rsidRDefault="00D20105" w:rsidP="00D20105">
      <w:pPr>
        <w:ind w:firstLine="706"/>
        <w:jc w:val="both"/>
      </w:pPr>
      <w:r>
        <w:t xml:space="preserve">Em termos quantitativos estimou-se um multiplicador dos gastos do governo sobre o produto maior quando a política monetária foi mais ativa. Neste estado um choque de 1 real  nos gastos do governo leva a um aumento de 0,46 centavos no valor presente das alterações futuras do hiato do produto.  Já um choque dos gastos da mesma magnitude, quando a política monetária é menos ativa, leva a um aumento no valor presente do hiato do produto de 0,31 centavos. Há nos dois estados (política monetária mais ativa e menos ativa) uma redução do consumo privado de 0,54 e 0,69 centavos, respectivamente. O impacto sobre o nível de preços (redução da inflação) é maior quando a política monetária é menos ativa. </w:t>
      </w:r>
    </w:p>
    <w:p w:rsidR="00D20105" w:rsidRDefault="00D20105" w:rsidP="00D20105">
      <w:pPr>
        <w:ind w:firstLine="706"/>
        <w:jc w:val="both"/>
      </w:pPr>
      <w:r>
        <w:t xml:space="preserve">Por fim conclui-se que, sob as combinações de regimes das políticas monetária e fiscal detectadas empiricamente para o Brasil no período analisado, o elevado coeficiente do hiato do produto na regra de política monetária alterou substancialmente os resultados em relação aos encontrados para os EUA </w:t>
      </w:r>
      <w:r w:rsidRPr="009B1443">
        <w:t>[</w:t>
      </w:r>
      <w:r>
        <w:rPr>
          <w:rFonts w:eastAsia="Calibri"/>
        </w:rPr>
        <w:t>Davig e Leeper (2011)]</w:t>
      </w:r>
      <w:r>
        <w:t xml:space="preserve">. A elevada sensibilidade em relação às alterações no nível de atividade provoca uma forte atuação do Banco Central do Brasil em resposta aos movimentos no hiato do produto. Entretanto, não analisamos neste trabalho se essa elevada sensibilidade é consistente com uma regra de política monetária ótima. </w:t>
      </w:r>
    </w:p>
    <w:p w:rsidR="00EB57C9" w:rsidRDefault="00EB57C9" w:rsidP="00D20105"/>
    <w:p w:rsidR="00D20105" w:rsidRPr="002F7518" w:rsidRDefault="00D20105" w:rsidP="00D20105">
      <w:pPr>
        <w:rPr>
          <w:b/>
          <w:lang w:val="en-US"/>
        </w:rPr>
      </w:pPr>
      <w:r w:rsidRPr="002F7518">
        <w:rPr>
          <w:b/>
          <w:lang w:val="en-US"/>
        </w:rPr>
        <w:t>Referências</w:t>
      </w:r>
    </w:p>
    <w:p w:rsidR="00D20105" w:rsidRPr="002F7518" w:rsidRDefault="00D20105" w:rsidP="00D20105">
      <w:pPr>
        <w:jc w:val="both"/>
        <w:rPr>
          <w:lang w:val="en-US"/>
        </w:rPr>
      </w:pPr>
    </w:p>
    <w:p w:rsidR="007601D3" w:rsidRDefault="007601D3" w:rsidP="007601D3">
      <w:pPr>
        <w:ind w:left="450" w:hanging="450"/>
        <w:jc w:val="both"/>
        <w:rPr>
          <w:lang w:val="en-US"/>
        </w:rPr>
      </w:pPr>
      <w:r w:rsidRPr="00FC450E">
        <w:rPr>
          <w:lang w:val="en-US"/>
        </w:rPr>
        <w:t xml:space="preserve">Aiyagari, R., Christiano, L. e Eichenbaum, M. Output, Employment and Interest Rate Effects of Government Consumption, Journal of Monetary Economics, </w:t>
      </w:r>
      <w:r>
        <w:rPr>
          <w:lang w:val="en-US"/>
        </w:rPr>
        <w:t>n.</w:t>
      </w:r>
      <w:r w:rsidRPr="00FC450E">
        <w:rPr>
          <w:lang w:val="en-US"/>
        </w:rPr>
        <w:t>30, 73-86, 1990.</w:t>
      </w:r>
    </w:p>
    <w:p w:rsidR="007601D3" w:rsidRPr="00FC450E" w:rsidRDefault="007601D3" w:rsidP="007601D3">
      <w:pPr>
        <w:ind w:left="450" w:hanging="450"/>
        <w:jc w:val="both"/>
        <w:rPr>
          <w:lang w:val="en-US"/>
        </w:rPr>
      </w:pPr>
      <w:r w:rsidRPr="00FC450E">
        <w:rPr>
          <w:lang w:val="en-US"/>
        </w:rPr>
        <w:t>Alesina, A., Ardagna, S., Perotti, R., e Schiantarelli, F. Fiscal policy, profits, and investment, mimeo, Boston College, 1999.</w:t>
      </w:r>
    </w:p>
    <w:p w:rsidR="007601D3" w:rsidRPr="00740F78" w:rsidRDefault="007601D3" w:rsidP="007601D3">
      <w:pPr>
        <w:ind w:left="450" w:hanging="450"/>
        <w:jc w:val="both"/>
        <w:rPr>
          <w:lang w:val="en-US"/>
        </w:rPr>
      </w:pPr>
      <w:r w:rsidRPr="00D41ABA">
        <w:t>Barbosa</w:t>
      </w:r>
      <w:r>
        <w:t xml:space="preserve">, F. H. e </w:t>
      </w:r>
      <w:r w:rsidRPr="00D41ABA">
        <w:t>S</w:t>
      </w:r>
      <w:r>
        <w:t>oares</w:t>
      </w:r>
      <w:r w:rsidRPr="00D41ABA">
        <w:t>, J.</w:t>
      </w:r>
      <w:r>
        <w:t xml:space="preserve"> </w:t>
      </w:r>
      <w:r w:rsidRPr="00D41ABA">
        <w:t>J.</w:t>
      </w:r>
      <w:r>
        <w:t xml:space="preserve"> </w:t>
      </w:r>
      <w:r w:rsidRPr="00D41ABA">
        <w:t xml:space="preserve">S. Regra de Taylor no Brasil: 1999-2005. </w:t>
      </w:r>
      <w:r w:rsidRPr="00740F78">
        <w:rPr>
          <w:lang w:val="en-US"/>
        </w:rPr>
        <w:t>In: encontro da ANPEC, 2006.</w:t>
      </w:r>
    </w:p>
    <w:p w:rsidR="007601D3" w:rsidRDefault="007601D3" w:rsidP="007601D3">
      <w:pPr>
        <w:ind w:left="450" w:hanging="450"/>
        <w:jc w:val="both"/>
        <w:rPr>
          <w:lang w:val="en-US"/>
        </w:rPr>
      </w:pPr>
      <w:r w:rsidRPr="00FC450E">
        <w:rPr>
          <w:lang w:val="en-US"/>
        </w:rPr>
        <w:t>Barro, R. J. e King, R. G. Time-separable preferences and intertemporal-substitution models of business cycles, Quarterly Journal of Economics 99 (4), 817-839, 1984.</w:t>
      </w:r>
    </w:p>
    <w:p w:rsidR="002F7518" w:rsidRPr="00937596" w:rsidRDefault="002F7518" w:rsidP="00937596">
      <w:pPr>
        <w:ind w:left="450" w:hanging="450"/>
      </w:pPr>
      <w:r w:rsidRPr="00937596">
        <w:t xml:space="preserve">Barros, J. C. M. </w:t>
      </w:r>
      <w:r w:rsidR="00937596" w:rsidRPr="00937596">
        <w:t>Estímulos fiscais e a interação entre as políticas monetária e fiscal no Brasil</w:t>
      </w:r>
      <w:r w:rsidR="00937596">
        <w:t xml:space="preserve">. Dissertação </w:t>
      </w:r>
      <w:r w:rsidR="00937596" w:rsidRPr="00937596">
        <w:t xml:space="preserve">de mestrado não publicada. </w:t>
      </w:r>
      <w:r w:rsidR="00937596">
        <w:t>PPGCE</w:t>
      </w:r>
      <w:r w:rsidR="00937596" w:rsidRPr="00937596">
        <w:t>/</w:t>
      </w:r>
      <w:r w:rsidR="00937596">
        <w:t>UERJ</w:t>
      </w:r>
      <w:r w:rsidR="00937596" w:rsidRPr="00937596">
        <w:t xml:space="preserve">. </w:t>
      </w:r>
      <w:r w:rsidR="00937596">
        <w:t>Rio de Janeiro</w:t>
      </w:r>
      <w:r w:rsidR="00937596" w:rsidRPr="00937596">
        <w:t>, 20</w:t>
      </w:r>
      <w:r w:rsidR="00937596">
        <w:t>12</w:t>
      </w:r>
      <w:r w:rsidR="00937596" w:rsidRPr="00937596">
        <w:t>.</w:t>
      </w:r>
    </w:p>
    <w:p w:rsidR="007601D3" w:rsidRPr="00FC450E" w:rsidRDefault="007601D3" w:rsidP="007601D3">
      <w:pPr>
        <w:ind w:left="450" w:hanging="450"/>
        <w:jc w:val="both"/>
        <w:rPr>
          <w:lang w:val="en-US"/>
        </w:rPr>
      </w:pPr>
      <w:r w:rsidRPr="00937596">
        <w:t xml:space="preserve">Baxter, M. e R. King. </w:t>
      </w:r>
      <w:r w:rsidRPr="00FC450E">
        <w:rPr>
          <w:lang w:val="en-US"/>
        </w:rPr>
        <w:t>Fiscal Policy in General Equilibrium, American Economic Review, 83, 315-334, 1993.</w:t>
      </w:r>
    </w:p>
    <w:p w:rsidR="007601D3" w:rsidRPr="00FC450E" w:rsidRDefault="007601D3" w:rsidP="007601D3">
      <w:pPr>
        <w:ind w:left="450" w:hanging="450"/>
        <w:jc w:val="both"/>
        <w:rPr>
          <w:lang w:val="en-US"/>
        </w:rPr>
      </w:pPr>
      <w:r w:rsidRPr="00FC450E">
        <w:rPr>
          <w:lang w:val="en-US"/>
        </w:rPr>
        <w:t>Blanchard, O. e Perotti, R. An Empirical Characterization of the Dynamic Effects of Changes in Government Spending and Taxes on Output, Quarterly Journal of Economics,</w:t>
      </w:r>
      <w:r>
        <w:rPr>
          <w:lang w:val="en-US"/>
        </w:rPr>
        <w:t xml:space="preserve"> 1</w:t>
      </w:r>
      <w:r w:rsidRPr="00FC450E">
        <w:rPr>
          <w:lang w:val="en-US"/>
        </w:rPr>
        <w:t>17(4), 1329-1368, 2002.</w:t>
      </w:r>
    </w:p>
    <w:p w:rsidR="007601D3" w:rsidRPr="00FC450E" w:rsidRDefault="007601D3" w:rsidP="007601D3">
      <w:pPr>
        <w:ind w:left="450" w:hanging="450"/>
        <w:jc w:val="both"/>
        <w:rPr>
          <w:lang w:val="en-US"/>
        </w:rPr>
      </w:pPr>
      <w:r>
        <w:rPr>
          <w:lang w:val="en-US"/>
        </w:rPr>
        <w:t>Calvo, G.</w:t>
      </w:r>
      <w:r w:rsidRPr="00FC450E">
        <w:rPr>
          <w:lang w:val="en-US"/>
        </w:rPr>
        <w:t xml:space="preserve"> Staggered Prices in a Utility Maximizing Model, Journal of Monetary Economics, </w:t>
      </w:r>
      <w:r>
        <w:rPr>
          <w:lang w:val="en-US"/>
        </w:rPr>
        <w:t>Massachussets, Vol.</w:t>
      </w:r>
      <w:r w:rsidRPr="00FC450E">
        <w:rPr>
          <w:lang w:val="en-US"/>
        </w:rPr>
        <w:t>12(3), 383-398, 1983.</w:t>
      </w:r>
    </w:p>
    <w:p w:rsidR="007601D3" w:rsidRPr="007601D3" w:rsidRDefault="007601D3" w:rsidP="007601D3">
      <w:pPr>
        <w:ind w:left="450" w:hanging="450"/>
        <w:jc w:val="both"/>
      </w:pPr>
      <w:r w:rsidRPr="006C7ADD">
        <w:rPr>
          <w:lang w:val="en-US"/>
        </w:rPr>
        <w:t>Carvalho, F. A. e Valli, M. An estimated SDGE model with g</w:t>
      </w:r>
      <w:r>
        <w:rPr>
          <w:lang w:val="en-US"/>
        </w:rPr>
        <w:t xml:space="preserve">overnment investment and primary susplus rule: the Brazilian case. </w:t>
      </w:r>
      <w:r w:rsidRPr="007601D3">
        <w:t>Encontro Brasileiro de Econometria, n. 32, Salvador-BA, SBE, 2010</w:t>
      </w:r>
    </w:p>
    <w:p w:rsidR="007601D3" w:rsidRDefault="007601D3" w:rsidP="007601D3">
      <w:pPr>
        <w:autoSpaceDE w:val="0"/>
        <w:autoSpaceDN w:val="0"/>
        <w:adjustRightInd w:val="0"/>
        <w:ind w:left="450" w:hanging="450"/>
        <w:jc w:val="both"/>
        <w:rPr>
          <w:rFonts w:eastAsia="CMR12"/>
          <w:lang w:val="en-US"/>
        </w:rPr>
      </w:pPr>
      <w:r w:rsidRPr="007601D3">
        <w:t xml:space="preserve">Coleman, II, W. J. </w:t>
      </w:r>
      <w:r w:rsidRPr="007601D3">
        <w:rPr>
          <w:rFonts w:eastAsia="CMR12"/>
        </w:rPr>
        <w:t xml:space="preserve">Equilibrium in a production economy with an Income  tax. </w:t>
      </w:r>
      <w:r w:rsidRPr="00FC4995">
        <w:rPr>
          <w:i/>
          <w:iCs/>
          <w:lang w:val="en-US"/>
        </w:rPr>
        <w:t>Econometrica</w:t>
      </w:r>
      <w:r w:rsidRPr="00FC4995">
        <w:rPr>
          <w:rFonts w:eastAsia="CMR12"/>
          <w:lang w:val="en-US"/>
        </w:rPr>
        <w:t>, 59(4), 1091–1104 1991.</w:t>
      </w:r>
    </w:p>
    <w:p w:rsidR="007601D3" w:rsidRPr="00716DDA" w:rsidRDefault="007601D3" w:rsidP="007601D3">
      <w:pPr>
        <w:ind w:left="450" w:hanging="450"/>
        <w:jc w:val="both"/>
        <w:rPr>
          <w:lang w:val="en-US"/>
        </w:rPr>
      </w:pPr>
      <w:r w:rsidRPr="00716DDA">
        <w:rPr>
          <w:lang w:val="en-US"/>
        </w:rPr>
        <w:lastRenderedPageBreak/>
        <w:t xml:space="preserve">Davig, T. e Leeper, E. M.  Monetary-fiscal policy interactions and </w:t>
      </w:r>
      <w:r>
        <w:rPr>
          <w:lang w:val="en-US"/>
        </w:rPr>
        <w:t xml:space="preserve">fiscal stimulus. European Economic Review. Elsevier, vol. 55 p. 211-227. 2011. </w:t>
      </w:r>
    </w:p>
    <w:p w:rsidR="007601D3" w:rsidRPr="00FC450E" w:rsidRDefault="007601D3" w:rsidP="007601D3">
      <w:pPr>
        <w:ind w:left="450" w:hanging="450"/>
        <w:jc w:val="both"/>
        <w:rPr>
          <w:lang w:val="en-US"/>
        </w:rPr>
      </w:pPr>
      <w:r w:rsidRPr="00FC450E">
        <w:rPr>
          <w:lang w:val="en-US"/>
        </w:rPr>
        <w:t>Davig, T. e Leeper, E. M. Fluctuating macro policies and the fiscal theory, In: Acemoglu, D, Rogoff, K., Woodford, M. (Eds.), NBER Macroeconomic Annual 2006, MIT Press, Cambrigde, p. 247-298, 2006.</w:t>
      </w:r>
    </w:p>
    <w:p w:rsidR="007601D3" w:rsidRPr="00FC450E" w:rsidRDefault="007601D3" w:rsidP="007601D3">
      <w:pPr>
        <w:ind w:left="450" w:hanging="450"/>
        <w:jc w:val="both"/>
        <w:rPr>
          <w:lang w:val="en-US"/>
        </w:rPr>
      </w:pPr>
      <w:r w:rsidRPr="00FC450E">
        <w:rPr>
          <w:lang w:val="en-US"/>
        </w:rPr>
        <w:t>Dixit, A. K., e Stiglitz J. E. Monopolistic Competition and Optimum Product Diversity, American Economic Review, 67(3), 297-308, 1977.</w:t>
      </w:r>
    </w:p>
    <w:p w:rsidR="007601D3" w:rsidRPr="00FC450E" w:rsidRDefault="007601D3" w:rsidP="007601D3">
      <w:pPr>
        <w:ind w:left="450" w:hanging="450"/>
        <w:jc w:val="both"/>
        <w:rPr>
          <w:lang w:val="en-US"/>
        </w:rPr>
      </w:pPr>
      <w:r w:rsidRPr="00FC450E">
        <w:rPr>
          <w:lang w:val="en-US"/>
        </w:rPr>
        <w:t>Fatás, A. e Mihov, I. Government Size and Automatic Stabilizers: International and Intranational Evidence, Journal of International Economics, 55(1), 3-28, 2001.</w:t>
      </w:r>
    </w:p>
    <w:p w:rsidR="007601D3" w:rsidRPr="00FC450E" w:rsidRDefault="007601D3" w:rsidP="007601D3">
      <w:pPr>
        <w:ind w:left="450" w:hanging="450"/>
        <w:jc w:val="both"/>
        <w:rPr>
          <w:lang w:val="en-US"/>
        </w:rPr>
      </w:pPr>
      <w:r w:rsidRPr="00FC450E">
        <w:rPr>
          <w:lang w:val="en-US"/>
        </w:rPr>
        <w:t>Galí, J., López-Salido, D. e Vallés, J. Understanding the Effects of Government Spending on Consumption, Journal of the European Economic Association 5, 227-270, Março, 2007.</w:t>
      </w:r>
    </w:p>
    <w:p w:rsidR="007601D3" w:rsidRPr="00FC450E" w:rsidRDefault="007601D3" w:rsidP="007601D3">
      <w:pPr>
        <w:ind w:left="450" w:hanging="450"/>
        <w:jc w:val="both"/>
        <w:rPr>
          <w:lang w:val="en-US"/>
        </w:rPr>
      </w:pPr>
      <w:r w:rsidRPr="00FC450E">
        <w:rPr>
          <w:lang w:val="en-US"/>
        </w:rPr>
        <w:t>Hall, R. E. Labor Supply and Aggregate Fluctuations, NBER Working Paper Series 385, Agosto, 1979.</w:t>
      </w:r>
    </w:p>
    <w:p w:rsidR="007601D3" w:rsidRPr="00FC450E" w:rsidRDefault="007601D3" w:rsidP="007601D3">
      <w:pPr>
        <w:ind w:left="450" w:hanging="450"/>
        <w:jc w:val="both"/>
        <w:rPr>
          <w:lang w:val="en-US"/>
        </w:rPr>
      </w:pPr>
      <w:r w:rsidRPr="00FC450E">
        <w:rPr>
          <w:lang w:val="en-US"/>
        </w:rPr>
        <w:t>Hodrick, R., e Prescott, E. P. Postwar Business Cycles: An Empirical Investigation, Journal of Money, Credit, and Banking, 29, 1–16, 1997.</w:t>
      </w:r>
    </w:p>
    <w:p w:rsidR="007601D3" w:rsidRDefault="007601D3" w:rsidP="007601D3">
      <w:pPr>
        <w:ind w:left="450" w:hanging="450"/>
        <w:jc w:val="both"/>
        <w:rPr>
          <w:lang w:val="en-US"/>
        </w:rPr>
      </w:pPr>
      <w:r w:rsidRPr="00FC450E">
        <w:rPr>
          <w:lang w:val="en-US"/>
        </w:rPr>
        <w:t>Kim, S. Structural Shocks and the Fiscal Theory of the Price Level in the Sticky Price Model, Macroeconomic Dynamics, 7(5), 759-782, 2003.</w:t>
      </w:r>
    </w:p>
    <w:p w:rsidR="007601D3" w:rsidRPr="00FC52BC" w:rsidRDefault="007601D3" w:rsidP="007601D3">
      <w:pPr>
        <w:ind w:left="450" w:hanging="450"/>
        <w:jc w:val="both"/>
      </w:pPr>
      <w:r>
        <w:t>Lima, E. C. R; Maka, A. e Mendonça, M. Monetary policy regimes in Brazil. Ipea, (Texto pra Discussão, n. 1285a), 2007.</w:t>
      </w:r>
    </w:p>
    <w:p w:rsidR="007601D3" w:rsidRPr="00906A92" w:rsidRDefault="007601D3" w:rsidP="007601D3">
      <w:pPr>
        <w:ind w:left="450" w:hanging="450"/>
        <w:jc w:val="both"/>
        <w:rPr>
          <w:lang w:val="en-US"/>
        </w:rPr>
      </w:pPr>
      <w:r w:rsidRPr="00906A92">
        <w:rPr>
          <w:lang w:val="en-US"/>
        </w:rPr>
        <w:t>Minella, A., Freitas, P. S., Goldfajn, I. e Muinhos, M. K. Inflation targeting in Brazil: lessons and challenges, Central Bank of Brazil, BIS Papers, 19, p. 106-133, 2002.</w:t>
      </w:r>
    </w:p>
    <w:p w:rsidR="007601D3" w:rsidRPr="00FC450E" w:rsidRDefault="007601D3" w:rsidP="007601D3">
      <w:pPr>
        <w:ind w:left="450" w:hanging="450"/>
        <w:jc w:val="both"/>
        <w:rPr>
          <w:lang w:val="en-US"/>
        </w:rPr>
      </w:pPr>
      <w:r w:rsidRPr="00FC450E">
        <w:rPr>
          <w:lang w:val="en-US"/>
        </w:rPr>
        <w:t>Monacelli, T. e Perotti, R. Fiscal Policy, Wealth Effects, and Markups, NBER Working Paper 14584, 2008.</w:t>
      </w:r>
    </w:p>
    <w:p w:rsidR="007601D3" w:rsidRPr="00FC450E" w:rsidRDefault="007601D3" w:rsidP="007601D3">
      <w:pPr>
        <w:ind w:left="450" w:hanging="450"/>
        <w:jc w:val="both"/>
        <w:rPr>
          <w:lang w:val="en-US"/>
        </w:rPr>
      </w:pPr>
      <w:r w:rsidRPr="00FC450E">
        <w:rPr>
          <w:lang w:val="en-US"/>
        </w:rPr>
        <w:t>Mountford, A. e Uhlig, H. What Are the Effects of Fiscal Policy Shocks?, Journal of Applied Econometrics, 24(6), 960-992, 2009.</w:t>
      </w:r>
    </w:p>
    <w:p w:rsidR="007601D3" w:rsidRDefault="007601D3" w:rsidP="007601D3">
      <w:pPr>
        <w:ind w:left="450" w:hanging="450"/>
        <w:jc w:val="both"/>
      </w:pPr>
      <w:r w:rsidRPr="00644920">
        <w:t xml:space="preserve">Nunes, A. </w:t>
      </w:r>
      <w:r>
        <w:t xml:space="preserve">e Portugal, M. </w:t>
      </w:r>
      <w:r w:rsidRPr="00644920">
        <w:t>P</w:t>
      </w:r>
      <w:r>
        <w:t>olíticas Fiscal e</w:t>
      </w:r>
      <w:r w:rsidRPr="00644920">
        <w:t xml:space="preserve"> Mo</w:t>
      </w:r>
      <w:r>
        <w:t>netária Ativas e Passivas: uma análise p</w:t>
      </w:r>
      <w:r w:rsidRPr="00644920">
        <w:t xml:space="preserve">ara </w:t>
      </w:r>
      <w:r>
        <w:t>o</w:t>
      </w:r>
      <w:r w:rsidRPr="00644920">
        <w:t xml:space="preserve"> </w:t>
      </w:r>
      <w:r>
        <w:t>Brasil pós-metas de i</w:t>
      </w:r>
      <w:r w:rsidRPr="00644920">
        <w:t>nflação</w:t>
      </w:r>
      <w:r>
        <w:t>,</w:t>
      </w:r>
      <w:r w:rsidRPr="00644920">
        <w:t xml:space="preserve">  ANPEC</w:t>
      </w:r>
      <w:r>
        <w:t>,</w:t>
      </w:r>
      <w:r w:rsidRPr="00644920">
        <w:t xml:space="preserve"> 2009</w:t>
      </w:r>
      <w:r>
        <w:t>.</w:t>
      </w:r>
    </w:p>
    <w:p w:rsidR="007601D3" w:rsidRDefault="007601D3" w:rsidP="007601D3">
      <w:pPr>
        <w:ind w:left="450" w:hanging="450"/>
        <w:jc w:val="both"/>
        <w:rPr>
          <w:lang w:val="en-US"/>
        </w:rPr>
      </w:pPr>
      <w:r w:rsidRPr="00FC450E">
        <w:rPr>
          <w:lang w:val="en-US"/>
        </w:rPr>
        <w:t>Perotti, R. In search of the transmission mechanism for fiscal policy, manuscript, IGIER, Universitá Bocconi, forthcoming NBER Macroeconomics Annual, Março, 2007.</w:t>
      </w:r>
    </w:p>
    <w:p w:rsidR="007601D3" w:rsidRPr="00FC450E" w:rsidRDefault="007601D3" w:rsidP="007601D3">
      <w:pPr>
        <w:ind w:left="450" w:hanging="450"/>
        <w:jc w:val="both"/>
        <w:rPr>
          <w:lang w:val="en-US"/>
        </w:rPr>
      </w:pPr>
      <w:r w:rsidRPr="00D41ABA">
        <w:rPr>
          <w:lang w:val="en-US"/>
        </w:rPr>
        <w:t>Ravn, M. O., Schmitt-Grohe, S. e Uribe, M. Explaining the Effects of Government Spending Shocks on Consumption and the Real Exchange Rate, NBER Working Paper 13328, 2007.</w:t>
      </w:r>
    </w:p>
    <w:p w:rsidR="007601D3" w:rsidRPr="00FC450E" w:rsidRDefault="007601D3" w:rsidP="007601D3">
      <w:pPr>
        <w:ind w:left="450" w:hanging="450"/>
        <w:jc w:val="both"/>
        <w:rPr>
          <w:lang w:val="en-US"/>
        </w:rPr>
      </w:pPr>
      <w:r w:rsidRPr="00FC450E">
        <w:rPr>
          <w:lang w:val="en-US"/>
        </w:rPr>
        <w:t>Rotemberg, J. J. e Woodford, M. Oligopolistic Pricing and the Effects of Aggregate Demand on Economic Activity, The Journal of Political Economy 100, 1153-1207, Dezembro, 1992.</w:t>
      </w:r>
    </w:p>
    <w:p w:rsidR="007601D3" w:rsidRPr="00FC450E" w:rsidRDefault="007601D3" w:rsidP="007601D3">
      <w:pPr>
        <w:ind w:left="450" w:hanging="450"/>
        <w:jc w:val="both"/>
        <w:rPr>
          <w:lang w:val="en-US"/>
        </w:rPr>
      </w:pPr>
      <w:r w:rsidRPr="00FC450E">
        <w:rPr>
          <w:lang w:val="en-US"/>
        </w:rPr>
        <w:t>Salgado, M. J. S., Garcia, M. G. P. e Medeiros, M. C. Monetary policy during Brazil’s Real Plan, Department of Economics of PUC-RJ, Working Paper 444, 2001.</w:t>
      </w:r>
    </w:p>
    <w:p w:rsidR="007601D3" w:rsidRPr="00FC450E" w:rsidRDefault="007601D3" w:rsidP="007601D3">
      <w:pPr>
        <w:ind w:left="450" w:hanging="450"/>
        <w:jc w:val="both"/>
      </w:pPr>
      <w:r>
        <w:t>Silva, F. S e Portugal, M. O impacto de choques fiscais na economia brasileira: uma abordagem DSGE. Trabalho apresentado no XXXII Encontro Brasileiro de Econometria (SBE), Salvador-BA, 2010.</w:t>
      </w:r>
    </w:p>
    <w:p w:rsidR="007601D3" w:rsidRPr="007601D3" w:rsidRDefault="007601D3" w:rsidP="007601D3">
      <w:pPr>
        <w:ind w:left="450" w:hanging="450"/>
        <w:jc w:val="both"/>
      </w:pPr>
      <w:r w:rsidRPr="00D41AA5">
        <w:rPr>
          <w:lang w:val="en-US"/>
        </w:rPr>
        <w:t>Taylor, J. B. e Willi</w:t>
      </w:r>
      <w:r>
        <w:rPr>
          <w:lang w:val="en-US"/>
        </w:rPr>
        <w:t xml:space="preserve">ams, J. C. Simple and robust rules for monetary policy. </w:t>
      </w:r>
      <w:r w:rsidRPr="007601D3">
        <w:t>NBER Working Paper 15908, National Bureau of Economic Research, 2010.</w:t>
      </w:r>
    </w:p>
    <w:p w:rsidR="007601D3" w:rsidRPr="007601D3" w:rsidRDefault="007601D3" w:rsidP="007601D3">
      <w:pPr>
        <w:ind w:left="450" w:hanging="450"/>
        <w:jc w:val="both"/>
        <w:rPr>
          <w:lang w:val="en-US"/>
        </w:rPr>
      </w:pPr>
      <w:r w:rsidRPr="00FC52BC">
        <w:t>Vereda, L e Cavalcanti, M</w:t>
      </w:r>
      <w:r>
        <w:t xml:space="preserve">. A. F. H. </w:t>
      </w:r>
      <w:r w:rsidRPr="004978AB">
        <w:t>Propriedades Dinâmicas de um Modelo DSGE com Parametrizações Alternativas para o Brasil</w:t>
      </w:r>
      <w:r>
        <w:t xml:space="preserve">. </w:t>
      </w:r>
      <w:r w:rsidRPr="007601D3">
        <w:rPr>
          <w:lang w:val="en-US"/>
        </w:rPr>
        <w:t>Ipea, (Texto pra Discussão, n. 1588), 2011.</w:t>
      </w:r>
    </w:p>
    <w:p w:rsidR="007601D3" w:rsidRPr="007D107D" w:rsidRDefault="007601D3" w:rsidP="007601D3">
      <w:pPr>
        <w:ind w:left="450" w:hanging="450"/>
        <w:jc w:val="both"/>
        <w:rPr>
          <w:lang w:val="en-US"/>
        </w:rPr>
      </w:pPr>
      <w:r>
        <w:rPr>
          <w:lang w:val="en-US"/>
        </w:rPr>
        <w:t>Woodford, M. Interest and prices: foundations of theory of monetary policy. Princeton University Press, 2003.</w:t>
      </w:r>
    </w:p>
    <w:p w:rsidR="007601D3" w:rsidRDefault="007601D3"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Default="007F626F" w:rsidP="00D20105">
      <w:pPr>
        <w:jc w:val="both"/>
      </w:pPr>
    </w:p>
    <w:p w:rsidR="007F626F" w:rsidRPr="00E52EEE" w:rsidRDefault="007F626F" w:rsidP="00D20105">
      <w:pPr>
        <w:jc w:val="both"/>
      </w:pPr>
    </w:p>
    <w:p w:rsidR="0012230E" w:rsidRPr="007F626F" w:rsidRDefault="0012230E" w:rsidP="0012230E">
      <w:pPr>
        <w:jc w:val="both"/>
        <w:rPr>
          <w:b/>
        </w:rPr>
      </w:pPr>
      <w:r w:rsidRPr="007F626F">
        <w:rPr>
          <w:b/>
          <w:lang w:val="en-US"/>
        </w:rPr>
        <w:t>Anexos</w:t>
      </w:r>
    </w:p>
    <w:p w:rsidR="0012230E" w:rsidRPr="007F626F" w:rsidRDefault="0012230E" w:rsidP="0012230E">
      <w:pPr>
        <w:rPr>
          <w:sz w:val="18"/>
          <w:szCs w:val="18"/>
        </w:rPr>
      </w:pPr>
    </w:p>
    <w:p w:rsidR="0012230E" w:rsidRPr="00830FC8" w:rsidRDefault="0012230E" w:rsidP="0012230E">
      <w:pPr>
        <w:spacing w:line="360" w:lineRule="auto"/>
        <w:ind w:firstLine="709"/>
        <w:jc w:val="both"/>
      </w:pPr>
    </w:p>
    <w:tbl>
      <w:tblPr>
        <w:tblW w:w="0" w:type="auto"/>
        <w:tblLayout w:type="fixed"/>
        <w:tblCellMar>
          <w:left w:w="30" w:type="dxa"/>
          <w:right w:w="30" w:type="dxa"/>
        </w:tblCellMar>
        <w:tblLook w:val="0000"/>
      </w:tblPr>
      <w:tblGrid>
        <w:gridCol w:w="1472"/>
        <w:gridCol w:w="1501"/>
        <w:gridCol w:w="1502"/>
        <w:gridCol w:w="1501"/>
        <w:gridCol w:w="1502"/>
      </w:tblGrid>
      <w:tr w:rsidR="0012230E" w:rsidRPr="00830FC8" w:rsidTr="00BB2AA7">
        <w:trPr>
          <w:trHeight w:val="272"/>
        </w:trPr>
        <w:tc>
          <w:tcPr>
            <w:tcW w:w="7478" w:type="dxa"/>
            <w:gridSpan w:val="5"/>
            <w:tcBorders>
              <w:left w:val="nil"/>
              <w:bottom w:val="nil"/>
            </w:tcBorders>
            <w:vAlign w:val="bottom"/>
          </w:tcPr>
          <w:p w:rsidR="0012230E" w:rsidRPr="00830FC8" w:rsidRDefault="0012230E" w:rsidP="00830FC8">
            <w:pPr>
              <w:autoSpaceDE w:val="0"/>
              <w:autoSpaceDN w:val="0"/>
              <w:adjustRightInd w:val="0"/>
              <w:jc w:val="center"/>
              <w:rPr>
                <w:color w:val="000000"/>
              </w:rPr>
            </w:pPr>
            <w:r w:rsidRPr="00830FC8">
              <w:rPr>
                <w:color w:val="000000"/>
                <w:sz w:val="22"/>
                <w:szCs w:val="22"/>
              </w:rPr>
              <w:t xml:space="preserve">Tabela </w:t>
            </w:r>
            <w:r w:rsidR="00830FC8" w:rsidRPr="00830FC8">
              <w:rPr>
                <w:color w:val="000000"/>
                <w:sz w:val="22"/>
                <w:szCs w:val="22"/>
              </w:rPr>
              <w:t>A1</w:t>
            </w:r>
            <w:r w:rsidRPr="00830FC8">
              <w:rPr>
                <w:color w:val="000000"/>
                <w:sz w:val="22"/>
                <w:szCs w:val="22"/>
              </w:rPr>
              <w:t>: Teste de Cointegração – Traço</w:t>
            </w:r>
          </w:p>
        </w:tc>
      </w:tr>
      <w:tr w:rsidR="0012230E" w:rsidRPr="00830FC8" w:rsidTr="00BB2AA7">
        <w:trPr>
          <w:trHeight w:val="272"/>
        </w:trPr>
        <w:tc>
          <w:tcPr>
            <w:tcW w:w="147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Hipótese</w:t>
            </w:r>
          </w:p>
        </w:tc>
        <w:tc>
          <w:tcPr>
            <w:tcW w:w="1501"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p>
        </w:tc>
        <w:tc>
          <w:tcPr>
            <w:tcW w:w="150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Estatística</w:t>
            </w:r>
          </w:p>
        </w:tc>
        <w:tc>
          <w:tcPr>
            <w:tcW w:w="1501"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0.05</w:t>
            </w:r>
          </w:p>
        </w:tc>
        <w:tc>
          <w:tcPr>
            <w:tcW w:w="150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p>
        </w:tc>
      </w:tr>
      <w:tr w:rsidR="0012230E" w:rsidRPr="00830FC8"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Nº. de CE(s)</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Autovalor</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Traço</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Valor Crítico</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Prob.**</w:t>
            </w:r>
          </w:p>
        </w:tc>
      </w:tr>
      <w:tr w:rsidR="0012230E" w:rsidRPr="00830FC8" w:rsidTr="00BB2AA7">
        <w:trPr>
          <w:trHeight w:hRule="exact" w:val="102"/>
        </w:trPr>
        <w:tc>
          <w:tcPr>
            <w:tcW w:w="147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szCs w:val="20"/>
              </w:rPr>
            </w:pPr>
          </w:p>
        </w:tc>
        <w:tc>
          <w:tcPr>
            <w:tcW w:w="1501"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r>
      <w:tr w:rsidR="0012230E" w:rsidRPr="00830FC8" w:rsidTr="00BB2AA7">
        <w:trPr>
          <w:trHeight w:hRule="exact" w:val="153"/>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rPr>
                <w:color w:val="000000"/>
                <w:szCs w:val="20"/>
              </w:rPr>
            </w:pP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r>
      <w:tr w:rsidR="0012230E" w:rsidRPr="00830FC8"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Nenhum *</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0.573413</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67.51446</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47.85613</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0.0003</w:t>
            </w:r>
          </w:p>
        </w:tc>
      </w:tr>
      <w:tr w:rsidR="0012230E" w:rsidRPr="00830FC8"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No máximo 1</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0.277875</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25.76944</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29.79707</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0.1358</w:t>
            </w:r>
          </w:p>
        </w:tc>
      </w:tr>
      <w:tr w:rsidR="0012230E" w:rsidRPr="00830FC8" w:rsidTr="00BB2AA7">
        <w:trPr>
          <w:trHeight w:val="272"/>
        </w:trPr>
        <w:tc>
          <w:tcPr>
            <w:tcW w:w="1472" w:type="dxa"/>
            <w:tcBorders>
              <w:top w:val="nil"/>
              <w:left w:val="nil"/>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No máximo 2</w:t>
            </w:r>
          </w:p>
        </w:tc>
        <w:tc>
          <w:tcPr>
            <w:tcW w:w="1501"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0.150651</w:t>
            </w:r>
          </w:p>
        </w:tc>
        <w:tc>
          <w:tcPr>
            <w:tcW w:w="1502"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9.817151</w:t>
            </w:r>
          </w:p>
        </w:tc>
        <w:tc>
          <w:tcPr>
            <w:tcW w:w="1501"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15.49471</w:t>
            </w:r>
          </w:p>
        </w:tc>
        <w:tc>
          <w:tcPr>
            <w:tcW w:w="1502"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0.2951</w:t>
            </w:r>
          </w:p>
        </w:tc>
      </w:tr>
      <w:tr w:rsidR="0012230E" w:rsidRPr="00830FC8" w:rsidTr="00BB2AA7">
        <w:trPr>
          <w:trHeight w:val="272"/>
        </w:trPr>
        <w:tc>
          <w:tcPr>
            <w:tcW w:w="147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szCs w:val="20"/>
              </w:rPr>
            </w:pPr>
            <w:r w:rsidRPr="00830FC8">
              <w:rPr>
                <w:color w:val="000000"/>
                <w:sz w:val="22"/>
                <w:szCs w:val="20"/>
              </w:rPr>
              <w:t>No máximo 3</w:t>
            </w:r>
          </w:p>
        </w:tc>
        <w:tc>
          <w:tcPr>
            <w:tcW w:w="1501"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0.036386</w:t>
            </w:r>
          </w:p>
        </w:tc>
        <w:tc>
          <w:tcPr>
            <w:tcW w:w="150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1.816157</w:t>
            </w:r>
          </w:p>
        </w:tc>
        <w:tc>
          <w:tcPr>
            <w:tcW w:w="1501"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3.841466</w:t>
            </w:r>
          </w:p>
        </w:tc>
        <w:tc>
          <w:tcPr>
            <w:tcW w:w="150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0.1778</w:t>
            </w:r>
          </w:p>
        </w:tc>
      </w:tr>
    </w:tbl>
    <w:p w:rsidR="0012230E" w:rsidRDefault="0012230E" w:rsidP="0012230E">
      <w:pPr>
        <w:rPr>
          <w:sz w:val="18"/>
          <w:szCs w:val="18"/>
          <w:lang w:val="en-US"/>
        </w:rPr>
      </w:pPr>
      <w:r w:rsidRPr="00E9460B">
        <w:rPr>
          <w:sz w:val="18"/>
          <w:szCs w:val="18"/>
          <w:lang w:val="en-US"/>
        </w:rPr>
        <w:t xml:space="preserve">Fonte: </w:t>
      </w:r>
      <w:r w:rsidR="007F626F">
        <w:rPr>
          <w:sz w:val="18"/>
          <w:szCs w:val="18"/>
        </w:rPr>
        <w:t>elaboração própria</w:t>
      </w:r>
      <w:r w:rsidR="007F626F" w:rsidRPr="000C4641">
        <w:rPr>
          <w:sz w:val="18"/>
          <w:szCs w:val="18"/>
        </w:rPr>
        <w:t>, 2012.</w:t>
      </w:r>
    </w:p>
    <w:p w:rsidR="0012230E" w:rsidRPr="00830FC8" w:rsidRDefault="0012230E" w:rsidP="0012230E">
      <w:pPr>
        <w:spacing w:line="360" w:lineRule="auto"/>
        <w:rPr>
          <w:lang w:val="en-US"/>
        </w:rPr>
      </w:pPr>
    </w:p>
    <w:tbl>
      <w:tblPr>
        <w:tblW w:w="0" w:type="auto"/>
        <w:tblLayout w:type="fixed"/>
        <w:tblCellMar>
          <w:left w:w="30" w:type="dxa"/>
          <w:right w:w="30" w:type="dxa"/>
        </w:tblCellMar>
        <w:tblLook w:val="0000"/>
      </w:tblPr>
      <w:tblGrid>
        <w:gridCol w:w="1472"/>
        <w:gridCol w:w="1501"/>
        <w:gridCol w:w="1502"/>
        <w:gridCol w:w="1501"/>
        <w:gridCol w:w="1502"/>
      </w:tblGrid>
      <w:tr w:rsidR="0012230E" w:rsidRPr="0085371D" w:rsidTr="00BB2AA7">
        <w:trPr>
          <w:trHeight w:val="272"/>
        </w:trPr>
        <w:tc>
          <w:tcPr>
            <w:tcW w:w="7478" w:type="dxa"/>
            <w:gridSpan w:val="5"/>
            <w:tcBorders>
              <w:left w:val="nil"/>
              <w:bottom w:val="nil"/>
            </w:tcBorders>
            <w:vAlign w:val="bottom"/>
          </w:tcPr>
          <w:p w:rsidR="0012230E" w:rsidRPr="00830FC8" w:rsidRDefault="0012230E" w:rsidP="00830FC8">
            <w:pPr>
              <w:autoSpaceDE w:val="0"/>
              <w:autoSpaceDN w:val="0"/>
              <w:adjustRightInd w:val="0"/>
              <w:jc w:val="center"/>
              <w:rPr>
                <w:color w:val="000000"/>
              </w:rPr>
            </w:pPr>
            <w:r w:rsidRPr="00830FC8">
              <w:rPr>
                <w:color w:val="000000"/>
                <w:sz w:val="22"/>
                <w:szCs w:val="22"/>
              </w:rPr>
              <w:t xml:space="preserve">Tabela </w:t>
            </w:r>
            <w:r w:rsidR="00830FC8" w:rsidRPr="00830FC8">
              <w:rPr>
                <w:color w:val="000000"/>
                <w:sz w:val="22"/>
                <w:szCs w:val="22"/>
              </w:rPr>
              <w:t>A2</w:t>
            </w:r>
            <w:r w:rsidRPr="00830FC8">
              <w:rPr>
                <w:color w:val="000000"/>
                <w:sz w:val="22"/>
                <w:szCs w:val="22"/>
              </w:rPr>
              <w:t>: Teste de Cointegração - Máximo Autovalor</w:t>
            </w:r>
          </w:p>
        </w:tc>
      </w:tr>
      <w:tr w:rsidR="0012230E" w:rsidRPr="0085371D" w:rsidTr="00BB2AA7">
        <w:trPr>
          <w:trHeight w:val="272"/>
        </w:trPr>
        <w:tc>
          <w:tcPr>
            <w:tcW w:w="147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Hipótese</w:t>
            </w:r>
          </w:p>
        </w:tc>
        <w:tc>
          <w:tcPr>
            <w:tcW w:w="1501"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p>
        </w:tc>
        <w:tc>
          <w:tcPr>
            <w:tcW w:w="150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Estatística</w:t>
            </w:r>
          </w:p>
        </w:tc>
        <w:tc>
          <w:tcPr>
            <w:tcW w:w="1501"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0.05</w:t>
            </w:r>
          </w:p>
        </w:tc>
        <w:tc>
          <w:tcPr>
            <w:tcW w:w="1502" w:type="dxa"/>
            <w:tcBorders>
              <w:top w:val="double" w:sz="4" w:space="0" w:color="auto"/>
              <w:left w:val="nil"/>
              <w:bottom w:val="nil"/>
              <w:right w:val="nil"/>
            </w:tcBorders>
            <w:vAlign w:val="bottom"/>
          </w:tcPr>
          <w:p w:rsidR="0012230E" w:rsidRPr="00830FC8" w:rsidRDefault="0012230E" w:rsidP="00BB2AA7">
            <w:pPr>
              <w:autoSpaceDE w:val="0"/>
              <w:autoSpaceDN w:val="0"/>
              <w:adjustRightInd w:val="0"/>
              <w:jc w:val="center"/>
              <w:rPr>
                <w:color w:val="000000"/>
              </w:rPr>
            </w:pPr>
          </w:p>
        </w:tc>
      </w:tr>
      <w:tr w:rsidR="0012230E" w:rsidRPr="0085371D"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Nº. de CE(s)</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Autovalor</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Máx-Autovalor</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Valor Crítico</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Prob.**</w:t>
            </w:r>
          </w:p>
        </w:tc>
      </w:tr>
      <w:tr w:rsidR="0012230E" w:rsidRPr="0085371D" w:rsidTr="00BB2AA7">
        <w:trPr>
          <w:trHeight w:hRule="exact" w:val="102"/>
        </w:trPr>
        <w:tc>
          <w:tcPr>
            <w:tcW w:w="147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double" w:sz="6" w:space="2" w:color="auto"/>
              <w:right w:val="nil"/>
            </w:tcBorders>
            <w:vAlign w:val="bottom"/>
          </w:tcPr>
          <w:p w:rsidR="0012230E" w:rsidRPr="00830FC8" w:rsidRDefault="0012230E" w:rsidP="00BB2AA7">
            <w:pPr>
              <w:autoSpaceDE w:val="0"/>
              <w:autoSpaceDN w:val="0"/>
              <w:adjustRightInd w:val="0"/>
              <w:rPr>
                <w:color w:val="000000"/>
              </w:rPr>
            </w:pPr>
          </w:p>
        </w:tc>
      </w:tr>
      <w:tr w:rsidR="0012230E" w:rsidRPr="0085371D" w:rsidTr="00BB2AA7">
        <w:trPr>
          <w:trHeight w:hRule="exact" w:val="153"/>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rPr>
                <w:color w:val="000000"/>
              </w:rPr>
            </w:pPr>
          </w:p>
        </w:tc>
      </w:tr>
      <w:tr w:rsidR="0012230E" w:rsidRPr="0085371D"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Nenhum *</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0.573413</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41.74501</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27.58434</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0.0004</w:t>
            </w:r>
          </w:p>
        </w:tc>
      </w:tr>
      <w:tr w:rsidR="0012230E" w:rsidRPr="0085371D" w:rsidTr="00BB2AA7">
        <w:trPr>
          <w:trHeight w:val="272"/>
        </w:trPr>
        <w:tc>
          <w:tcPr>
            <w:tcW w:w="147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No máximo 1</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0.277875</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15.95229</w:t>
            </w:r>
          </w:p>
        </w:tc>
        <w:tc>
          <w:tcPr>
            <w:tcW w:w="1501"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21.13162</w:t>
            </w:r>
          </w:p>
        </w:tc>
        <w:tc>
          <w:tcPr>
            <w:tcW w:w="1502" w:type="dxa"/>
            <w:tcBorders>
              <w:top w:val="nil"/>
              <w:left w:val="nil"/>
              <w:bottom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0.2277</w:t>
            </w:r>
          </w:p>
        </w:tc>
      </w:tr>
      <w:tr w:rsidR="0012230E" w:rsidRPr="0085371D" w:rsidTr="00BB2AA7">
        <w:trPr>
          <w:trHeight w:val="272"/>
        </w:trPr>
        <w:tc>
          <w:tcPr>
            <w:tcW w:w="1472"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No máximo 2</w:t>
            </w:r>
          </w:p>
        </w:tc>
        <w:tc>
          <w:tcPr>
            <w:tcW w:w="1501"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0.150651</w:t>
            </w:r>
          </w:p>
        </w:tc>
        <w:tc>
          <w:tcPr>
            <w:tcW w:w="1502"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8.000994</w:t>
            </w:r>
          </w:p>
        </w:tc>
        <w:tc>
          <w:tcPr>
            <w:tcW w:w="1501"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14.26460</w:t>
            </w:r>
          </w:p>
        </w:tc>
        <w:tc>
          <w:tcPr>
            <w:tcW w:w="1502" w:type="dxa"/>
            <w:tcBorders>
              <w:top w:val="nil"/>
              <w:left w:val="nil"/>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0.3786</w:t>
            </w:r>
          </w:p>
        </w:tc>
      </w:tr>
      <w:tr w:rsidR="0012230E" w:rsidRPr="0085371D" w:rsidTr="00BB2AA7">
        <w:trPr>
          <w:trHeight w:val="272"/>
        </w:trPr>
        <w:tc>
          <w:tcPr>
            <w:tcW w:w="147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No máximo 3</w:t>
            </w:r>
          </w:p>
        </w:tc>
        <w:tc>
          <w:tcPr>
            <w:tcW w:w="1501"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0.036386</w:t>
            </w:r>
          </w:p>
        </w:tc>
        <w:tc>
          <w:tcPr>
            <w:tcW w:w="150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1.816157</w:t>
            </w:r>
          </w:p>
        </w:tc>
        <w:tc>
          <w:tcPr>
            <w:tcW w:w="1501"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3.841466</w:t>
            </w:r>
          </w:p>
        </w:tc>
        <w:tc>
          <w:tcPr>
            <w:tcW w:w="1502" w:type="dxa"/>
            <w:tcBorders>
              <w:top w:val="nil"/>
              <w:left w:val="nil"/>
              <w:bottom w:val="double" w:sz="4" w:space="0" w:color="auto"/>
              <w:right w:val="nil"/>
            </w:tcBorders>
            <w:vAlign w:val="bottom"/>
          </w:tcPr>
          <w:p w:rsidR="0012230E" w:rsidRPr="00830FC8" w:rsidRDefault="0012230E" w:rsidP="00BB2AA7">
            <w:pPr>
              <w:autoSpaceDE w:val="0"/>
              <w:autoSpaceDN w:val="0"/>
              <w:adjustRightInd w:val="0"/>
              <w:jc w:val="center"/>
              <w:rPr>
                <w:color w:val="000000"/>
              </w:rPr>
            </w:pPr>
            <w:r w:rsidRPr="00830FC8">
              <w:rPr>
                <w:color w:val="000000"/>
                <w:sz w:val="22"/>
                <w:szCs w:val="22"/>
              </w:rPr>
              <w:t> 0.1778</w:t>
            </w:r>
          </w:p>
        </w:tc>
      </w:tr>
    </w:tbl>
    <w:p w:rsidR="0012230E" w:rsidRPr="006A4766" w:rsidRDefault="0012230E" w:rsidP="0012230E">
      <w:pPr>
        <w:rPr>
          <w:sz w:val="18"/>
          <w:szCs w:val="18"/>
        </w:rPr>
      </w:pPr>
      <w:r w:rsidRPr="006A4766">
        <w:rPr>
          <w:sz w:val="18"/>
          <w:szCs w:val="18"/>
        </w:rPr>
        <w:t xml:space="preserve">Fonte: </w:t>
      </w:r>
      <w:r w:rsidR="007F626F">
        <w:rPr>
          <w:sz w:val="18"/>
          <w:szCs w:val="18"/>
        </w:rPr>
        <w:t>elaboração própria</w:t>
      </w:r>
      <w:r w:rsidR="007F626F" w:rsidRPr="000C4641">
        <w:rPr>
          <w:sz w:val="18"/>
          <w:szCs w:val="18"/>
        </w:rPr>
        <w:t>, 2012.</w:t>
      </w:r>
    </w:p>
    <w:p w:rsidR="0012230E" w:rsidRPr="00830FC8" w:rsidRDefault="0012230E" w:rsidP="0012230E"/>
    <w:tbl>
      <w:tblPr>
        <w:tblW w:w="0" w:type="auto"/>
        <w:tblLayout w:type="fixed"/>
        <w:tblCellMar>
          <w:left w:w="30" w:type="dxa"/>
          <w:right w:w="30" w:type="dxa"/>
        </w:tblCellMar>
        <w:tblLook w:val="0000"/>
      </w:tblPr>
      <w:tblGrid>
        <w:gridCol w:w="5976"/>
        <w:gridCol w:w="1502"/>
      </w:tblGrid>
      <w:tr w:rsidR="0012230E" w:rsidRPr="0085371D" w:rsidTr="00BB2AA7">
        <w:trPr>
          <w:trHeight w:val="272"/>
        </w:trPr>
        <w:tc>
          <w:tcPr>
            <w:tcW w:w="7478" w:type="dxa"/>
            <w:gridSpan w:val="2"/>
            <w:tcBorders>
              <w:top w:val="nil"/>
              <w:left w:val="nil"/>
              <w:bottom w:val="single" w:sz="4" w:space="0" w:color="auto"/>
              <w:right w:val="nil"/>
            </w:tcBorders>
            <w:vAlign w:val="bottom"/>
          </w:tcPr>
          <w:p w:rsidR="0012230E" w:rsidRPr="00830FC8" w:rsidRDefault="0012230E" w:rsidP="007F626F">
            <w:pPr>
              <w:autoSpaceDE w:val="0"/>
              <w:autoSpaceDN w:val="0"/>
              <w:adjustRightInd w:val="0"/>
              <w:rPr>
                <w:color w:val="000000"/>
              </w:rPr>
            </w:pPr>
            <w:r w:rsidRPr="00830FC8">
              <w:rPr>
                <w:color w:val="000000"/>
                <w:sz w:val="22"/>
                <w:szCs w:val="22"/>
              </w:rPr>
              <w:t xml:space="preserve">Informações </w:t>
            </w:r>
            <w:r w:rsidR="007F626F" w:rsidRPr="00830FC8">
              <w:rPr>
                <w:color w:val="000000"/>
                <w:sz w:val="22"/>
                <w:szCs w:val="22"/>
              </w:rPr>
              <w:t xml:space="preserve">complementares </w:t>
            </w:r>
            <w:r w:rsidRPr="00830FC8">
              <w:rPr>
                <w:color w:val="000000"/>
                <w:sz w:val="22"/>
                <w:szCs w:val="22"/>
              </w:rPr>
              <w:t>para ambos os testes de Cointegração</w:t>
            </w:r>
          </w:p>
        </w:tc>
      </w:tr>
      <w:tr w:rsidR="0012230E" w:rsidRPr="0085371D" w:rsidTr="00BB2AA7">
        <w:trPr>
          <w:trHeight w:val="272"/>
        </w:trPr>
        <w:tc>
          <w:tcPr>
            <w:tcW w:w="7478" w:type="dxa"/>
            <w:gridSpan w:val="2"/>
            <w:tcBorders>
              <w:top w:val="single" w:sz="4" w:space="0" w:color="auto"/>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Amostra (ajustada): 1999T2-2011T</w:t>
            </w:r>
            <w:r w:rsidRPr="0085371D">
              <w:rPr>
                <w:color w:val="000000"/>
                <w:sz w:val="18"/>
                <w:szCs w:val="18"/>
              </w:rPr>
              <w:t>2</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Observações</w:t>
            </w:r>
            <w:r w:rsidRPr="0085371D">
              <w:rPr>
                <w:color w:val="000000"/>
                <w:sz w:val="18"/>
                <w:szCs w:val="18"/>
              </w:rPr>
              <w:t xml:space="preserve">: 49 </w:t>
            </w:r>
            <w:r w:rsidRPr="00E9460B">
              <w:rPr>
                <w:color w:val="000000"/>
                <w:sz w:val="18"/>
                <w:szCs w:val="18"/>
              </w:rPr>
              <w:t>após ajustamentos</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Hipótese de Tendência: Tendência Linear Determinística</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Sé</w:t>
            </w:r>
            <w:r w:rsidRPr="0085371D">
              <w:rPr>
                <w:color w:val="000000"/>
                <w:sz w:val="18"/>
                <w:szCs w:val="18"/>
              </w:rPr>
              <w:t>ries: RECEITAS DESPESAS DIVIDA HIATOPIB </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Séries Exógenas</w:t>
            </w:r>
            <w:r w:rsidRPr="0085371D">
              <w:rPr>
                <w:color w:val="000000"/>
                <w:sz w:val="18"/>
                <w:szCs w:val="18"/>
              </w:rPr>
              <w:t>: DUM_03_02 DUM_04_02 DUM_01_03 DUM_04_08 DUM_03_10 </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Atenção</w:t>
            </w:r>
            <w:r w:rsidRPr="0085371D">
              <w:rPr>
                <w:color w:val="000000"/>
                <w:sz w:val="18"/>
                <w:szCs w:val="18"/>
              </w:rPr>
              <w:t xml:space="preserve">: </w:t>
            </w:r>
            <w:r w:rsidRPr="00E9460B">
              <w:rPr>
                <w:color w:val="000000"/>
                <w:sz w:val="18"/>
                <w:szCs w:val="18"/>
              </w:rPr>
              <w:t>Valores Críticos Assumem Séries Não Exógenas</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E9460B">
              <w:rPr>
                <w:color w:val="000000"/>
                <w:sz w:val="18"/>
                <w:szCs w:val="18"/>
              </w:rPr>
              <w:t>Intervalo de Defasagens</w:t>
            </w:r>
            <w:r w:rsidRPr="0085371D">
              <w:rPr>
                <w:color w:val="000000"/>
                <w:sz w:val="18"/>
                <w:szCs w:val="18"/>
              </w:rPr>
              <w:t xml:space="preserve"> (</w:t>
            </w:r>
            <w:r w:rsidRPr="00E9460B">
              <w:rPr>
                <w:color w:val="000000"/>
                <w:sz w:val="18"/>
                <w:szCs w:val="18"/>
              </w:rPr>
              <w:t>em primeira diferença</w:t>
            </w:r>
            <w:r w:rsidRPr="0085371D">
              <w:rPr>
                <w:color w:val="000000"/>
                <w:sz w:val="18"/>
                <w:szCs w:val="18"/>
              </w:rPr>
              <w:t xml:space="preserve">): </w:t>
            </w:r>
            <w:r w:rsidRPr="00E9460B">
              <w:rPr>
                <w:color w:val="000000"/>
                <w:sz w:val="18"/>
                <w:szCs w:val="18"/>
              </w:rPr>
              <w:t>sem defasagens</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8D2BDD">
              <w:rPr>
                <w:color w:val="000000"/>
                <w:sz w:val="18"/>
                <w:szCs w:val="18"/>
              </w:rPr>
              <w:t>Teste</w:t>
            </w:r>
            <w:r w:rsidR="007F626F">
              <w:rPr>
                <w:color w:val="000000"/>
                <w:sz w:val="18"/>
                <w:szCs w:val="18"/>
              </w:rPr>
              <w:t xml:space="preserve"> </w:t>
            </w:r>
            <w:r w:rsidRPr="008D2BDD">
              <w:rPr>
                <w:color w:val="000000"/>
                <w:sz w:val="18"/>
                <w:szCs w:val="18"/>
              </w:rPr>
              <w:t>indica 1 equação de cointegraçãoao nível de 5%</w:t>
            </w:r>
          </w:p>
        </w:tc>
      </w:tr>
      <w:tr w:rsidR="0012230E" w:rsidRPr="0085371D" w:rsidTr="00BB2AA7">
        <w:trPr>
          <w:trHeight w:val="272"/>
        </w:trPr>
        <w:tc>
          <w:tcPr>
            <w:tcW w:w="7478" w:type="dxa"/>
            <w:gridSpan w:val="2"/>
            <w:tcBorders>
              <w:top w:val="nil"/>
              <w:left w:val="nil"/>
              <w:bottom w:val="nil"/>
              <w:right w:val="nil"/>
            </w:tcBorders>
            <w:vAlign w:val="bottom"/>
          </w:tcPr>
          <w:p w:rsidR="0012230E" w:rsidRPr="0085371D" w:rsidRDefault="0012230E" w:rsidP="00BB2AA7">
            <w:pPr>
              <w:autoSpaceDE w:val="0"/>
              <w:autoSpaceDN w:val="0"/>
              <w:adjustRightInd w:val="0"/>
              <w:rPr>
                <w:color w:val="000000"/>
                <w:sz w:val="18"/>
                <w:szCs w:val="18"/>
              </w:rPr>
            </w:pPr>
            <w:r w:rsidRPr="0085371D">
              <w:rPr>
                <w:color w:val="000000"/>
                <w:sz w:val="18"/>
                <w:szCs w:val="18"/>
              </w:rPr>
              <w:t> </w:t>
            </w:r>
            <w:r w:rsidRPr="008D2BDD">
              <w:rPr>
                <w:color w:val="000000"/>
                <w:sz w:val="18"/>
                <w:szCs w:val="18"/>
              </w:rPr>
              <w:t>*significa rejeição da hipótese ao nível de 5</w:t>
            </w:r>
          </w:p>
        </w:tc>
      </w:tr>
      <w:tr w:rsidR="0012230E" w:rsidRPr="002F7518" w:rsidTr="00BB2AA7">
        <w:trPr>
          <w:trHeight w:val="272"/>
        </w:trPr>
        <w:tc>
          <w:tcPr>
            <w:tcW w:w="5976" w:type="dxa"/>
            <w:tcBorders>
              <w:top w:val="nil"/>
              <w:left w:val="nil"/>
              <w:bottom w:val="single" w:sz="4" w:space="0" w:color="auto"/>
              <w:right w:val="nil"/>
            </w:tcBorders>
            <w:vAlign w:val="bottom"/>
          </w:tcPr>
          <w:p w:rsidR="0012230E" w:rsidRPr="0085371D" w:rsidRDefault="0012230E" w:rsidP="00BB2AA7">
            <w:pPr>
              <w:autoSpaceDE w:val="0"/>
              <w:autoSpaceDN w:val="0"/>
              <w:adjustRightInd w:val="0"/>
              <w:rPr>
                <w:color w:val="000000"/>
                <w:sz w:val="18"/>
                <w:szCs w:val="18"/>
                <w:lang w:val="en-US"/>
              </w:rPr>
            </w:pPr>
            <w:r w:rsidRPr="0085371D">
              <w:rPr>
                <w:color w:val="000000"/>
                <w:sz w:val="18"/>
                <w:szCs w:val="18"/>
              </w:rPr>
              <w:t> </w:t>
            </w:r>
            <w:r w:rsidRPr="0085371D">
              <w:rPr>
                <w:color w:val="000000"/>
                <w:sz w:val="18"/>
                <w:szCs w:val="18"/>
                <w:lang w:val="en-US"/>
              </w:rPr>
              <w:t>**MacKinnon-Haug-Michelis (1999) p-va</w:t>
            </w:r>
            <w:r w:rsidRPr="008D2BDD">
              <w:rPr>
                <w:color w:val="000000"/>
                <w:sz w:val="18"/>
                <w:szCs w:val="18"/>
                <w:lang w:val="en-US"/>
              </w:rPr>
              <w:t>lor</w:t>
            </w:r>
          </w:p>
        </w:tc>
        <w:tc>
          <w:tcPr>
            <w:tcW w:w="1502" w:type="dxa"/>
            <w:tcBorders>
              <w:top w:val="nil"/>
              <w:left w:val="nil"/>
              <w:bottom w:val="single" w:sz="4" w:space="0" w:color="auto"/>
              <w:right w:val="nil"/>
            </w:tcBorders>
            <w:vAlign w:val="bottom"/>
          </w:tcPr>
          <w:p w:rsidR="0012230E" w:rsidRPr="0085371D" w:rsidRDefault="0012230E" w:rsidP="00BB2AA7">
            <w:pPr>
              <w:autoSpaceDE w:val="0"/>
              <w:autoSpaceDN w:val="0"/>
              <w:adjustRightInd w:val="0"/>
              <w:jc w:val="center"/>
              <w:rPr>
                <w:color w:val="000000"/>
                <w:sz w:val="18"/>
                <w:szCs w:val="18"/>
                <w:lang w:val="en-US"/>
              </w:rPr>
            </w:pPr>
          </w:p>
        </w:tc>
      </w:tr>
    </w:tbl>
    <w:p w:rsidR="0012230E" w:rsidRPr="00227187" w:rsidRDefault="0012230E" w:rsidP="0012230E">
      <w:pPr>
        <w:rPr>
          <w:lang w:val="en-US"/>
        </w:rPr>
      </w:pPr>
    </w:p>
    <w:p w:rsidR="0012230E" w:rsidRPr="00CB2635" w:rsidRDefault="0012230E" w:rsidP="00D20105">
      <w:pPr>
        <w:jc w:val="both"/>
        <w:rPr>
          <w:lang w:val="en-US"/>
        </w:rPr>
      </w:pPr>
    </w:p>
    <w:sectPr w:rsidR="0012230E" w:rsidRPr="00CB2635" w:rsidSect="00C74575">
      <w:pgSz w:w="11906" w:h="16838"/>
      <w:pgMar w:top="1138" w:right="850" w:bottom="1138" w:left="8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FA0" w:rsidRDefault="00264FA0" w:rsidP="00E34401">
      <w:r>
        <w:separator/>
      </w:r>
    </w:p>
  </w:endnote>
  <w:endnote w:type="continuationSeparator" w:id="1">
    <w:p w:rsidR="00264FA0" w:rsidRDefault="00264FA0" w:rsidP="00E34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2">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FA0" w:rsidRDefault="00264FA0" w:rsidP="00E34401">
      <w:r>
        <w:separator/>
      </w:r>
    </w:p>
  </w:footnote>
  <w:footnote w:type="continuationSeparator" w:id="1">
    <w:p w:rsidR="00264FA0" w:rsidRDefault="00264FA0" w:rsidP="00E34401">
      <w:r>
        <w:continuationSeparator/>
      </w:r>
    </w:p>
  </w:footnote>
  <w:footnote w:id="2">
    <w:p w:rsidR="002F7518" w:rsidRPr="009C724F" w:rsidRDefault="002F7518" w:rsidP="00C432AF">
      <w:pPr>
        <w:pStyle w:val="Ttulo3"/>
        <w:spacing w:before="0" w:line="240" w:lineRule="auto"/>
        <w:jc w:val="both"/>
        <w:rPr>
          <w:rFonts w:ascii="Times New Roman" w:hAnsi="Times New Roman" w:cs="Times New Roman"/>
          <w:sz w:val="20"/>
          <w:szCs w:val="20"/>
        </w:rPr>
      </w:pPr>
      <w:r w:rsidRPr="009C724F">
        <w:rPr>
          <w:rStyle w:val="Refdenotaderodap"/>
          <w:rFonts w:ascii="Times New Roman" w:hAnsi="Times New Roman" w:cs="Times New Roman"/>
          <w:sz w:val="20"/>
          <w:szCs w:val="20"/>
        </w:rPr>
        <w:footnoteRef/>
      </w:r>
      <w:r w:rsidRPr="009C724F">
        <w:rPr>
          <w:rFonts w:ascii="Times New Roman" w:hAnsi="Times New Roman" w:cs="Times New Roman"/>
          <w:sz w:val="20"/>
          <w:szCs w:val="20"/>
        </w:rPr>
        <w:t xml:space="preserve"> </w:t>
      </w:r>
      <w:r w:rsidRPr="009C724F">
        <w:rPr>
          <w:rFonts w:ascii="Times New Roman" w:hAnsi="Times New Roman" w:cs="Times New Roman"/>
          <w:b w:val="0"/>
          <w:color w:val="auto"/>
          <w:sz w:val="20"/>
          <w:szCs w:val="20"/>
        </w:rPr>
        <w:t>Universidade do Estado do Rio de Janeiro – UERJ e Instituto de Pesquisa Econômica Aplicada – IPEA.</w:t>
      </w:r>
    </w:p>
  </w:footnote>
  <w:footnote w:id="3">
    <w:p w:rsidR="002F7518" w:rsidRPr="009C724F" w:rsidRDefault="002F7518" w:rsidP="00C432AF">
      <w:pPr>
        <w:pStyle w:val="Ttulo3"/>
        <w:spacing w:before="0" w:line="240" w:lineRule="auto"/>
        <w:jc w:val="both"/>
        <w:rPr>
          <w:rFonts w:ascii="Times New Roman" w:hAnsi="Times New Roman" w:cs="Times New Roman"/>
          <w:color w:val="auto"/>
          <w:sz w:val="20"/>
          <w:szCs w:val="20"/>
        </w:rPr>
      </w:pPr>
      <w:r w:rsidRPr="009C724F">
        <w:rPr>
          <w:rStyle w:val="Refdenotaderodap"/>
          <w:rFonts w:ascii="Times New Roman" w:hAnsi="Times New Roman" w:cs="Times New Roman"/>
          <w:sz w:val="20"/>
          <w:szCs w:val="20"/>
        </w:rPr>
        <w:footnoteRef/>
      </w:r>
      <w:r w:rsidRPr="009C724F">
        <w:rPr>
          <w:rFonts w:ascii="Times New Roman" w:hAnsi="Times New Roman" w:cs="Times New Roman"/>
          <w:sz w:val="20"/>
          <w:szCs w:val="20"/>
        </w:rPr>
        <w:t xml:space="preserve"> </w:t>
      </w:r>
      <w:r w:rsidRPr="009C724F">
        <w:rPr>
          <w:rFonts w:ascii="Times New Roman" w:hAnsi="Times New Roman" w:cs="Times New Roman"/>
          <w:b w:val="0"/>
          <w:color w:val="auto"/>
          <w:sz w:val="20"/>
          <w:szCs w:val="20"/>
        </w:rPr>
        <w:t>Universidade do Estado do Rio de Janeiro – UERJ.</w:t>
      </w:r>
    </w:p>
    <w:p w:rsidR="002F7518" w:rsidRDefault="002F7518">
      <w:pPr>
        <w:pStyle w:val="Textodenotaderodap"/>
      </w:pPr>
    </w:p>
  </w:footnote>
  <w:footnote w:id="4">
    <w:p w:rsidR="002F7518" w:rsidRDefault="002F7518" w:rsidP="00694342">
      <w:pPr>
        <w:pStyle w:val="Textodenotaderodap"/>
      </w:pPr>
      <w:r>
        <w:rPr>
          <w:rStyle w:val="Refdenotaderodap"/>
        </w:rPr>
        <w:footnoteRef/>
      </w:r>
      <w:r>
        <w:t xml:space="preserve"> AM/PF – Política Monetária Ativa e Política Fiscal Passiva.</w:t>
      </w:r>
    </w:p>
  </w:footnote>
  <w:footnote w:id="5">
    <w:p w:rsidR="002F7518" w:rsidRDefault="002F7518" w:rsidP="0043702E">
      <w:pPr>
        <w:pStyle w:val="Textodenotaderodap"/>
      </w:pPr>
      <w:r>
        <w:rPr>
          <w:rStyle w:val="Refdenotaderodap"/>
        </w:rPr>
        <w:footnoteRef/>
      </w:r>
      <w:r>
        <w:t xml:space="preserve"> São consumidores que </w:t>
      </w:r>
      <w:r w:rsidRPr="009D0205">
        <w:t>possuem horizonte de vida infinito e a decisão de consumo é baseada numa restrição orçamentária intertemporal</w:t>
      </w:r>
      <w:r>
        <w:t>.</w:t>
      </w:r>
    </w:p>
  </w:footnote>
  <w:footnote w:id="6">
    <w:p w:rsidR="002F7518" w:rsidRDefault="002F7518" w:rsidP="0043702E">
      <w:pPr>
        <w:pStyle w:val="Textodenotaderodap"/>
      </w:pPr>
      <w:r>
        <w:rPr>
          <w:rStyle w:val="Refdenotaderodap"/>
        </w:rPr>
        <w:footnoteRef/>
      </w:r>
      <w:r>
        <w:t xml:space="preserve"> São consumidores que </w:t>
      </w:r>
      <w:r w:rsidRPr="009D0205">
        <w:t>não emprestam e nem tomam emprestado, consomem toda a renda do trabalho</w:t>
      </w:r>
      <w:r>
        <w:t>.</w:t>
      </w:r>
    </w:p>
  </w:footnote>
  <w:footnote w:id="7">
    <w:p w:rsidR="002F7518" w:rsidRDefault="002F7518" w:rsidP="00CA546F">
      <w:pPr>
        <w:pStyle w:val="Textodenotaderodap"/>
      </w:pPr>
      <w:r>
        <w:rPr>
          <w:rStyle w:val="Refdenotaderodap"/>
        </w:rPr>
        <w:footnoteRef/>
      </w:r>
      <w:r w:rsidRPr="007C2B0D">
        <w:t>Metodologia extraída do TD 1285a, IPEA. Ver Lima, Maka e Mendonça (2007).</w:t>
      </w:r>
    </w:p>
  </w:footnote>
  <w:footnote w:id="8">
    <w:p w:rsidR="002F7518" w:rsidRDefault="002F7518">
      <w:pPr>
        <w:pStyle w:val="Textodenotaderodap"/>
      </w:pPr>
      <w:r>
        <w:rPr>
          <w:rStyle w:val="Refdenotaderodap"/>
        </w:rPr>
        <w:footnoteRef/>
      </w:r>
      <w:r>
        <w:t xml:space="preserve"> </w:t>
      </w:r>
      <w:r w:rsidRPr="007532C1">
        <w:t>Ver resultado</w:t>
      </w:r>
      <w:r>
        <w:t>s</w:t>
      </w:r>
      <w:r w:rsidRPr="007532C1">
        <w:t xml:space="preserve"> do teste</w:t>
      </w:r>
      <w:r>
        <w:t xml:space="preserve"> ADF e demais testes dos resíduos</w:t>
      </w:r>
      <w:r w:rsidRPr="007532C1">
        <w:t xml:space="preserve"> </w:t>
      </w:r>
      <w:r>
        <w:t>em Barros (2012)</w:t>
      </w:r>
      <w:r w:rsidRPr="007532C1">
        <w:t>.</w:t>
      </w:r>
    </w:p>
  </w:footnote>
  <w:footnote w:id="9">
    <w:p w:rsidR="002F7518" w:rsidRDefault="002F7518">
      <w:pPr>
        <w:pStyle w:val="Textodenotaderodap"/>
      </w:pPr>
      <w:r>
        <w:rPr>
          <w:rStyle w:val="Refdenotaderodap"/>
        </w:rPr>
        <w:footnoteRef/>
      </w:r>
      <w:r>
        <w:t xml:space="preserve"> Mínimos Quadrados Ordinários.</w:t>
      </w:r>
    </w:p>
  </w:footnote>
  <w:footnote w:id="10">
    <w:p w:rsidR="002F7518" w:rsidRDefault="002F7518">
      <w:pPr>
        <w:pStyle w:val="Textodenotaderodap"/>
      </w:pPr>
      <w:r>
        <w:rPr>
          <w:rStyle w:val="Refdenotaderodap"/>
        </w:rPr>
        <w:footnoteRef/>
      </w:r>
      <w:r w:rsidRPr="009E642B">
        <w:t>Markov-Switching</w:t>
      </w:r>
      <w:r>
        <w:t>.</w:t>
      </w:r>
    </w:p>
  </w:footnote>
  <w:footnote w:id="11">
    <w:p w:rsidR="002F7518" w:rsidRDefault="002F7518" w:rsidP="00CA546F">
      <w:pPr>
        <w:pStyle w:val="Textodenotaderodap"/>
      </w:pPr>
      <w:r>
        <w:rPr>
          <w:rStyle w:val="Refdenotaderodap"/>
        </w:rPr>
        <w:footnoteRef/>
      </w:r>
      <w:r>
        <w:t xml:space="preserve"> Para maiores detalhes sobre este tema ver Woodford (2003).</w:t>
      </w:r>
    </w:p>
  </w:footnote>
  <w:footnote w:id="12">
    <w:p w:rsidR="002F7518" w:rsidRDefault="002F7518" w:rsidP="00CA546F">
      <w:pPr>
        <w:pStyle w:val="Textodenotaderodap"/>
        <w:jc w:val="both"/>
      </w:pPr>
      <w:r>
        <w:rPr>
          <w:rStyle w:val="Refdenotaderodap"/>
        </w:rPr>
        <w:footnoteRef/>
      </w:r>
      <w:r w:rsidRPr="004978AB">
        <w:t>Valores de coeficientes da taxa de inflação próximos aos estimados por Carvalho e Valli (2010), Silva e Portugal (2010), Nunes e Portugal (2009) e Barbosa e Soares (2006). Cabe destacar que Cavalcanti e Vereda (2011) em trabalho intitulado “Propriedades Dinâmicas de um Modelo DSGE com Parametrizações Alternativas para o Brasil” utiliza</w:t>
      </w:r>
      <w:r>
        <w:t>m valores na faixa [1,5;</w:t>
      </w:r>
      <w:r w:rsidRPr="004978AB">
        <w:t>3].</w:t>
      </w:r>
    </w:p>
  </w:footnote>
  <w:footnote w:id="13">
    <w:p w:rsidR="002F7518" w:rsidRDefault="002F7518">
      <w:pPr>
        <w:pStyle w:val="Textodenotaderodap"/>
      </w:pPr>
      <w:r>
        <w:rPr>
          <w:rStyle w:val="Refdenotaderodap"/>
        </w:rPr>
        <w:footnoteRef/>
      </w:r>
      <w:r>
        <w:t xml:space="preserve"> Todos os resultados dos testes podem ser vistos em Barros (2012).</w:t>
      </w:r>
    </w:p>
  </w:footnote>
  <w:footnote w:id="14">
    <w:p w:rsidR="002F7518" w:rsidRDefault="002F7518">
      <w:pPr>
        <w:pStyle w:val="Textodenotaderodap"/>
      </w:pPr>
      <w:r>
        <w:rPr>
          <w:rStyle w:val="Refdenotaderodap"/>
        </w:rPr>
        <w:footnoteRef/>
      </w:r>
      <w:r>
        <w:t xml:space="preserve"> Os testes de cointegração são apresentados em anexo deste trabalho.</w:t>
      </w:r>
    </w:p>
  </w:footnote>
  <w:footnote w:id="15">
    <w:p w:rsidR="002F7518" w:rsidRDefault="002F7518" w:rsidP="00694342">
      <w:pPr>
        <w:pStyle w:val="Textodenotaderodap"/>
      </w:pPr>
      <w:r>
        <w:rPr>
          <w:rStyle w:val="Refdenotaderodap"/>
        </w:rPr>
        <w:footnoteRef/>
      </w:r>
      <w:r>
        <w:t xml:space="preserve"> Para informações detalhadas da introdução de dummies e procedimento completo, ver Barros (2012).</w:t>
      </w:r>
    </w:p>
  </w:footnote>
  <w:footnote w:id="16">
    <w:p w:rsidR="002F7518" w:rsidRDefault="002F7518" w:rsidP="00694342">
      <w:pPr>
        <w:pStyle w:val="Textodenotaderodap"/>
      </w:pPr>
      <w:r>
        <w:rPr>
          <w:rStyle w:val="Refdenotaderodap"/>
        </w:rPr>
        <w:footnoteRef/>
      </w:r>
      <w:r>
        <w:t xml:space="preserve"> Metodologia retirada de Davig e Leeper (2011).</w:t>
      </w:r>
    </w:p>
  </w:footnote>
  <w:footnote w:id="17">
    <w:p w:rsidR="002F7518" w:rsidRDefault="002F7518" w:rsidP="00DE1791">
      <w:pPr>
        <w:pStyle w:val="Textodenotaderodap"/>
      </w:pPr>
      <w:r>
        <w:rPr>
          <w:rStyle w:val="Refdenotaderodap"/>
        </w:rPr>
        <w:footnoteRef/>
      </w:r>
      <w:r>
        <w:t xml:space="preserve"> O modelo é resolvido em sua forma não-linear. O procedimento é desenvolvido e descrito em Davig e Leeper (2006).</w:t>
      </w:r>
    </w:p>
  </w:footnote>
  <w:footnote w:id="18">
    <w:p w:rsidR="002F7518" w:rsidRDefault="002F7518">
      <w:pPr>
        <w:pStyle w:val="Textodenotaderodap"/>
      </w:pPr>
      <w:r>
        <w:rPr>
          <w:rStyle w:val="Refdenotaderodap"/>
        </w:rPr>
        <w:footnoteRef/>
      </w:r>
      <w:r w:rsidRPr="009C2755">
        <w:t>É caracterizada também como situação de dominância monetária</w:t>
      </w:r>
      <w:r>
        <w:t>.</w:t>
      </w:r>
    </w:p>
  </w:footnote>
  <w:footnote w:id="19">
    <w:p w:rsidR="002F7518" w:rsidRDefault="002F7518">
      <w:pPr>
        <w:jc w:val="both"/>
      </w:pPr>
      <w:r>
        <w:rPr>
          <w:rStyle w:val="Refdenotaderodap"/>
        </w:rPr>
        <w:footnoteRef/>
      </w:r>
      <w:r>
        <w:rPr>
          <w:sz w:val="20"/>
          <w:szCs w:val="20"/>
        </w:rPr>
        <w:t>O resultado convencional sugere um aumento da taxa de inflação corrente, ver Davig e Leeper (2011). Em Vereda e Cavalcanti (2011) – TD nº 1588 – IPEA, os autores também obtiveram queda imediata da taxa de inflação como resposta a um choque positivo dos gastos do governo. “</w:t>
      </w:r>
      <w:r w:rsidRPr="00133B2C">
        <w:rPr>
          <w:i/>
          <w:sz w:val="20"/>
          <w:szCs w:val="20"/>
        </w:rPr>
        <w:t>Em relação à resposta da inflação, como seria de se esperar, o efeito dos choques tende a ser menor, quanto maior o grau de rigidez nominal na economia. Um ponto interessante diz respeito ao efeito inicial de um choque de gasto público sobre a inflação: para valores baixos de rigidez nominal, o aumento do gasto público causa um aumento imediato da inflação (que, posteriormente, cai em virtude do aumento da taxa de juros), enquanto para valores altos de rigidez a inflação começa a cair imediatamente após o choque</w:t>
      </w:r>
      <w:r w:rsidRPr="00133B2C">
        <w:rPr>
          <w:sz w:val="20"/>
          <w:szCs w:val="20"/>
        </w:rPr>
        <w:t>.</w:t>
      </w:r>
      <w:r>
        <w:rPr>
          <w:sz w:val="20"/>
          <w:szCs w:val="20"/>
        </w:rPr>
        <w:t>”</w:t>
      </w:r>
    </w:p>
  </w:footnote>
  <w:footnote w:id="20">
    <w:p w:rsidR="002F7518" w:rsidRDefault="002F7518">
      <w:pPr>
        <w:pStyle w:val="Textodenotaderodap"/>
      </w:pPr>
      <w:r>
        <w:rPr>
          <w:rStyle w:val="Refdenotaderodap"/>
        </w:rPr>
        <w:footnoteRef/>
      </w:r>
      <w:r w:rsidRPr="009C2755">
        <w:t>Valores dos coeficientes do hiato do produto estão próximos aos estimados por Nunes e Portugal (2009) e Barbosa e Soares (2006). Porém, os trabalhos de Silva e Portugal (2010), Salgado, Garcia e Medeiros (2005), e Minella</w:t>
      </w:r>
      <w:r>
        <w:t xml:space="preserve"> </w:t>
      </w:r>
      <w:r w:rsidRPr="009C2755">
        <w:t>et</w:t>
      </w:r>
      <w:r>
        <w:t xml:space="preserve"> </w:t>
      </w:r>
      <w:r w:rsidRPr="009C2755">
        <w:t>al</w:t>
      </w:r>
      <w:r>
        <w:t>.</w:t>
      </w:r>
      <w:r w:rsidRPr="009C2755">
        <w:t xml:space="preserve"> (2003) encontraram valores na faixa</w:t>
      </w:r>
      <w:r>
        <w:t xml:space="preserve"> </w:t>
      </w:r>
      <w:r w:rsidRPr="009C2755">
        <w:t>[0; 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6D08"/>
    <w:multiLevelType w:val="hybridMultilevel"/>
    <w:tmpl w:val="546625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844C6"/>
    <w:multiLevelType w:val="multilevel"/>
    <w:tmpl w:val="393C241A"/>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714172"/>
    <w:multiLevelType w:val="multilevel"/>
    <w:tmpl w:val="0E8E99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8BF13B5"/>
    <w:multiLevelType w:val="multilevel"/>
    <w:tmpl w:val="CA385436"/>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4AE5FA1"/>
    <w:multiLevelType w:val="multilevel"/>
    <w:tmpl w:val="1BC0E3A8"/>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BD5351B"/>
    <w:multiLevelType w:val="multilevel"/>
    <w:tmpl w:val="DDDCD3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739637D"/>
    <w:multiLevelType w:val="hybridMultilevel"/>
    <w:tmpl w:val="3A7AC06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64130264"/>
    <w:multiLevelType w:val="multilevel"/>
    <w:tmpl w:val="BE92923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B8C292C"/>
    <w:multiLevelType w:val="multilevel"/>
    <w:tmpl w:val="FA16C38A"/>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04F4BCA"/>
    <w:multiLevelType w:val="hybridMultilevel"/>
    <w:tmpl w:val="953E0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6EB6360"/>
    <w:multiLevelType w:val="multilevel"/>
    <w:tmpl w:val="9AB8306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6EF7256"/>
    <w:multiLevelType w:val="multilevel"/>
    <w:tmpl w:val="A7D64C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8"/>
  </w:num>
  <w:num w:numId="4">
    <w:abstractNumId w:val="0"/>
  </w:num>
  <w:num w:numId="5">
    <w:abstractNumId w:val="5"/>
  </w:num>
  <w:num w:numId="6">
    <w:abstractNumId w:val="4"/>
  </w:num>
  <w:num w:numId="7">
    <w:abstractNumId w:val="11"/>
  </w:num>
  <w:num w:numId="8">
    <w:abstractNumId w:val="2"/>
  </w:num>
  <w:num w:numId="9">
    <w:abstractNumId w:val="6"/>
  </w:num>
  <w:num w:numId="10">
    <w:abstractNumId w:val="10"/>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85616"/>
    <w:rsid w:val="000040AC"/>
    <w:rsid w:val="0001602F"/>
    <w:rsid w:val="0002316E"/>
    <w:rsid w:val="00064689"/>
    <w:rsid w:val="000A2F6E"/>
    <w:rsid w:val="000C4641"/>
    <w:rsid w:val="000E68CB"/>
    <w:rsid w:val="00112C86"/>
    <w:rsid w:val="00120783"/>
    <w:rsid w:val="0012230E"/>
    <w:rsid w:val="00133B2C"/>
    <w:rsid w:val="00164B17"/>
    <w:rsid w:val="001E38C3"/>
    <w:rsid w:val="001F2B06"/>
    <w:rsid w:val="00205E4D"/>
    <w:rsid w:val="002349F1"/>
    <w:rsid w:val="00247CB5"/>
    <w:rsid w:val="00264FA0"/>
    <w:rsid w:val="00282B29"/>
    <w:rsid w:val="002B610C"/>
    <w:rsid w:val="002C33FA"/>
    <w:rsid w:val="002E111B"/>
    <w:rsid w:val="002F278D"/>
    <w:rsid w:val="002F6749"/>
    <w:rsid w:val="002F7518"/>
    <w:rsid w:val="00314AC8"/>
    <w:rsid w:val="00343724"/>
    <w:rsid w:val="00380F45"/>
    <w:rsid w:val="003814AB"/>
    <w:rsid w:val="0038276B"/>
    <w:rsid w:val="0039406C"/>
    <w:rsid w:val="003E22BE"/>
    <w:rsid w:val="003F5E28"/>
    <w:rsid w:val="00426681"/>
    <w:rsid w:val="0043702E"/>
    <w:rsid w:val="00490FEF"/>
    <w:rsid w:val="004D4372"/>
    <w:rsid w:val="004E4238"/>
    <w:rsid w:val="00536497"/>
    <w:rsid w:val="00552197"/>
    <w:rsid w:val="005A402A"/>
    <w:rsid w:val="005D2C96"/>
    <w:rsid w:val="00607169"/>
    <w:rsid w:val="0062679A"/>
    <w:rsid w:val="00634AF9"/>
    <w:rsid w:val="006461A6"/>
    <w:rsid w:val="00651250"/>
    <w:rsid w:val="006842C9"/>
    <w:rsid w:val="00694342"/>
    <w:rsid w:val="00696F08"/>
    <w:rsid w:val="006A3079"/>
    <w:rsid w:val="006C1D1D"/>
    <w:rsid w:val="00737ACE"/>
    <w:rsid w:val="007601D3"/>
    <w:rsid w:val="007666DB"/>
    <w:rsid w:val="00781848"/>
    <w:rsid w:val="007E253D"/>
    <w:rsid w:val="007E6183"/>
    <w:rsid w:val="007F626F"/>
    <w:rsid w:val="00822229"/>
    <w:rsid w:val="00830FC8"/>
    <w:rsid w:val="008342FE"/>
    <w:rsid w:val="00854C3B"/>
    <w:rsid w:val="00857B34"/>
    <w:rsid w:val="00873800"/>
    <w:rsid w:val="008B0352"/>
    <w:rsid w:val="008B277D"/>
    <w:rsid w:val="008B698C"/>
    <w:rsid w:val="008D1EE5"/>
    <w:rsid w:val="008F6AB3"/>
    <w:rsid w:val="00937596"/>
    <w:rsid w:val="0096126F"/>
    <w:rsid w:val="009C724F"/>
    <w:rsid w:val="009E642B"/>
    <w:rsid w:val="00A14160"/>
    <w:rsid w:val="00A600DE"/>
    <w:rsid w:val="00AC39D1"/>
    <w:rsid w:val="00B10E2D"/>
    <w:rsid w:val="00B21F91"/>
    <w:rsid w:val="00B26FC8"/>
    <w:rsid w:val="00B273D7"/>
    <w:rsid w:val="00B37DA0"/>
    <w:rsid w:val="00B65905"/>
    <w:rsid w:val="00B719E8"/>
    <w:rsid w:val="00B90A8E"/>
    <w:rsid w:val="00BA08C0"/>
    <w:rsid w:val="00BB2AA7"/>
    <w:rsid w:val="00BE111A"/>
    <w:rsid w:val="00BF6733"/>
    <w:rsid w:val="00C3703C"/>
    <w:rsid w:val="00C432AF"/>
    <w:rsid w:val="00C7333E"/>
    <w:rsid w:val="00C74575"/>
    <w:rsid w:val="00C85616"/>
    <w:rsid w:val="00C85C6A"/>
    <w:rsid w:val="00CA546F"/>
    <w:rsid w:val="00CA7067"/>
    <w:rsid w:val="00CB2635"/>
    <w:rsid w:val="00CD2A1C"/>
    <w:rsid w:val="00CD2FD1"/>
    <w:rsid w:val="00CF282C"/>
    <w:rsid w:val="00D13ECF"/>
    <w:rsid w:val="00D20105"/>
    <w:rsid w:val="00D2223F"/>
    <w:rsid w:val="00D34ED6"/>
    <w:rsid w:val="00D43CB8"/>
    <w:rsid w:val="00D45DA5"/>
    <w:rsid w:val="00D539EB"/>
    <w:rsid w:val="00D66D12"/>
    <w:rsid w:val="00DB09B8"/>
    <w:rsid w:val="00DB1285"/>
    <w:rsid w:val="00DC5D62"/>
    <w:rsid w:val="00DE1791"/>
    <w:rsid w:val="00DF1215"/>
    <w:rsid w:val="00E02BDD"/>
    <w:rsid w:val="00E16B7D"/>
    <w:rsid w:val="00E34401"/>
    <w:rsid w:val="00E47240"/>
    <w:rsid w:val="00E659AE"/>
    <w:rsid w:val="00E940B8"/>
    <w:rsid w:val="00EB57C9"/>
    <w:rsid w:val="00EC5F42"/>
    <w:rsid w:val="00ED6BB3"/>
    <w:rsid w:val="00F376A8"/>
    <w:rsid w:val="00F4718D"/>
    <w:rsid w:val="00F5265E"/>
    <w:rsid w:val="00F560B6"/>
    <w:rsid w:val="00F60E62"/>
    <w:rsid w:val="00FC3AC8"/>
    <w:rsid w:val="00FE2C4A"/>
    <w:rsid w:val="00FF66A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397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16"/>
    <w:pPr>
      <w:ind w:left="0"/>
      <w:jc w:val="left"/>
    </w:pPr>
    <w:rPr>
      <w:rFonts w:ascii="Times New Roman" w:eastAsia="Times New Roman" w:hAnsi="Times New Roman" w:cs="Times New Roman"/>
      <w:sz w:val="24"/>
      <w:szCs w:val="24"/>
      <w:lang w:eastAsia="pt-BR"/>
    </w:rPr>
  </w:style>
  <w:style w:type="paragraph" w:styleId="Ttulo3">
    <w:name w:val="heading 3"/>
    <w:basedOn w:val="Normal"/>
    <w:next w:val="Normal"/>
    <w:link w:val="Ttulo3Char"/>
    <w:uiPriority w:val="9"/>
    <w:unhideWhenUsed/>
    <w:qFormat/>
    <w:rsid w:val="0001602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5616"/>
    <w:pPr>
      <w:spacing w:after="200" w:line="276" w:lineRule="auto"/>
      <w:ind w:left="720"/>
      <w:contextualSpacing/>
    </w:pPr>
    <w:rPr>
      <w:rFonts w:ascii="Calibri" w:eastAsia="Calibri" w:hAnsi="Calibri"/>
      <w:sz w:val="22"/>
      <w:szCs w:val="22"/>
      <w:lang w:eastAsia="en-US"/>
    </w:rPr>
  </w:style>
  <w:style w:type="paragraph" w:styleId="Textodenotaderodap">
    <w:name w:val="footnote text"/>
    <w:basedOn w:val="Normal"/>
    <w:link w:val="TextodenotaderodapChar"/>
    <w:uiPriority w:val="99"/>
    <w:semiHidden/>
    <w:rsid w:val="00E34401"/>
    <w:rPr>
      <w:sz w:val="20"/>
      <w:szCs w:val="20"/>
    </w:rPr>
  </w:style>
  <w:style w:type="character" w:customStyle="1" w:styleId="TextodenotaderodapChar">
    <w:name w:val="Texto de nota de rodapé Char"/>
    <w:basedOn w:val="Fontepargpadro"/>
    <w:link w:val="Textodenotaderodap"/>
    <w:uiPriority w:val="99"/>
    <w:semiHidden/>
    <w:rsid w:val="00E34401"/>
    <w:rPr>
      <w:rFonts w:ascii="Times New Roman" w:eastAsia="Times New Roman" w:hAnsi="Times New Roman" w:cs="Times New Roman"/>
      <w:sz w:val="20"/>
      <w:szCs w:val="20"/>
      <w:lang w:eastAsia="pt-BR"/>
    </w:rPr>
  </w:style>
  <w:style w:type="character" w:styleId="Refdenotaderodap">
    <w:name w:val="footnote reference"/>
    <w:uiPriority w:val="99"/>
    <w:semiHidden/>
    <w:rsid w:val="00E34401"/>
    <w:rPr>
      <w:vertAlign w:val="superscript"/>
    </w:rPr>
  </w:style>
  <w:style w:type="paragraph" w:styleId="Textodebalo">
    <w:name w:val="Balloon Text"/>
    <w:basedOn w:val="Normal"/>
    <w:link w:val="TextodebaloChar"/>
    <w:uiPriority w:val="99"/>
    <w:semiHidden/>
    <w:unhideWhenUsed/>
    <w:rsid w:val="00E34401"/>
    <w:rPr>
      <w:rFonts w:ascii="Tahoma" w:hAnsi="Tahoma" w:cs="Tahoma"/>
      <w:sz w:val="16"/>
      <w:szCs w:val="16"/>
    </w:rPr>
  </w:style>
  <w:style w:type="character" w:customStyle="1" w:styleId="TextodebaloChar">
    <w:name w:val="Texto de balão Char"/>
    <w:basedOn w:val="Fontepargpadro"/>
    <w:link w:val="Textodebalo"/>
    <w:uiPriority w:val="99"/>
    <w:semiHidden/>
    <w:rsid w:val="00E34401"/>
    <w:rPr>
      <w:rFonts w:ascii="Tahoma" w:eastAsia="Times New Roman" w:hAnsi="Tahoma" w:cs="Tahoma"/>
      <w:sz w:val="16"/>
      <w:szCs w:val="16"/>
      <w:lang w:eastAsia="pt-BR"/>
    </w:rPr>
  </w:style>
  <w:style w:type="character" w:styleId="Hyperlink">
    <w:name w:val="Hyperlink"/>
    <w:uiPriority w:val="99"/>
    <w:rsid w:val="00694342"/>
    <w:rPr>
      <w:color w:val="0000FF"/>
      <w:u w:val="single"/>
    </w:rPr>
  </w:style>
  <w:style w:type="paragraph" w:styleId="Corpodetexto3">
    <w:name w:val="Body Text 3"/>
    <w:basedOn w:val="Normal"/>
    <w:link w:val="Corpodetexto3Char"/>
    <w:uiPriority w:val="99"/>
    <w:rsid w:val="00694342"/>
    <w:pPr>
      <w:spacing w:after="120"/>
    </w:pPr>
    <w:rPr>
      <w:sz w:val="16"/>
      <w:szCs w:val="16"/>
    </w:rPr>
  </w:style>
  <w:style w:type="character" w:customStyle="1" w:styleId="Corpodetexto3Char">
    <w:name w:val="Corpo de texto 3 Char"/>
    <w:basedOn w:val="Fontepargpadro"/>
    <w:link w:val="Corpodetexto3"/>
    <w:uiPriority w:val="99"/>
    <w:rsid w:val="00694342"/>
    <w:rPr>
      <w:rFonts w:ascii="Times New Roman" w:eastAsia="Times New Roman" w:hAnsi="Times New Roman" w:cs="Times New Roman"/>
      <w:sz w:val="16"/>
      <w:szCs w:val="16"/>
      <w:lang w:eastAsia="pt-BR"/>
    </w:rPr>
  </w:style>
  <w:style w:type="paragraph" w:styleId="Cabealho">
    <w:name w:val="header"/>
    <w:basedOn w:val="Normal"/>
    <w:link w:val="CabealhoChar"/>
    <w:uiPriority w:val="99"/>
    <w:rsid w:val="00CA546F"/>
    <w:pPr>
      <w:tabs>
        <w:tab w:val="center" w:pos="4419"/>
        <w:tab w:val="right" w:pos="8838"/>
      </w:tabs>
    </w:pPr>
  </w:style>
  <w:style w:type="character" w:customStyle="1" w:styleId="CabealhoChar">
    <w:name w:val="Cabeçalho Char"/>
    <w:basedOn w:val="Fontepargpadro"/>
    <w:link w:val="Cabealho"/>
    <w:uiPriority w:val="99"/>
    <w:rsid w:val="00CA546F"/>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01602F"/>
    <w:rPr>
      <w:rFonts w:asciiTheme="majorHAnsi" w:eastAsiaTheme="majorEastAsia" w:hAnsiTheme="majorHAnsi" w:cstheme="majorBidi"/>
      <w:b/>
      <w:bCs/>
      <w:color w:val="4F81BD" w:themeColor="accent1"/>
      <w:lang w:eastAsia="ja-JP"/>
    </w:rPr>
  </w:style>
  <w:style w:type="character" w:customStyle="1" w:styleId="apple-style-span">
    <w:name w:val="apple-style-span"/>
    <w:basedOn w:val="Fontepargpadro"/>
    <w:rsid w:val="0001602F"/>
  </w:style>
  <w:style w:type="paragraph" w:styleId="Rodap">
    <w:name w:val="footer"/>
    <w:basedOn w:val="Normal"/>
    <w:link w:val="RodapChar"/>
    <w:uiPriority w:val="99"/>
    <w:semiHidden/>
    <w:unhideWhenUsed/>
    <w:rsid w:val="000C4641"/>
    <w:pPr>
      <w:tabs>
        <w:tab w:val="center" w:pos="4252"/>
        <w:tab w:val="right" w:pos="8504"/>
      </w:tabs>
    </w:pPr>
  </w:style>
  <w:style w:type="character" w:customStyle="1" w:styleId="RodapChar">
    <w:name w:val="Rodapé Char"/>
    <w:basedOn w:val="Fontepargpadro"/>
    <w:link w:val="Rodap"/>
    <w:uiPriority w:val="99"/>
    <w:semiHidden/>
    <w:rsid w:val="000C4641"/>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D4372"/>
    <w:rPr>
      <w:sz w:val="16"/>
      <w:szCs w:val="16"/>
    </w:rPr>
  </w:style>
  <w:style w:type="paragraph" w:styleId="Textodecomentrio">
    <w:name w:val="annotation text"/>
    <w:basedOn w:val="Normal"/>
    <w:link w:val="TextodecomentrioChar"/>
    <w:uiPriority w:val="99"/>
    <w:semiHidden/>
    <w:unhideWhenUsed/>
    <w:rsid w:val="004D4372"/>
    <w:rPr>
      <w:sz w:val="20"/>
      <w:szCs w:val="20"/>
    </w:rPr>
  </w:style>
  <w:style w:type="character" w:customStyle="1" w:styleId="TextodecomentrioChar">
    <w:name w:val="Texto de comentário Char"/>
    <w:basedOn w:val="Fontepargpadro"/>
    <w:link w:val="Textodecomentrio"/>
    <w:uiPriority w:val="99"/>
    <w:semiHidden/>
    <w:rsid w:val="004D4372"/>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4D4372"/>
    <w:rPr>
      <w:b/>
      <w:bCs/>
    </w:rPr>
  </w:style>
  <w:style w:type="character" w:customStyle="1" w:styleId="AssuntodocomentrioChar">
    <w:name w:val="Assunto do comentário Char"/>
    <w:basedOn w:val="TextodecomentrioChar"/>
    <w:link w:val="Assuntodocomentrio"/>
    <w:uiPriority w:val="99"/>
    <w:semiHidden/>
    <w:rsid w:val="004D4372"/>
    <w:rPr>
      <w:rFonts w:ascii="Times New Roman" w:eastAsia="Times New Roman" w:hAnsi="Times New Roman" w:cs="Times New Roman"/>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ind w:left="397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16"/>
    <w:pPr>
      <w:ind w:left="0"/>
      <w:jc w:val="left"/>
    </w:pPr>
    <w:rPr>
      <w:rFonts w:ascii="Times New Roman" w:eastAsia="Times New Roman" w:hAnsi="Times New Roman" w:cs="Times New Roman"/>
      <w:sz w:val="24"/>
      <w:szCs w:val="24"/>
      <w:lang w:eastAsia="pt-BR"/>
    </w:rPr>
  </w:style>
  <w:style w:type="paragraph" w:styleId="Ttulo3">
    <w:name w:val="heading 3"/>
    <w:basedOn w:val="Normal"/>
    <w:next w:val="Normal"/>
    <w:link w:val="Ttulo3Char"/>
    <w:uiPriority w:val="9"/>
    <w:semiHidden/>
    <w:unhideWhenUsed/>
    <w:qFormat/>
    <w:rsid w:val="0001602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5616"/>
    <w:pPr>
      <w:spacing w:after="200" w:line="276" w:lineRule="auto"/>
      <w:ind w:left="720"/>
      <w:contextualSpacing/>
    </w:pPr>
    <w:rPr>
      <w:rFonts w:ascii="Calibri" w:eastAsia="Calibri" w:hAnsi="Calibri"/>
      <w:sz w:val="22"/>
      <w:szCs w:val="22"/>
      <w:lang w:eastAsia="en-US"/>
    </w:rPr>
  </w:style>
  <w:style w:type="paragraph" w:styleId="Textodenotaderodap">
    <w:name w:val="footnote text"/>
    <w:basedOn w:val="Normal"/>
    <w:link w:val="TextodenotaderodapChar"/>
    <w:uiPriority w:val="99"/>
    <w:semiHidden/>
    <w:rsid w:val="00E34401"/>
    <w:rPr>
      <w:sz w:val="20"/>
      <w:szCs w:val="20"/>
    </w:rPr>
  </w:style>
  <w:style w:type="character" w:customStyle="1" w:styleId="TextodenotaderodapChar">
    <w:name w:val="Texto de nota de rodapé Char"/>
    <w:basedOn w:val="Fontepargpadro"/>
    <w:link w:val="Textodenotaderodap"/>
    <w:uiPriority w:val="99"/>
    <w:semiHidden/>
    <w:rsid w:val="00E34401"/>
    <w:rPr>
      <w:rFonts w:ascii="Times New Roman" w:eastAsia="Times New Roman" w:hAnsi="Times New Roman" w:cs="Times New Roman"/>
      <w:sz w:val="20"/>
      <w:szCs w:val="20"/>
      <w:lang w:eastAsia="pt-BR"/>
    </w:rPr>
  </w:style>
  <w:style w:type="character" w:styleId="Refdenotaderodap">
    <w:name w:val="footnote reference"/>
    <w:uiPriority w:val="99"/>
    <w:semiHidden/>
    <w:rsid w:val="00E34401"/>
    <w:rPr>
      <w:vertAlign w:val="superscript"/>
    </w:rPr>
  </w:style>
  <w:style w:type="paragraph" w:styleId="Textodebalo">
    <w:name w:val="Balloon Text"/>
    <w:basedOn w:val="Normal"/>
    <w:link w:val="TextodebaloChar"/>
    <w:uiPriority w:val="99"/>
    <w:semiHidden/>
    <w:unhideWhenUsed/>
    <w:rsid w:val="00E34401"/>
    <w:rPr>
      <w:rFonts w:ascii="Tahoma" w:hAnsi="Tahoma" w:cs="Tahoma"/>
      <w:sz w:val="16"/>
      <w:szCs w:val="16"/>
    </w:rPr>
  </w:style>
  <w:style w:type="character" w:customStyle="1" w:styleId="TextodebaloChar">
    <w:name w:val="Texto de balão Char"/>
    <w:basedOn w:val="Fontepargpadro"/>
    <w:link w:val="Textodebalo"/>
    <w:uiPriority w:val="99"/>
    <w:semiHidden/>
    <w:rsid w:val="00E34401"/>
    <w:rPr>
      <w:rFonts w:ascii="Tahoma" w:eastAsia="Times New Roman" w:hAnsi="Tahoma" w:cs="Tahoma"/>
      <w:sz w:val="16"/>
      <w:szCs w:val="16"/>
      <w:lang w:eastAsia="pt-BR"/>
    </w:rPr>
  </w:style>
  <w:style w:type="character" w:styleId="Hyperlink">
    <w:name w:val="Hyperlink"/>
    <w:uiPriority w:val="99"/>
    <w:rsid w:val="00694342"/>
    <w:rPr>
      <w:color w:val="0000FF"/>
      <w:u w:val="single"/>
    </w:rPr>
  </w:style>
  <w:style w:type="paragraph" w:styleId="Corpodetexto3">
    <w:name w:val="Body Text 3"/>
    <w:basedOn w:val="Normal"/>
    <w:link w:val="Corpodetexto3Char"/>
    <w:uiPriority w:val="99"/>
    <w:rsid w:val="00694342"/>
    <w:pPr>
      <w:spacing w:after="120"/>
    </w:pPr>
    <w:rPr>
      <w:sz w:val="16"/>
      <w:szCs w:val="16"/>
    </w:rPr>
  </w:style>
  <w:style w:type="character" w:customStyle="1" w:styleId="Corpodetexto3Char">
    <w:name w:val="Corpo de texto 3 Char"/>
    <w:basedOn w:val="Fontepargpadro"/>
    <w:link w:val="Corpodetexto3"/>
    <w:uiPriority w:val="99"/>
    <w:rsid w:val="00694342"/>
    <w:rPr>
      <w:rFonts w:ascii="Times New Roman" w:eastAsia="Times New Roman" w:hAnsi="Times New Roman" w:cs="Times New Roman"/>
      <w:sz w:val="16"/>
      <w:szCs w:val="16"/>
      <w:lang w:eastAsia="pt-BR"/>
    </w:rPr>
  </w:style>
  <w:style w:type="paragraph" w:styleId="Cabealho">
    <w:name w:val="header"/>
    <w:basedOn w:val="Normal"/>
    <w:link w:val="CabealhoChar"/>
    <w:uiPriority w:val="99"/>
    <w:rsid w:val="00CA546F"/>
    <w:pPr>
      <w:tabs>
        <w:tab w:val="center" w:pos="4419"/>
        <w:tab w:val="right" w:pos="8838"/>
      </w:tabs>
    </w:pPr>
  </w:style>
  <w:style w:type="character" w:customStyle="1" w:styleId="CabealhoChar">
    <w:name w:val="Cabeçalho Char"/>
    <w:basedOn w:val="Fontepargpadro"/>
    <w:link w:val="Cabealho"/>
    <w:uiPriority w:val="99"/>
    <w:rsid w:val="00CA546F"/>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602F"/>
    <w:rPr>
      <w:rFonts w:asciiTheme="majorHAnsi" w:eastAsiaTheme="majorEastAsia" w:hAnsiTheme="majorHAnsi" w:cstheme="majorBidi"/>
      <w:b/>
      <w:bCs/>
      <w:color w:val="4F81BD" w:themeColor="accent1"/>
      <w:lang w:eastAsia="ja-JP"/>
    </w:rPr>
  </w:style>
  <w:style w:type="character" w:customStyle="1" w:styleId="apple-style-span">
    <w:name w:val="apple-style-span"/>
    <w:basedOn w:val="Fontepargpadro"/>
    <w:rsid w:val="0001602F"/>
  </w:style>
  <w:style w:type="paragraph" w:styleId="Rodap">
    <w:name w:val="footer"/>
    <w:basedOn w:val="Normal"/>
    <w:link w:val="RodapChar"/>
    <w:uiPriority w:val="99"/>
    <w:semiHidden/>
    <w:unhideWhenUsed/>
    <w:rsid w:val="000C4641"/>
    <w:pPr>
      <w:tabs>
        <w:tab w:val="center" w:pos="4252"/>
        <w:tab w:val="right" w:pos="8504"/>
      </w:tabs>
    </w:pPr>
  </w:style>
  <w:style w:type="character" w:customStyle="1" w:styleId="RodapChar">
    <w:name w:val="Rodapé Char"/>
    <w:basedOn w:val="Fontepargpadro"/>
    <w:link w:val="Rodap"/>
    <w:uiPriority w:val="99"/>
    <w:semiHidden/>
    <w:rsid w:val="000C4641"/>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D4372"/>
    <w:rPr>
      <w:sz w:val="16"/>
      <w:szCs w:val="16"/>
    </w:rPr>
  </w:style>
  <w:style w:type="paragraph" w:styleId="Textodecomentrio">
    <w:name w:val="annotation text"/>
    <w:basedOn w:val="Normal"/>
    <w:link w:val="TextodecomentrioChar"/>
    <w:uiPriority w:val="99"/>
    <w:semiHidden/>
    <w:unhideWhenUsed/>
    <w:rsid w:val="004D4372"/>
    <w:rPr>
      <w:sz w:val="20"/>
      <w:szCs w:val="20"/>
    </w:rPr>
  </w:style>
  <w:style w:type="character" w:customStyle="1" w:styleId="TextodecomentrioChar">
    <w:name w:val="Texto de comentário Char"/>
    <w:basedOn w:val="Fontepargpadro"/>
    <w:link w:val="Textodecomentrio"/>
    <w:uiPriority w:val="99"/>
    <w:semiHidden/>
    <w:rsid w:val="004D4372"/>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4D4372"/>
    <w:rPr>
      <w:b/>
      <w:bCs/>
    </w:rPr>
  </w:style>
  <w:style w:type="character" w:customStyle="1" w:styleId="AssuntodocomentrioChar">
    <w:name w:val="Assunto do comentário Char"/>
    <w:basedOn w:val="TextodecomentrioChar"/>
    <w:link w:val="Assuntodocomentrio"/>
    <w:uiPriority w:val="99"/>
    <w:semiHidden/>
    <w:rsid w:val="004D4372"/>
    <w:rPr>
      <w:rFonts w:ascii="Times New Roman" w:eastAsia="Times New Roman" w:hAnsi="Times New Roman" w:cs="Times New Roman"/>
      <w:b/>
      <w:bCs/>
      <w:sz w:val="20"/>
      <w:szCs w:val="20"/>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1.xml"/><Relationship Id="rId28" Type="http://schemas.openxmlformats.org/officeDocument/2006/relationships/image" Target="media/image10.e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ntTable" Target="fontTable.xml"/><Relationship Id="rId35"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F:\Disserta&#231;&#227;o\receita%20e%20despesa%20fiscal\resultadoprim&#225;r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manualLayout>
          <c:layoutTarget val="inner"/>
          <c:xMode val="edge"/>
          <c:yMode val="edge"/>
          <c:x val="8.273939069071122E-2"/>
          <c:y val="4.3406112148413507E-2"/>
          <c:w val="0.88374914501473634"/>
          <c:h val="0.6221335243217605"/>
        </c:manualLayout>
      </c:layout>
      <c:lineChart>
        <c:grouping val="standard"/>
        <c:ser>
          <c:idx val="1"/>
          <c:order val="0"/>
          <c:tx>
            <c:strRef>
              <c:f>Plan1!$E$1</c:f>
              <c:strCache>
                <c:ptCount val="1"/>
                <c:pt idx="0">
                  <c:v>Divida Líquida do Governo Federal em % PIB</c:v>
                </c:pt>
              </c:strCache>
            </c:strRef>
          </c:tx>
          <c:spPr>
            <a:ln>
              <a:solidFill>
                <a:prstClr val="black"/>
              </a:solidFill>
              <a:prstDash val="sysDot"/>
            </a:ln>
          </c:spPr>
          <c:marker>
            <c:symbol val="none"/>
          </c:marker>
          <c:cat>
            <c:strRef>
              <c:f>Plan1!$A$2:$A$51</c:f>
              <c:strCache>
                <c:ptCount val="50"/>
                <c:pt idx="0">
                  <c:v>1999 T1</c:v>
                </c:pt>
                <c:pt idx="1">
                  <c:v>1999 T2</c:v>
                </c:pt>
                <c:pt idx="2">
                  <c:v>1999 T3</c:v>
                </c:pt>
                <c:pt idx="3">
                  <c:v>1999 T4</c:v>
                </c:pt>
                <c:pt idx="4">
                  <c:v>2000 T1</c:v>
                </c:pt>
                <c:pt idx="5">
                  <c:v>2000 T2</c:v>
                </c:pt>
                <c:pt idx="6">
                  <c:v>2000 T3</c:v>
                </c:pt>
                <c:pt idx="7">
                  <c:v>2000 T4</c:v>
                </c:pt>
                <c:pt idx="8">
                  <c:v>2001 T1</c:v>
                </c:pt>
                <c:pt idx="9">
                  <c:v>2001 T2</c:v>
                </c:pt>
                <c:pt idx="10">
                  <c:v>2001 T3</c:v>
                </c:pt>
                <c:pt idx="11">
                  <c:v>2001 T4</c:v>
                </c:pt>
                <c:pt idx="12">
                  <c:v>2002 T1</c:v>
                </c:pt>
                <c:pt idx="13">
                  <c:v>2002 T2</c:v>
                </c:pt>
                <c:pt idx="14">
                  <c:v>2002 T3</c:v>
                </c:pt>
                <c:pt idx="15">
                  <c:v>2002 T4</c:v>
                </c:pt>
                <c:pt idx="16">
                  <c:v>2003 T1</c:v>
                </c:pt>
                <c:pt idx="17">
                  <c:v>2003 T2</c:v>
                </c:pt>
                <c:pt idx="18">
                  <c:v>2003 T3</c:v>
                </c:pt>
                <c:pt idx="19">
                  <c:v>2003 T4</c:v>
                </c:pt>
                <c:pt idx="20">
                  <c:v>2004 T1</c:v>
                </c:pt>
                <c:pt idx="21">
                  <c:v>2004 T2</c:v>
                </c:pt>
                <c:pt idx="22">
                  <c:v>2004 T3</c:v>
                </c:pt>
                <c:pt idx="23">
                  <c:v>2004 T4</c:v>
                </c:pt>
                <c:pt idx="24">
                  <c:v>2005 T1</c:v>
                </c:pt>
                <c:pt idx="25">
                  <c:v>2005 T2</c:v>
                </c:pt>
                <c:pt idx="26">
                  <c:v>2005 T3</c:v>
                </c:pt>
                <c:pt idx="27">
                  <c:v>2005 T4</c:v>
                </c:pt>
                <c:pt idx="28">
                  <c:v>2006 T1</c:v>
                </c:pt>
                <c:pt idx="29">
                  <c:v>2006 T2</c:v>
                </c:pt>
                <c:pt idx="30">
                  <c:v>2006 T3</c:v>
                </c:pt>
                <c:pt idx="31">
                  <c:v>2006 T4</c:v>
                </c:pt>
                <c:pt idx="32">
                  <c:v>2007 T1</c:v>
                </c:pt>
                <c:pt idx="33">
                  <c:v>2007 T2</c:v>
                </c:pt>
                <c:pt idx="34">
                  <c:v>2007 T3</c:v>
                </c:pt>
                <c:pt idx="35">
                  <c:v>2007 T4</c:v>
                </c:pt>
                <c:pt idx="36">
                  <c:v>2008 T1</c:v>
                </c:pt>
                <c:pt idx="37">
                  <c:v>2008 T2</c:v>
                </c:pt>
                <c:pt idx="38">
                  <c:v>2008 T3</c:v>
                </c:pt>
                <c:pt idx="39">
                  <c:v>2008 T4</c:v>
                </c:pt>
                <c:pt idx="40">
                  <c:v>2009 T1</c:v>
                </c:pt>
                <c:pt idx="41">
                  <c:v>2009 T2</c:v>
                </c:pt>
                <c:pt idx="42">
                  <c:v>2009 T3</c:v>
                </c:pt>
                <c:pt idx="43">
                  <c:v>2009 T4</c:v>
                </c:pt>
                <c:pt idx="44">
                  <c:v>2010 T1</c:v>
                </c:pt>
                <c:pt idx="45">
                  <c:v>2010 T2</c:v>
                </c:pt>
                <c:pt idx="46">
                  <c:v>2010 T3</c:v>
                </c:pt>
                <c:pt idx="47">
                  <c:v>2010 T4</c:v>
                </c:pt>
                <c:pt idx="48">
                  <c:v>2011 T1</c:v>
                </c:pt>
                <c:pt idx="49">
                  <c:v>2011 T2</c:v>
                </c:pt>
              </c:strCache>
            </c:strRef>
          </c:cat>
          <c:val>
            <c:numRef>
              <c:f>Plan1!$E$2:$E$51</c:f>
              <c:numCache>
                <c:formatCode>0.00000</c:formatCode>
                <c:ptCount val="50"/>
                <c:pt idx="0">
                  <c:v>0.28969192191930232</c:v>
                </c:pt>
                <c:pt idx="1">
                  <c:v>0.29652280016962218</c:v>
                </c:pt>
                <c:pt idx="2">
                  <c:v>0.30269862111882223</c:v>
                </c:pt>
                <c:pt idx="3">
                  <c:v>0.29452463695529973</c:v>
                </c:pt>
                <c:pt idx="4">
                  <c:v>0.29073029515591631</c:v>
                </c:pt>
                <c:pt idx="5">
                  <c:v>0.29611080698867515</c:v>
                </c:pt>
                <c:pt idx="6">
                  <c:v>0.28174549274802363</c:v>
                </c:pt>
                <c:pt idx="7">
                  <c:v>0.29187253387504586</c:v>
                </c:pt>
                <c:pt idx="8">
                  <c:v>0.29148623497142245</c:v>
                </c:pt>
                <c:pt idx="9">
                  <c:v>0.29788870167470582</c:v>
                </c:pt>
                <c:pt idx="10">
                  <c:v>0.32222783581955317</c:v>
                </c:pt>
                <c:pt idx="11">
                  <c:v>0.32187154797963297</c:v>
                </c:pt>
                <c:pt idx="12">
                  <c:v>0.32097508757191262</c:v>
                </c:pt>
                <c:pt idx="13">
                  <c:v>0.35439478419718362</c:v>
                </c:pt>
                <c:pt idx="14">
                  <c:v>0.41501233540097182</c:v>
                </c:pt>
                <c:pt idx="15">
                  <c:v>0.38349303908048482</c:v>
                </c:pt>
                <c:pt idx="16">
                  <c:v>0.3758272864016195</c:v>
                </c:pt>
                <c:pt idx="17">
                  <c:v>0.34812790728196213</c:v>
                </c:pt>
                <c:pt idx="18">
                  <c:v>0.34119268282086312</c:v>
                </c:pt>
                <c:pt idx="19">
                  <c:v>0.3438598239475617</c:v>
                </c:pt>
                <c:pt idx="20">
                  <c:v>0.33786653302750208</c:v>
                </c:pt>
                <c:pt idx="21">
                  <c:v>0.33644004834929786</c:v>
                </c:pt>
                <c:pt idx="22">
                  <c:v>0.31799693176183047</c:v>
                </c:pt>
                <c:pt idx="23">
                  <c:v>0.31423043443773829</c:v>
                </c:pt>
                <c:pt idx="24">
                  <c:v>0.31138870837880794</c:v>
                </c:pt>
                <c:pt idx="25">
                  <c:v>0.29882574273737372</c:v>
                </c:pt>
                <c:pt idx="26">
                  <c:v>0.29977981540098381</c:v>
                </c:pt>
                <c:pt idx="27">
                  <c:v>0.30745786100196987</c:v>
                </c:pt>
                <c:pt idx="28">
                  <c:v>0.31007441718740636</c:v>
                </c:pt>
                <c:pt idx="29">
                  <c:v>0.30650001634967194</c:v>
                </c:pt>
                <c:pt idx="30">
                  <c:v>0.30684748666973488</c:v>
                </c:pt>
                <c:pt idx="31">
                  <c:v>0.30695229425478743</c:v>
                </c:pt>
                <c:pt idx="32">
                  <c:v>0.30731234957073705</c:v>
                </c:pt>
                <c:pt idx="33">
                  <c:v>0.29682756537655008</c:v>
                </c:pt>
                <c:pt idx="34">
                  <c:v>0.29409811099672134</c:v>
                </c:pt>
                <c:pt idx="35">
                  <c:v>0.30364181406086582</c:v>
                </c:pt>
                <c:pt idx="36">
                  <c:v>0.29076618138568616</c:v>
                </c:pt>
                <c:pt idx="37">
                  <c:v>0.30235456768569008</c:v>
                </c:pt>
                <c:pt idx="38">
                  <c:v>0.27433817961769241</c:v>
                </c:pt>
                <c:pt idx="39">
                  <c:v>0.25072492178129235</c:v>
                </c:pt>
                <c:pt idx="40">
                  <c:v>0.25590410375806488</c:v>
                </c:pt>
                <c:pt idx="41">
                  <c:v>0.28028444475043535</c:v>
                </c:pt>
                <c:pt idx="42">
                  <c:v>0.30310894333421395</c:v>
                </c:pt>
                <c:pt idx="43">
                  <c:v>0.29997006548118132</c:v>
                </c:pt>
                <c:pt idx="44">
                  <c:v>0.29370275023648285</c:v>
                </c:pt>
                <c:pt idx="45">
                  <c:v>0.28609786662033659</c:v>
                </c:pt>
                <c:pt idx="46">
                  <c:v>0.27982390709430155</c:v>
                </c:pt>
                <c:pt idx="47">
                  <c:v>0.2770542780084343</c:v>
                </c:pt>
                <c:pt idx="48">
                  <c:v>0.27685271649136478</c:v>
                </c:pt>
                <c:pt idx="49">
                  <c:v>0.27860775751477235</c:v>
                </c:pt>
              </c:numCache>
            </c:numRef>
          </c:val>
        </c:ser>
        <c:marker val="1"/>
        <c:axId val="123454976"/>
        <c:axId val="147038208"/>
      </c:lineChart>
      <c:catAx>
        <c:axId val="123454976"/>
        <c:scaling>
          <c:orientation val="minMax"/>
        </c:scaling>
        <c:axPos val="b"/>
        <c:tickLblPos val="nextTo"/>
        <c:crossAx val="147038208"/>
        <c:crosses val="autoZero"/>
        <c:auto val="1"/>
        <c:lblAlgn val="ctr"/>
        <c:lblOffset val="100"/>
      </c:catAx>
      <c:valAx>
        <c:axId val="147038208"/>
        <c:scaling>
          <c:orientation val="minMax"/>
          <c:min val="0.25"/>
        </c:scaling>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0%" sourceLinked="0"/>
        <c:tickLblPos val="nextTo"/>
        <c:crossAx val="123454976"/>
        <c:crosses val="autoZero"/>
        <c:crossBetween val="between"/>
      </c:valAx>
      <c:spPr>
        <a:ln>
          <a:noFill/>
        </a:ln>
      </c:spPr>
    </c:plotArea>
    <c:legend>
      <c:legendPos val="b"/>
      <c:layout>
        <c:manualLayout>
          <c:xMode val="edge"/>
          <c:yMode val="edge"/>
          <c:x val="0.37617107942973532"/>
          <c:y val="0.91977143184078003"/>
          <c:w val="0.57352342158860004"/>
          <c:h val="6.5696324744148951E-2"/>
        </c:manualLayout>
      </c:layout>
    </c:legend>
    <c:plotVisOnly val="1"/>
    <c:dispBlanksAs val="gap"/>
  </c:chart>
  <c:spPr>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E86A21-B47F-4F32-91A3-07163F69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9502</Words>
  <Characters>51317</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Ailce Barros</dc:creator>
  <cp:lastModifiedBy>Ailce Barros</cp:lastModifiedBy>
  <cp:revision>3</cp:revision>
  <dcterms:created xsi:type="dcterms:W3CDTF">2013-07-23T01:39:00Z</dcterms:created>
  <dcterms:modified xsi:type="dcterms:W3CDTF">2013-07-23T12:48:00Z</dcterms:modified>
</cp:coreProperties>
</file>